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__1.vsdx" ContentType="application/vnd.ms-visio.drawing"/>
  <Override PartName="/word/embeddings/Microsoft_Visio___2.vsdx" ContentType="application/vnd.ms-visio.drawing"/>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81F332">
      <w:pPr>
        <w:rPr>
          <w:rFonts w:hint="eastAsia" w:ascii="仿宋_GB2312" w:hAnsi="仿宋_GB2312" w:eastAsia="仿宋_GB2312" w:cs="仿宋_GB2312"/>
          <w:sz w:val="36"/>
          <w:szCs w:val="36"/>
        </w:rPr>
      </w:pPr>
      <w:bookmarkStart w:id="0" w:name="_Hlk57883707"/>
    </w:p>
    <w:p w14:paraId="795B9B7A">
      <w:pPr>
        <w:rPr>
          <w:rFonts w:hint="eastAsia" w:ascii="仿宋_GB2312" w:hAnsi="仿宋_GB2312" w:eastAsia="仿宋_GB2312" w:cs="仿宋_GB2312"/>
          <w:sz w:val="36"/>
          <w:szCs w:val="36"/>
        </w:rPr>
      </w:pPr>
    </w:p>
    <w:p w14:paraId="4A68A11D">
      <w:pPr>
        <w:rPr>
          <w:rFonts w:hint="eastAsia" w:ascii="仿宋_GB2312" w:hAnsi="仿宋_GB2312" w:eastAsia="仿宋_GB2312" w:cs="仿宋_GB2312"/>
          <w:sz w:val="36"/>
          <w:szCs w:val="36"/>
        </w:rPr>
      </w:pPr>
    </w:p>
    <w:p w14:paraId="2AF9B0E0">
      <w:pPr>
        <w:rPr>
          <w:rFonts w:hint="eastAsia" w:ascii="仿宋_GB2312" w:hAnsi="仿宋_GB2312" w:eastAsia="仿宋_GB2312" w:cs="仿宋_GB2312"/>
          <w:sz w:val="36"/>
          <w:szCs w:val="36"/>
        </w:rPr>
      </w:pPr>
    </w:p>
    <w:bookmarkEnd w:id="0"/>
    <w:p w14:paraId="480344F6">
      <w:pPr>
        <w:adjustRightInd w:val="0"/>
        <w:snapToGrid w:val="0"/>
        <w:jc w:val="center"/>
        <w:rPr>
          <w:rFonts w:ascii="方正小标宋_GBK" w:eastAsia="方正小标宋_GBK"/>
          <w:bCs/>
          <w:sz w:val="72"/>
          <w:szCs w:val="72"/>
        </w:rPr>
      </w:pPr>
      <w:r>
        <w:rPr>
          <w:rFonts w:hint="eastAsia" w:ascii="方正小标宋_GBK" w:eastAsia="方正小标宋_GBK"/>
          <w:bCs/>
          <w:sz w:val="72"/>
          <w:szCs w:val="72"/>
        </w:rPr>
        <w:t>建设项目环境影响报告表</w:t>
      </w:r>
    </w:p>
    <w:p w14:paraId="40796510">
      <w:pPr>
        <w:adjustRightInd w:val="0"/>
        <w:snapToGrid w:val="0"/>
        <w:spacing w:before="192" w:beforeLines="80"/>
        <w:jc w:val="center"/>
        <w:rPr>
          <w:rFonts w:ascii="楷体_GB2312" w:eastAsia="楷体_GB2312"/>
          <w:bCs/>
          <w:sz w:val="48"/>
          <w:szCs w:val="48"/>
        </w:rPr>
      </w:pPr>
    </w:p>
    <w:p w14:paraId="0C26EC89">
      <w:pPr>
        <w:adjustRightInd w:val="0"/>
        <w:snapToGrid w:val="0"/>
        <w:spacing w:line="288" w:lineRule="auto"/>
        <w:jc w:val="center"/>
        <w:rPr>
          <w:rFonts w:hint="eastAsia" w:ascii="华文仿宋" w:hAnsi="华文仿宋" w:eastAsia="华文仿宋" w:cs="华文仿宋"/>
          <w:kern w:val="44"/>
          <w:sz w:val="44"/>
          <w:szCs w:val="44"/>
        </w:rPr>
      </w:pPr>
      <w:bookmarkStart w:id="1" w:name="_Hlk57883728"/>
    </w:p>
    <w:p w14:paraId="4C4CEF74">
      <w:pPr>
        <w:jc w:val="center"/>
        <w:rPr>
          <w:rFonts w:eastAsia="仿宋"/>
          <w:sz w:val="52"/>
          <w:szCs w:val="52"/>
        </w:rPr>
      </w:pPr>
    </w:p>
    <w:p w14:paraId="3E8B0B02">
      <w:pPr>
        <w:ind w:firstLine="1040"/>
        <w:rPr>
          <w:rFonts w:eastAsia="仿宋"/>
          <w:sz w:val="44"/>
          <w:szCs w:val="44"/>
        </w:rPr>
      </w:pPr>
    </w:p>
    <w:p w14:paraId="77322BB5">
      <w:pPr>
        <w:ind w:firstLine="1040"/>
        <w:rPr>
          <w:rFonts w:eastAsia="仿宋"/>
          <w:sz w:val="44"/>
          <w:szCs w:val="44"/>
        </w:rPr>
      </w:pPr>
    </w:p>
    <w:p w14:paraId="5AC3B2BE">
      <w:pPr>
        <w:ind w:firstLine="1040"/>
        <w:rPr>
          <w:rFonts w:eastAsia="仿宋"/>
          <w:sz w:val="44"/>
          <w:szCs w:val="44"/>
        </w:rPr>
      </w:pPr>
    </w:p>
    <w:p w14:paraId="20AD03C2">
      <w:pPr>
        <w:ind w:firstLine="1040"/>
        <w:rPr>
          <w:rFonts w:eastAsia="仿宋"/>
          <w:sz w:val="44"/>
          <w:szCs w:val="44"/>
        </w:rPr>
      </w:pPr>
    </w:p>
    <w:bookmarkEnd w:id="1"/>
    <w:p w14:paraId="2875F010">
      <w:pPr>
        <w:adjustRightInd w:val="0"/>
        <w:snapToGrid w:val="0"/>
        <w:spacing w:line="360" w:lineRule="auto"/>
        <w:ind w:left="735" w:leftChars="350"/>
        <w:rPr>
          <w:rFonts w:hint="eastAsia" w:ascii="仿宋_GB2312" w:hAnsi="仿宋" w:eastAsia="仿宋_GB2312"/>
          <w:sz w:val="32"/>
          <w:szCs w:val="32"/>
          <w:u w:val="single"/>
        </w:rPr>
      </w:pPr>
      <w:r>
        <w:rPr>
          <w:rFonts w:hint="eastAsia" w:ascii="仿宋_GB2312" w:hAnsi="仿宋" w:eastAsia="仿宋_GB2312"/>
          <w:b/>
          <w:bCs/>
          <w:sz w:val="32"/>
          <w:szCs w:val="32"/>
        </w:rPr>
        <w:t>项目名称：</w:t>
      </w:r>
      <w:r>
        <w:rPr>
          <w:rFonts w:hint="eastAsia" w:ascii="仿宋_GB2312" w:hAnsi="仿宋" w:eastAsia="仿宋_GB2312"/>
          <w:sz w:val="32"/>
          <w:szCs w:val="32"/>
          <w:u w:val="single"/>
        </w:rPr>
        <w:t xml:space="preserve">华润州来凤台县张集光伏电站项目配套220kV升压站及220kV输电线路项目   </w:t>
      </w:r>
    </w:p>
    <w:p w14:paraId="4F874D55">
      <w:pPr>
        <w:adjustRightInd w:val="0"/>
        <w:snapToGrid w:val="0"/>
        <w:spacing w:line="360" w:lineRule="auto"/>
        <w:ind w:left="735" w:leftChars="350"/>
        <w:jc w:val="left"/>
        <w:rPr>
          <w:rFonts w:hint="eastAsia" w:ascii="仿宋_GB2312" w:hAnsi="仿宋" w:eastAsia="仿宋_GB2312"/>
          <w:sz w:val="32"/>
          <w:szCs w:val="32"/>
          <w:u w:val="single"/>
        </w:rPr>
      </w:pPr>
      <w:r>
        <w:rPr>
          <w:rFonts w:hint="eastAsia" w:ascii="仿宋_GB2312" w:hAnsi="仿宋" w:eastAsia="仿宋_GB2312"/>
          <w:b/>
          <w:bCs/>
          <w:sz w:val="32"/>
          <w:szCs w:val="32"/>
        </w:rPr>
        <w:t>建设单位（盖章）：</w:t>
      </w:r>
      <w:r>
        <w:rPr>
          <w:rFonts w:hint="eastAsia" w:ascii="仿宋_GB2312" w:hAnsi="仿宋" w:eastAsia="仿宋_GB2312"/>
          <w:sz w:val="32"/>
          <w:szCs w:val="32"/>
          <w:u w:val="single"/>
        </w:rPr>
        <w:t xml:space="preserve">  华润洲来（安徽）新能源有限公司</w:t>
      </w:r>
    </w:p>
    <w:p w14:paraId="14AEA693">
      <w:pPr>
        <w:adjustRightInd w:val="0"/>
        <w:snapToGrid w:val="0"/>
        <w:spacing w:line="288" w:lineRule="auto"/>
        <w:ind w:firstLine="1040"/>
        <w:rPr>
          <w:rFonts w:ascii="仿宋_GB2312" w:eastAsia="仿宋_GB2312"/>
          <w:sz w:val="36"/>
          <w:szCs w:val="36"/>
          <w:u w:val="single"/>
        </w:rPr>
      </w:pPr>
    </w:p>
    <w:p w14:paraId="0B391013">
      <w:pPr>
        <w:adjustRightInd w:val="0"/>
        <w:snapToGrid w:val="0"/>
        <w:spacing w:line="288" w:lineRule="auto"/>
        <w:ind w:firstLine="1040"/>
        <w:rPr>
          <w:rFonts w:ascii="仿宋_GB2312" w:eastAsia="仿宋_GB2312"/>
          <w:sz w:val="36"/>
          <w:szCs w:val="36"/>
        </w:rPr>
      </w:pPr>
    </w:p>
    <w:p w14:paraId="272A64FF">
      <w:pPr>
        <w:adjustRightInd w:val="0"/>
        <w:snapToGrid w:val="0"/>
        <w:spacing w:line="360" w:lineRule="auto"/>
        <w:ind w:left="735" w:leftChars="350"/>
        <w:jc w:val="center"/>
        <w:rPr>
          <w:rFonts w:hint="eastAsia" w:ascii="仿宋_GB2312" w:hAnsi="仿宋" w:eastAsia="仿宋_GB2312"/>
          <w:sz w:val="32"/>
          <w:szCs w:val="32"/>
        </w:rPr>
      </w:pPr>
      <w:r>
        <w:rPr>
          <w:rFonts w:hint="eastAsia" w:ascii="仿宋_GB2312" w:hAnsi="仿宋" w:eastAsia="仿宋_GB2312"/>
          <w:sz w:val="32"/>
          <w:szCs w:val="32"/>
        </w:rPr>
        <w:t>编制单位：安徽资环环境工程有限公司</w:t>
      </w:r>
    </w:p>
    <w:p w14:paraId="2071580A">
      <w:pPr>
        <w:adjustRightInd w:val="0"/>
        <w:snapToGrid w:val="0"/>
        <w:spacing w:line="360" w:lineRule="auto"/>
        <w:ind w:left="735" w:leftChars="350"/>
        <w:jc w:val="center"/>
        <w:rPr>
          <w:rFonts w:ascii="楷体_GB2312" w:eastAsia="楷体_GB2312"/>
          <w:sz w:val="36"/>
          <w:szCs w:val="36"/>
        </w:rPr>
      </w:pPr>
      <w:r>
        <w:rPr>
          <w:rFonts w:hint="eastAsia" w:ascii="仿宋_GB2312" w:hAnsi="仿宋" w:eastAsia="仿宋_GB2312"/>
          <w:sz w:val="32"/>
          <w:szCs w:val="32"/>
        </w:rPr>
        <w:t>编制日期：2025年2月</w:t>
      </w:r>
    </w:p>
    <w:p w14:paraId="374B4376">
      <w:pPr>
        <w:adjustRightInd w:val="0"/>
        <w:snapToGrid w:val="0"/>
        <w:spacing w:line="288" w:lineRule="auto"/>
        <w:jc w:val="center"/>
        <w:rPr>
          <w:rFonts w:ascii="楷体_GB2312" w:eastAsia="楷体_GB2312"/>
          <w:sz w:val="36"/>
          <w:szCs w:val="36"/>
        </w:rPr>
        <w:sectPr>
          <w:footerReference r:id="rId3" w:type="default"/>
          <w:footerReference r:id="rId4" w:type="even"/>
          <w:pgSz w:w="11906" w:h="16838"/>
          <w:pgMar w:top="1701" w:right="1531" w:bottom="1701" w:left="1531" w:header="851" w:footer="1077" w:gutter="0"/>
          <w:pgNumType w:start="21"/>
          <w:cols w:space="720" w:num="1"/>
          <w:docGrid w:linePitch="312" w:charSpace="0"/>
        </w:sectPr>
      </w:pPr>
    </w:p>
    <w:p w14:paraId="5D67D8D0">
      <w:pPr>
        <w:pStyle w:val="2"/>
      </w:pPr>
      <w:r>
        <w:rPr>
          <w:rFonts w:hint="eastAsia"/>
        </w:rPr>
        <w:t>一、建设项目基本情况</w:t>
      </w:r>
    </w:p>
    <w:tbl>
      <w:tblPr>
        <w:tblStyle w:val="25"/>
        <w:tblW w:w="4984"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711"/>
        <w:gridCol w:w="2569"/>
        <w:gridCol w:w="2223"/>
        <w:gridCol w:w="7"/>
        <w:gridCol w:w="2557"/>
      </w:tblGrid>
      <w:tr w14:paraId="7EBC2F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943" w:type="pct"/>
            <w:tcMar>
              <w:top w:w="16" w:type="dxa"/>
              <w:left w:w="16" w:type="dxa"/>
              <w:right w:w="16" w:type="dxa"/>
            </w:tcMar>
            <w:vAlign w:val="center"/>
          </w:tcPr>
          <w:p w14:paraId="73F58052">
            <w:pPr>
              <w:adjustRightInd w:val="0"/>
              <w:snapToGrid w:val="0"/>
              <w:jc w:val="center"/>
              <w:rPr>
                <w:sz w:val="24"/>
              </w:rPr>
            </w:pPr>
            <w:r>
              <w:rPr>
                <w:sz w:val="24"/>
              </w:rPr>
              <w:t>建设项目名称</w:t>
            </w:r>
          </w:p>
        </w:tc>
        <w:tc>
          <w:tcPr>
            <w:tcW w:w="4056" w:type="pct"/>
            <w:gridSpan w:val="4"/>
            <w:vAlign w:val="center"/>
          </w:tcPr>
          <w:p w14:paraId="2C48C50C">
            <w:pPr>
              <w:adjustRightInd w:val="0"/>
              <w:snapToGrid w:val="0"/>
              <w:jc w:val="center"/>
              <w:rPr>
                <w:sz w:val="24"/>
              </w:rPr>
            </w:pPr>
            <w:r>
              <w:rPr>
                <w:rFonts w:hint="eastAsia"/>
                <w:sz w:val="24"/>
              </w:rPr>
              <w:t>华润州来凤台县张集光伏电站项目配套220kV升压站及220kV输电线路项目</w:t>
            </w:r>
          </w:p>
        </w:tc>
      </w:tr>
      <w:tr w14:paraId="6D9B32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943" w:type="pct"/>
            <w:tcMar>
              <w:top w:w="16" w:type="dxa"/>
              <w:left w:w="16" w:type="dxa"/>
              <w:right w:w="16" w:type="dxa"/>
            </w:tcMar>
            <w:vAlign w:val="center"/>
          </w:tcPr>
          <w:p w14:paraId="14793E65">
            <w:pPr>
              <w:adjustRightInd w:val="0"/>
              <w:snapToGrid w:val="0"/>
              <w:jc w:val="center"/>
              <w:rPr>
                <w:sz w:val="24"/>
              </w:rPr>
            </w:pPr>
            <w:r>
              <w:rPr>
                <w:sz w:val="24"/>
              </w:rPr>
              <w:t>项目代码</w:t>
            </w:r>
          </w:p>
        </w:tc>
        <w:tc>
          <w:tcPr>
            <w:tcW w:w="4056" w:type="pct"/>
            <w:gridSpan w:val="4"/>
            <w:vAlign w:val="center"/>
          </w:tcPr>
          <w:p w14:paraId="0A5B5A13">
            <w:pPr>
              <w:adjustRightInd w:val="0"/>
              <w:snapToGrid w:val="0"/>
              <w:jc w:val="center"/>
              <w:rPr>
                <w:sz w:val="24"/>
              </w:rPr>
            </w:pPr>
            <w:r>
              <w:rPr>
                <w:rFonts w:hint="eastAsia"/>
                <w:sz w:val="24"/>
              </w:rPr>
              <w:t>2111-340400-04-01-749047</w:t>
            </w:r>
          </w:p>
        </w:tc>
      </w:tr>
      <w:tr w14:paraId="0B46AE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943" w:type="pct"/>
            <w:tcMar>
              <w:top w:w="16" w:type="dxa"/>
              <w:left w:w="16" w:type="dxa"/>
              <w:right w:w="16" w:type="dxa"/>
            </w:tcMar>
            <w:vAlign w:val="center"/>
          </w:tcPr>
          <w:p w14:paraId="75FD14B2">
            <w:pPr>
              <w:adjustRightInd w:val="0"/>
              <w:snapToGrid w:val="0"/>
              <w:jc w:val="center"/>
              <w:rPr>
                <w:sz w:val="24"/>
              </w:rPr>
            </w:pPr>
            <w:r>
              <w:rPr>
                <w:sz w:val="24"/>
              </w:rPr>
              <w:t>建设单位联系人</w:t>
            </w:r>
          </w:p>
        </w:tc>
        <w:tc>
          <w:tcPr>
            <w:tcW w:w="1416" w:type="pct"/>
            <w:vAlign w:val="center"/>
          </w:tcPr>
          <w:p w14:paraId="090FDAD7">
            <w:pPr>
              <w:adjustRightInd w:val="0"/>
              <w:snapToGrid w:val="0"/>
              <w:jc w:val="center"/>
              <w:rPr>
                <w:sz w:val="24"/>
              </w:rPr>
            </w:pPr>
            <w:r>
              <w:rPr>
                <w:rFonts w:hint="eastAsia"/>
                <w:sz w:val="24"/>
              </w:rPr>
              <w:t>张楠</w:t>
            </w:r>
          </w:p>
        </w:tc>
        <w:tc>
          <w:tcPr>
            <w:tcW w:w="1230" w:type="pct"/>
            <w:gridSpan w:val="2"/>
            <w:vAlign w:val="center"/>
          </w:tcPr>
          <w:p w14:paraId="404B2C6B">
            <w:pPr>
              <w:adjustRightInd w:val="0"/>
              <w:snapToGrid w:val="0"/>
              <w:jc w:val="center"/>
              <w:rPr>
                <w:sz w:val="24"/>
              </w:rPr>
            </w:pPr>
            <w:r>
              <w:rPr>
                <w:sz w:val="24"/>
              </w:rPr>
              <w:t>联系方式</w:t>
            </w:r>
          </w:p>
        </w:tc>
        <w:tc>
          <w:tcPr>
            <w:tcW w:w="1408" w:type="pct"/>
            <w:vAlign w:val="center"/>
          </w:tcPr>
          <w:p w14:paraId="1EF3D532">
            <w:pPr>
              <w:adjustRightInd w:val="0"/>
              <w:snapToGrid w:val="0"/>
              <w:jc w:val="center"/>
              <w:rPr>
                <w:sz w:val="24"/>
              </w:rPr>
            </w:pPr>
            <w:r>
              <w:rPr>
                <w:rFonts w:hint="eastAsia"/>
                <w:sz w:val="24"/>
              </w:rPr>
              <w:t>18656307000</w:t>
            </w:r>
          </w:p>
        </w:tc>
      </w:tr>
      <w:tr w14:paraId="7BFD83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943" w:type="pct"/>
            <w:tcMar>
              <w:top w:w="16" w:type="dxa"/>
              <w:left w:w="16" w:type="dxa"/>
              <w:right w:w="16" w:type="dxa"/>
            </w:tcMar>
            <w:vAlign w:val="center"/>
          </w:tcPr>
          <w:p w14:paraId="31963FA9">
            <w:pPr>
              <w:adjustRightInd w:val="0"/>
              <w:snapToGrid w:val="0"/>
              <w:jc w:val="center"/>
              <w:rPr>
                <w:sz w:val="24"/>
              </w:rPr>
            </w:pPr>
            <w:r>
              <w:rPr>
                <w:sz w:val="24"/>
              </w:rPr>
              <w:t>建设地点</w:t>
            </w:r>
          </w:p>
        </w:tc>
        <w:tc>
          <w:tcPr>
            <w:tcW w:w="4056" w:type="pct"/>
            <w:gridSpan w:val="4"/>
            <w:vAlign w:val="center"/>
          </w:tcPr>
          <w:p w14:paraId="6C14FB67">
            <w:pPr>
              <w:adjustRightInd w:val="0"/>
              <w:snapToGrid w:val="0"/>
              <w:jc w:val="center"/>
              <w:rPr>
                <w:sz w:val="24"/>
              </w:rPr>
            </w:pPr>
            <w:r>
              <w:rPr>
                <w:sz w:val="24"/>
                <w:u w:val="single"/>
              </w:rPr>
              <w:t>安徽</w:t>
            </w:r>
            <w:r>
              <w:rPr>
                <w:sz w:val="24"/>
              </w:rPr>
              <w:t>省</w:t>
            </w:r>
            <w:r>
              <w:rPr>
                <w:rFonts w:hint="eastAsia"/>
                <w:sz w:val="24"/>
                <w:u w:val="single"/>
              </w:rPr>
              <w:t>淮南</w:t>
            </w:r>
            <w:r>
              <w:rPr>
                <w:sz w:val="24"/>
              </w:rPr>
              <w:t>市</w:t>
            </w:r>
            <w:r>
              <w:rPr>
                <w:rFonts w:hint="eastAsia"/>
                <w:sz w:val="24"/>
                <w:u w:val="single"/>
              </w:rPr>
              <w:t>凤台</w:t>
            </w:r>
            <w:r>
              <w:rPr>
                <w:sz w:val="24"/>
              </w:rPr>
              <w:t>县</w:t>
            </w:r>
            <w:r>
              <w:rPr>
                <w:rFonts w:hint="eastAsia"/>
                <w:sz w:val="24"/>
                <w:u w:val="single"/>
              </w:rPr>
              <w:t>桂集</w:t>
            </w:r>
            <w:r>
              <w:rPr>
                <w:sz w:val="24"/>
              </w:rPr>
              <w:t>镇</w:t>
            </w:r>
          </w:p>
        </w:tc>
      </w:tr>
      <w:tr w14:paraId="710203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943" w:type="pct"/>
            <w:tcMar>
              <w:top w:w="16" w:type="dxa"/>
              <w:left w:w="16" w:type="dxa"/>
              <w:right w:w="16" w:type="dxa"/>
            </w:tcMar>
            <w:vAlign w:val="center"/>
          </w:tcPr>
          <w:p w14:paraId="47A79A61">
            <w:pPr>
              <w:adjustRightInd w:val="0"/>
              <w:snapToGrid w:val="0"/>
              <w:jc w:val="center"/>
              <w:rPr>
                <w:sz w:val="24"/>
              </w:rPr>
            </w:pPr>
            <w:r>
              <w:rPr>
                <w:sz w:val="24"/>
              </w:rPr>
              <w:t>地理坐标</w:t>
            </w:r>
          </w:p>
        </w:tc>
        <w:tc>
          <w:tcPr>
            <w:tcW w:w="4056" w:type="pct"/>
            <w:gridSpan w:val="4"/>
            <w:vAlign w:val="center"/>
          </w:tcPr>
          <w:p w14:paraId="03DA547B">
            <w:pPr>
              <w:adjustRightInd w:val="0"/>
              <w:snapToGrid w:val="0"/>
              <w:jc w:val="left"/>
              <w:rPr>
                <w:sz w:val="24"/>
              </w:rPr>
            </w:pPr>
            <w:r>
              <w:rPr>
                <w:rFonts w:hint="eastAsia"/>
                <w:sz w:val="24"/>
              </w:rPr>
              <w:t>线路起点：</w:t>
            </w:r>
            <w:r>
              <w:rPr>
                <w:sz w:val="24"/>
              </w:rPr>
              <w:t>（</w:t>
            </w:r>
            <w:r>
              <w:rPr>
                <w:sz w:val="24"/>
                <w:u w:val="single"/>
              </w:rPr>
              <w:t xml:space="preserve"> 116 </w:t>
            </w:r>
            <w:r>
              <w:rPr>
                <w:sz w:val="24"/>
              </w:rPr>
              <w:t>度</w:t>
            </w:r>
            <w:r>
              <w:rPr>
                <w:sz w:val="24"/>
                <w:u w:val="single"/>
              </w:rPr>
              <w:t xml:space="preserve"> </w:t>
            </w:r>
            <w:r>
              <w:rPr>
                <w:rFonts w:hint="eastAsia"/>
                <w:sz w:val="24"/>
                <w:u w:val="single"/>
              </w:rPr>
              <w:t>35</w:t>
            </w:r>
            <w:r>
              <w:rPr>
                <w:sz w:val="24"/>
                <w:u w:val="single"/>
              </w:rPr>
              <w:t xml:space="preserve"> </w:t>
            </w:r>
            <w:r>
              <w:rPr>
                <w:sz w:val="24"/>
              </w:rPr>
              <w:t>分</w:t>
            </w:r>
            <w:r>
              <w:rPr>
                <w:sz w:val="24"/>
                <w:u w:val="single"/>
              </w:rPr>
              <w:t xml:space="preserve"> </w:t>
            </w:r>
            <w:r>
              <w:rPr>
                <w:rFonts w:hint="eastAsia"/>
                <w:sz w:val="24"/>
                <w:u w:val="single"/>
              </w:rPr>
              <w:t>33</w:t>
            </w:r>
            <w:r>
              <w:rPr>
                <w:sz w:val="24"/>
                <w:u w:val="single"/>
              </w:rPr>
              <w:t>.</w:t>
            </w:r>
            <w:r>
              <w:rPr>
                <w:rFonts w:hint="eastAsia"/>
                <w:sz w:val="24"/>
                <w:u w:val="single"/>
              </w:rPr>
              <w:t>941</w:t>
            </w:r>
            <w:r>
              <w:rPr>
                <w:sz w:val="24"/>
                <w:u w:val="single"/>
              </w:rPr>
              <w:t xml:space="preserve"> </w:t>
            </w:r>
            <w:r>
              <w:rPr>
                <w:sz w:val="24"/>
              </w:rPr>
              <w:t>秒，</w:t>
            </w:r>
            <w:r>
              <w:rPr>
                <w:sz w:val="24"/>
                <w:u w:val="single"/>
              </w:rPr>
              <w:t xml:space="preserve"> </w:t>
            </w:r>
            <w:r>
              <w:rPr>
                <w:rFonts w:hint="eastAsia"/>
                <w:sz w:val="24"/>
                <w:u w:val="single"/>
              </w:rPr>
              <w:t>32</w:t>
            </w:r>
            <w:r>
              <w:rPr>
                <w:sz w:val="24"/>
                <w:u w:val="single"/>
              </w:rPr>
              <w:t xml:space="preserve"> </w:t>
            </w:r>
            <w:r>
              <w:rPr>
                <w:sz w:val="24"/>
              </w:rPr>
              <w:t>度</w:t>
            </w:r>
            <w:r>
              <w:rPr>
                <w:sz w:val="24"/>
                <w:u w:val="single"/>
              </w:rPr>
              <w:t xml:space="preserve"> </w:t>
            </w:r>
            <w:r>
              <w:rPr>
                <w:rFonts w:hint="eastAsia"/>
                <w:sz w:val="24"/>
                <w:u w:val="single"/>
              </w:rPr>
              <w:t xml:space="preserve">46 </w:t>
            </w:r>
            <w:r>
              <w:rPr>
                <w:sz w:val="24"/>
              </w:rPr>
              <w:t>分</w:t>
            </w:r>
            <w:r>
              <w:rPr>
                <w:sz w:val="24"/>
                <w:u w:val="single"/>
              </w:rPr>
              <w:t xml:space="preserve"> </w:t>
            </w:r>
            <w:r>
              <w:rPr>
                <w:rFonts w:hint="eastAsia"/>
                <w:sz w:val="24"/>
                <w:u w:val="single"/>
              </w:rPr>
              <w:t>48.56</w:t>
            </w:r>
            <w:r>
              <w:rPr>
                <w:sz w:val="24"/>
                <w:u w:val="single"/>
              </w:rPr>
              <w:t xml:space="preserve">8 </w:t>
            </w:r>
            <w:r>
              <w:rPr>
                <w:sz w:val="24"/>
              </w:rPr>
              <w:t>秒）</w:t>
            </w:r>
          </w:p>
          <w:p w14:paraId="69E7B2F8">
            <w:pPr>
              <w:adjustRightInd w:val="0"/>
              <w:snapToGrid w:val="0"/>
              <w:jc w:val="left"/>
              <w:rPr>
                <w:sz w:val="24"/>
              </w:rPr>
            </w:pPr>
            <w:r>
              <w:rPr>
                <w:rFonts w:hint="eastAsia"/>
                <w:sz w:val="24"/>
              </w:rPr>
              <w:t>线路终点：</w:t>
            </w:r>
            <w:r>
              <w:rPr>
                <w:sz w:val="24"/>
              </w:rPr>
              <w:t>（</w:t>
            </w:r>
            <w:r>
              <w:rPr>
                <w:sz w:val="24"/>
                <w:u w:val="single"/>
              </w:rPr>
              <w:t xml:space="preserve"> </w:t>
            </w:r>
            <w:r>
              <w:rPr>
                <w:rFonts w:hint="eastAsia"/>
                <w:sz w:val="24"/>
                <w:u w:val="single"/>
              </w:rPr>
              <w:t>116</w:t>
            </w:r>
            <w:r>
              <w:rPr>
                <w:sz w:val="24"/>
                <w:u w:val="single"/>
              </w:rPr>
              <w:t xml:space="preserve"> </w:t>
            </w:r>
            <w:r>
              <w:rPr>
                <w:sz w:val="24"/>
              </w:rPr>
              <w:t>度</w:t>
            </w:r>
            <w:r>
              <w:rPr>
                <w:sz w:val="24"/>
                <w:u w:val="single"/>
              </w:rPr>
              <w:t xml:space="preserve"> </w:t>
            </w:r>
            <w:r>
              <w:rPr>
                <w:rFonts w:hint="eastAsia"/>
                <w:sz w:val="24"/>
                <w:u w:val="single"/>
              </w:rPr>
              <w:t>37</w:t>
            </w:r>
            <w:r>
              <w:rPr>
                <w:sz w:val="24"/>
                <w:u w:val="single"/>
              </w:rPr>
              <w:t xml:space="preserve"> </w:t>
            </w:r>
            <w:r>
              <w:rPr>
                <w:sz w:val="24"/>
              </w:rPr>
              <w:t>分</w:t>
            </w:r>
            <w:r>
              <w:rPr>
                <w:sz w:val="24"/>
                <w:u w:val="single"/>
              </w:rPr>
              <w:t xml:space="preserve"> </w:t>
            </w:r>
            <w:r>
              <w:rPr>
                <w:rFonts w:hint="eastAsia"/>
                <w:sz w:val="24"/>
                <w:u w:val="single"/>
              </w:rPr>
              <w:t>17.028</w:t>
            </w:r>
            <w:r>
              <w:rPr>
                <w:sz w:val="24"/>
                <w:u w:val="single"/>
              </w:rPr>
              <w:t xml:space="preserve"> </w:t>
            </w:r>
            <w:r>
              <w:rPr>
                <w:sz w:val="24"/>
              </w:rPr>
              <w:t>秒，</w:t>
            </w:r>
            <w:r>
              <w:rPr>
                <w:sz w:val="24"/>
                <w:u w:val="single"/>
              </w:rPr>
              <w:t xml:space="preserve"> </w:t>
            </w:r>
            <w:r>
              <w:rPr>
                <w:rFonts w:hint="eastAsia"/>
                <w:sz w:val="24"/>
                <w:u w:val="single"/>
              </w:rPr>
              <w:t>32</w:t>
            </w:r>
            <w:r>
              <w:rPr>
                <w:sz w:val="24"/>
              </w:rPr>
              <w:t>度</w:t>
            </w:r>
            <w:r>
              <w:rPr>
                <w:sz w:val="24"/>
                <w:u w:val="single"/>
              </w:rPr>
              <w:t xml:space="preserve"> </w:t>
            </w:r>
            <w:r>
              <w:rPr>
                <w:rFonts w:hint="eastAsia"/>
                <w:sz w:val="24"/>
                <w:u w:val="single"/>
              </w:rPr>
              <w:t>45</w:t>
            </w:r>
            <w:r>
              <w:rPr>
                <w:sz w:val="24"/>
                <w:u w:val="single"/>
              </w:rPr>
              <w:t xml:space="preserve"> </w:t>
            </w:r>
            <w:r>
              <w:rPr>
                <w:sz w:val="24"/>
              </w:rPr>
              <w:t>分</w:t>
            </w:r>
            <w:r>
              <w:rPr>
                <w:sz w:val="24"/>
                <w:u w:val="single"/>
              </w:rPr>
              <w:t xml:space="preserve"> </w:t>
            </w:r>
            <w:r>
              <w:rPr>
                <w:rFonts w:hint="eastAsia"/>
                <w:sz w:val="24"/>
                <w:u w:val="single"/>
              </w:rPr>
              <w:t>5.758</w:t>
            </w:r>
            <w:r>
              <w:rPr>
                <w:sz w:val="24"/>
                <w:u w:val="single"/>
              </w:rPr>
              <w:t xml:space="preserve"> </w:t>
            </w:r>
            <w:r>
              <w:rPr>
                <w:sz w:val="24"/>
              </w:rPr>
              <w:t>秒）</w:t>
            </w:r>
          </w:p>
          <w:p w14:paraId="78C9CE73">
            <w:pPr>
              <w:adjustRightInd w:val="0"/>
              <w:snapToGrid w:val="0"/>
              <w:jc w:val="left"/>
              <w:rPr>
                <w:sz w:val="24"/>
              </w:rPr>
            </w:pPr>
            <w:r>
              <w:rPr>
                <w:rFonts w:hint="eastAsia"/>
                <w:sz w:val="24"/>
              </w:rPr>
              <w:t>升压站中心坐标：</w:t>
            </w:r>
            <w:r>
              <w:rPr>
                <w:sz w:val="24"/>
              </w:rPr>
              <w:t>（</w:t>
            </w:r>
            <w:r>
              <w:rPr>
                <w:sz w:val="24"/>
                <w:u w:val="single"/>
              </w:rPr>
              <w:t xml:space="preserve"> 116 </w:t>
            </w:r>
            <w:r>
              <w:rPr>
                <w:sz w:val="24"/>
              </w:rPr>
              <w:t>度</w:t>
            </w:r>
            <w:r>
              <w:rPr>
                <w:sz w:val="24"/>
                <w:u w:val="single"/>
              </w:rPr>
              <w:t xml:space="preserve"> </w:t>
            </w:r>
            <w:r>
              <w:rPr>
                <w:rFonts w:hint="eastAsia"/>
                <w:sz w:val="24"/>
                <w:u w:val="single"/>
              </w:rPr>
              <w:t>35</w:t>
            </w:r>
            <w:r>
              <w:rPr>
                <w:sz w:val="24"/>
                <w:u w:val="single"/>
              </w:rPr>
              <w:t xml:space="preserve"> </w:t>
            </w:r>
            <w:r>
              <w:rPr>
                <w:sz w:val="24"/>
              </w:rPr>
              <w:t>分</w:t>
            </w:r>
            <w:r>
              <w:rPr>
                <w:sz w:val="24"/>
                <w:u w:val="single"/>
              </w:rPr>
              <w:t xml:space="preserve"> </w:t>
            </w:r>
            <w:r>
              <w:rPr>
                <w:rFonts w:hint="eastAsia"/>
                <w:sz w:val="24"/>
                <w:u w:val="single"/>
              </w:rPr>
              <w:t>34.752</w:t>
            </w:r>
            <w:r>
              <w:rPr>
                <w:sz w:val="24"/>
                <w:u w:val="single"/>
              </w:rPr>
              <w:t xml:space="preserve"> </w:t>
            </w:r>
            <w:r>
              <w:rPr>
                <w:sz w:val="24"/>
              </w:rPr>
              <w:t>秒，</w:t>
            </w:r>
            <w:r>
              <w:rPr>
                <w:sz w:val="24"/>
                <w:u w:val="single"/>
              </w:rPr>
              <w:t xml:space="preserve"> </w:t>
            </w:r>
            <w:r>
              <w:rPr>
                <w:rFonts w:hint="eastAsia"/>
                <w:sz w:val="24"/>
                <w:u w:val="single"/>
              </w:rPr>
              <w:t>32</w:t>
            </w:r>
            <w:r>
              <w:rPr>
                <w:sz w:val="24"/>
                <w:u w:val="single"/>
              </w:rPr>
              <w:t xml:space="preserve"> </w:t>
            </w:r>
            <w:r>
              <w:rPr>
                <w:sz w:val="24"/>
              </w:rPr>
              <w:t>度</w:t>
            </w:r>
            <w:r>
              <w:rPr>
                <w:sz w:val="24"/>
                <w:u w:val="single"/>
              </w:rPr>
              <w:t xml:space="preserve"> </w:t>
            </w:r>
            <w:r>
              <w:rPr>
                <w:rFonts w:hint="eastAsia"/>
                <w:sz w:val="24"/>
                <w:u w:val="single"/>
              </w:rPr>
              <w:t>46</w:t>
            </w:r>
            <w:r>
              <w:rPr>
                <w:sz w:val="24"/>
                <w:u w:val="single"/>
              </w:rPr>
              <w:t xml:space="preserve"> </w:t>
            </w:r>
            <w:r>
              <w:rPr>
                <w:sz w:val="24"/>
              </w:rPr>
              <w:t>分</w:t>
            </w:r>
            <w:r>
              <w:rPr>
                <w:sz w:val="24"/>
                <w:u w:val="single"/>
              </w:rPr>
              <w:t xml:space="preserve"> </w:t>
            </w:r>
            <w:r>
              <w:rPr>
                <w:rFonts w:hint="eastAsia"/>
                <w:sz w:val="24"/>
                <w:u w:val="single"/>
              </w:rPr>
              <w:t>48.652</w:t>
            </w:r>
            <w:r>
              <w:rPr>
                <w:sz w:val="24"/>
                <w:u w:val="single"/>
              </w:rPr>
              <w:t xml:space="preserve"> </w:t>
            </w:r>
            <w:r>
              <w:rPr>
                <w:sz w:val="24"/>
              </w:rPr>
              <w:t>秒）</w:t>
            </w:r>
          </w:p>
        </w:tc>
      </w:tr>
      <w:tr w14:paraId="197ED3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15" w:hRule="atLeast"/>
        </w:trPr>
        <w:tc>
          <w:tcPr>
            <w:tcW w:w="943" w:type="pct"/>
            <w:tcMar>
              <w:top w:w="16" w:type="dxa"/>
              <w:left w:w="16" w:type="dxa"/>
              <w:right w:w="16" w:type="dxa"/>
            </w:tcMar>
            <w:vAlign w:val="center"/>
          </w:tcPr>
          <w:p w14:paraId="75481512">
            <w:pPr>
              <w:adjustRightInd w:val="0"/>
              <w:snapToGrid w:val="0"/>
              <w:jc w:val="center"/>
              <w:rPr>
                <w:sz w:val="24"/>
              </w:rPr>
            </w:pPr>
            <w:r>
              <w:rPr>
                <w:sz w:val="24"/>
              </w:rPr>
              <w:t>建设项目</w:t>
            </w:r>
          </w:p>
          <w:p w14:paraId="695D5157">
            <w:pPr>
              <w:adjustRightInd w:val="0"/>
              <w:snapToGrid w:val="0"/>
              <w:jc w:val="center"/>
              <w:rPr>
                <w:sz w:val="24"/>
              </w:rPr>
            </w:pPr>
            <w:r>
              <w:rPr>
                <w:sz w:val="24"/>
              </w:rPr>
              <w:t>行业类别</w:t>
            </w:r>
          </w:p>
        </w:tc>
        <w:tc>
          <w:tcPr>
            <w:tcW w:w="1416" w:type="pct"/>
            <w:vAlign w:val="center"/>
          </w:tcPr>
          <w:p w14:paraId="3C0675E9">
            <w:pPr>
              <w:adjustRightInd w:val="0"/>
              <w:snapToGrid w:val="0"/>
              <w:jc w:val="center"/>
              <w:rPr>
                <w:sz w:val="24"/>
              </w:rPr>
            </w:pPr>
            <w:r>
              <w:rPr>
                <w:rFonts w:hint="eastAsia"/>
                <w:sz w:val="24"/>
              </w:rPr>
              <w:t>1</w:t>
            </w:r>
            <w:r>
              <w:rPr>
                <w:sz w:val="24"/>
              </w:rPr>
              <w:t>61</w:t>
            </w:r>
            <w:r>
              <w:rPr>
                <w:rFonts w:hint="eastAsia"/>
                <w:sz w:val="24"/>
              </w:rPr>
              <w:t>输变电工程</w:t>
            </w:r>
          </w:p>
        </w:tc>
        <w:tc>
          <w:tcPr>
            <w:tcW w:w="1226" w:type="pct"/>
            <w:vAlign w:val="center"/>
          </w:tcPr>
          <w:p w14:paraId="5EE6366C">
            <w:pPr>
              <w:adjustRightInd w:val="0"/>
              <w:snapToGrid w:val="0"/>
              <w:jc w:val="center"/>
              <w:rPr>
                <w:sz w:val="24"/>
              </w:rPr>
            </w:pPr>
            <w:r>
              <w:rPr>
                <w:sz w:val="24"/>
              </w:rPr>
              <w:t>用地（用海）面积（</w:t>
            </w:r>
            <w:r>
              <w:rPr>
                <w:rFonts w:hint="eastAsia"/>
                <w:sz w:val="24"/>
              </w:rPr>
              <w:t>h</w:t>
            </w:r>
            <w:r>
              <w:rPr>
                <w:sz w:val="24"/>
              </w:rPr>
              <w:t>m</w:t>
            </w:r>
            <w:r>
              <w:rPr>
                <w:sz w:val="24"/>
                <w:vertAlign w:val="superscript"/>
              </w:rPr>
              <w:t>2</w:t>
            </w:r>
            <w:r>
              <w:rPr>
                <w:sz w:val="24"/>
              </w:rPr>
              <w:t>）/长度（km）</w:t>
            </w:r>
          </w:p>
        </w:tc>
        <w:tc>
          <w:tcPr>
            <w:tcW w:w="1413" w:type="pct"/>
            <w:gridSpan w:val="2"/>
            <w:vAlign w:val="center"/>
          </w:tcPr>
          <w:p w14:paraId="40C2B1B7">
            <w:pPr>
              <w:adjustRightInd w:val="0"/>
              <w:snapToGrid w:val="0"/>
              <w:jc w:val="left"/>
              <w:rPr>
                <w:sz w:val="24"/>
                <w:vertAlign w:val="superscript"/>
              </w:rPr>
            </w:pPr>
            <w:r>
              <w:rPr>
                <w:rFonts w:hint="eastAsia"/>
                <w:sz w:val="24"/>
              </w:rPr>
              <w:t>永久占地2.06hm</w:t>
            </w:r>
            <w:r>
              <w:rPr>
                <w:rFonts w:hint="eastAsia"/>
                <w:sz w:val="24"/>
                <w:vertAlign w:val="superscript"/>
              </w:rPr>
              <w:t>2</w:t>
            </w:r>
          </w:p>
          <w:p w14:paraId="08288337">
            <w:pPr>
              <w:adjustRightInd w:val="0"/>
              <w:snapToGrid w:val="0"/>
              <w:jc w:val="left"/>
              <w:rPr>
                <w:sz w:val="24"/>
              </w:rPr>
            </w:pPr>
            <w:r>
              <w:rPr>
                <w:rFonts w:hint="eastAsia"/>
                <w:sz w:val="24"/>
              </w:rPr>
              <w:t>临时占地1.50hm</w:t>
            </w:r>
            <w:r>
              <w:rPr>
                <w:rFonts w:hint="eastAsia"/>
                <w:sz w:val="24"/>
                <w:vertAlign w:val="superscript"/>
              </w:rPr>
              <w:t>2</w:t>
            </w:r>
          </w:p>
          <w:p w14:paraId="153E7E45">
            <w:pPr>
              <w:adjustRightInd w:val="0"/>
              <w:snapToGrid w:val="0"/>
              <w:jc w:val="left"/>
              <w:rPr>
                <w:sz w:val="24"/>
              </w:rPr>
            </w:pPr>
            <w:r>
              <w:rPr>
                <w:rFonts w:hint="eastAsia"/>
                <w:sz w:val="24"/>
              </w:rPr>
              <w:t>线路长度：5.01km</w:t>
            </w:r>
          </w:p>
        </w:tc>
      </w:tr>
      <w:tr w14:paraId="403126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4" w:hRule="atLeast"/>
        </w:trPr>
        <w:tc>
          <w:tcPr>
            <w:tcW w:w="943" w:type="pct"/>
            <w:tcMar>
              <w:top w:w="16" w:type="dxa"/>
              <w:left w:w="16" w:type="dxa"/>
              <w:right w:w="16" w:type="dxa"/>
            </w:tcMar>
            <w:vAlign w:val="center"/>
          </w:tcPr>
          <w:p w14:paraId="318ED09C">
            <w:pPr>
              <w:adjustRightInd w:val="0"/>
              <w:snapToGrid w:val="0"/>
              <w:jc w:val="center"/>
              <w:rPr>
                <w:sz w:val="24"/>
              </w:rPr>
            </w:pPr>
            <w:r>
              <w:rPr>
                <w:sz w:val="24"/>
              </w:rPr>
              <w:t>建设性质</w:t>
            </w:r>
          </w:p>
        </w:tc>
        <w:tc>
          <w:tcPr>
            <w:tcW w:w="1416" w:type="pct"/>
            <w:vAlign w:val="center"/>
          </w:tcPr>
          <w:p w14:paraId="4EE5B24F">
            <w:pPr>
              <w:adjustRightInd w:val="0"/>
              <w:snapToGrid w:val="0"/>
              <w:jc w:val="left"/>
              <w:rPr>
                <w:sz w:val="24"/>
              </w:rPr>
            </w:pPr>
            <w:r>
              <w:rPr>
                <w:sz w:val="24"/>
              </w:rPr>
              <w:sym w:font="Wingdings" w:char="F0FE"/>
            </w:r>
            <w:r>
              <w:rPr>
                <w:sz w:val="24"/>
              </w:rPr>
              <w:t>新建（迁建）</w:t>
            </w:r>
          </w:p>
          <w:p w14:paraId="5CF65F08">
            <w:pPr>
              <w:adjustRightInd w:val="0"/>
              <w:snapToGrid w:val="0"/>
              <w:jc w:val="left"/>
              <w:rPr>
                <w:sz w:val="24"/>
              </w:rPr>
            </w:pPr>
            <w:r>
              <w:rPr>
                <w:sz w:val="24"/>
              </w:rPr>
              <w:sym w:font="Wingdings" w:char="F0A8"/>
            </w:r>
            <w:r>
              <w:rPr>
                <w:sz w:val="24"/>
              </w:rPr>
              <w:t>改建</w:t>
            </w:r>
          </w:p>
          <w:p w14:paraId="72A8AA0B">
            <w:pPr>
              <w:adjustRightInd w:val="0"/>
              <w:snapToGrid w:val="0"/>
              <w:jc w:val="left"/>
              <w:rPr>
                <w:sz w:val="24"/>
              </w:rPr>
            </w:pPr>
            <w:r>
              <w:rPr>
                <w:sz w:val="24"/>
              </w:rPr>
              <w:sym w:font="Wingdings" w:char="F0A8"/>
            </w:r>
            <w:r>
              <w:rPr>
                <w:sz w:val="24"/>
              </w:rPr>
              <w:t>扩建</w:t>
            </w:r>
          </w:p>
          <w:p w14:paraId="4B9056AA">
            <w:pPr>
              <w:adjustRightInd w:val="0"/>
              <w:snapToGrid w:val="0"/>
              <w:jc w:val="left"/>
              <w:rPr>
                <w:sz w:val="24"/>
              </w:rPr>
            </w:pPr>
            <w:r>
              <w:rPr>
                <w:sz w:val="24"/>
              </w:rPr>
              <w:sym w:font="Wingdings" w:char="F0A8"/>
            </w:r>
            <w:r>
              <w:rPr>
                <w:sz w:val="24"/>
              </w:rPr>
              <w:t>技术改造</w:t>
            </w:r>
          </w:p>
        </w:tc>
        <w:tc>
          <w:tcPr>
            <w:tcW w:w="1226" w:type="pct"/>
            <w:vAlign w:val="center"/>
          </w:tcPr>
          <w:p w14:paraId="7B599C88">
            <w:pPr>
              <w:adjustRightInd w:val="0"/>
              <w:snapToGrid w:val="0"/>
              <w:jc w:val="center"/>
              <w:rPr>
                <w:sz w:val="24"/>
              </w:rPr>
            </w:pPr>
            <w:r>
              <w:rPr>
                <w:sz w:val="24"/>
              </w:rPr>
              <w:t>建设项目</w:t>
            </w:r>
          </w:p>
          <w:p w14:paraId="37D71960">
            <w:pPr>
              <w:adjustRightInd w:val="0"/>
              <w:snapToGrid w:val="0"/>
              <w:jc w:val="center"/>
              <w:rPr>
                <w:sz w:val="24"/>
              </w:rPr>
            </w:pPr>
            <w:r>
              <w:rPr>
                <w:sz w:val="24"/>
              </w:rPr>
              <w:t>申报情形</w:t>
            </w:r>
          </w:p>
        </w:tc>
        <w:tc>
          <w:tcPr>
            <w:tcW w:w="1413" w:type="pct"/>
            <w:gridSpan w:val="2"/>
            <w:vAlign w:val="center"/>
          </w:tcPr>
          <w:p w14:paraId="51F5370A">
            <w:pPr>
              <w:adjustRightInd w:val="0"/>
              <w:snapToGrid w:val="0"/>
              <w:jc w:val="left"/>
              <w:rPr>
                <w:sz w:val="24"/>
              </w:rPr>
            </w:pPr>
            <w:r>
              <w:rPr>
                <w:sz w:val="24"/>
              </w:rPr>
              <w:sym w:font="Wingdings" w:char="F0FE"/>
            </w:r>
            <w:r>
              <w:rPr>
                <w:sz w:val="24"/>
              </w:rPr>
              <w:t>首次申报项目</w:t>
            </w:r>
          </w:p>
          <w:p w14:paraId="474D5931">
            <w:pPr>
              <w:adjustRightInd w:val="0"/>
              <w:snapToGrid w:val="0"/>
              <w:jc w:val="left"/>
              <w:rPr>
                <w:sz w:val="24"/>
              </w:rPr>
            </w:pPr>
            <w:r>
              <w:rPr>
                <w:sz w:val="24"/>
              </w:rPr>
              <w:sym w:font="Wingdings" w:char="F0A8"/>
            </w:r>
            <w:r>
              <w:rPr>
                <w:sz w:val="24"/>
              </w:rPr>
              <w:t>不予批准后再次申报项目</w:t>
            </w:r>
          </w:p>
          <w:p w14:paraId="7D638F7A">
            <w:pPr>
              <w:adjustRightInd w:val="0"/>
              <w:snapToGrid w:val="0"/>
              <w:jc w:val="left"/>
              <w:rPr>
                <w:sz w:val="24"/>
              </w:rPr>
            </w:pPr>
            <w:r>
              <w:rPr>
                <w:sz w:val="24"/>
              </w:rPr>
              <w:sym w:font="Wingdings" w:char="F0A8"/>
            </w:r>
            <w:r>
              <w:rPr>
                <w:sz w:val="24"/>
              </w:rPr>
              <w:t>超五年重新审核项目</w:t>
            </w:r>
          </w:p>
          <w:p w14:paraId="6F8443FD">
            <w:pPr>
              <w:adjustRightInd w:val="0"/>
              <w:snapToGrid w:val="0"/>
              <w:rPr>
                <w:sz w:val="24"/>
              </w:rPr>
            </w:pPr>
            <w:r>
              <w:rPr>
                <w:sz w:val="24"/>
              </w:rPr>
              <w:sym w:font="Wingdings" w:char="F0A8"/>
            </w:r>
            <w:r>
              <w:rPr>
                <w:sz w:val="24"/>
              </w:rPr>
              <w:t>重大变动重新报批项目</w:t>
            </w:r>
          </w:p>
        </w:tc>
      </w:tr>
      <w:tr w14:paraId="4A1973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62" w:hRule="atLeast"/>
        </w:trPr>
        <w:tc>
          <w:tcPr>
            <w:tcW w:w="943" w:type="pct"/>
            <w:tcMar>
              <w:top w:w="16" w:type="dxa"/>
              <w:left w:w="16" w:type="dxa"/>
              <w:right w:w="16" w:type="dxa"/>
            </w:tcMar>
            <w:vAlign w:val="center"/>
          </w:tcPr>
          <w:p w14:paraId="38A7F4CE">
            <w:pPr>
              <w:adjustRightInd w:val="0"/>
              <w:snapToGrid w:val="0"/>
              <w:jc w:val="center"/>
              <w:rPr>
                <w:sz w:val="24"/>
              </w:rPr>
            </w:pPr>
            <w:r>
              <w:rPr>
                <w:sz w:val="24"/>
              </w:rPr>
              <w:t>项目审批（核准/</w:t>
            </w:r>
          </w:p>
          <w:p w14:paraId="1E675C01">
            <w:pPr>
              <w:adjustRightInd w:val="0"/>
              <w:snapToGrid w:val="0"/>
              <w:jc w:val="center"/>
              <w:rPr>
                <w:sz w:val="24"/>
              </w:rPr>
            </w:pPr>
            <w:r>
              <w:rPr>
                <w:sz w:val="24"/>
              </w:rPr>
              <w:t>备案）部门（选填）</w:t>
            </w:r>
          </w:p>
        </w:tc>
        <w:tc>
          <w:tcPr>
            <w:tcW w:w="1416" w:type="pct"/>
            <w:vAlign w:val="center"/>
          </w:tcPr>
          <w:p w14:paraId="7E414BAE">
            <w:pPr>
              <w:adjustRightInd w:val="0"/>
              <w:snapToGrid w:val="0"/>
              <w:jc w:val="center"/>
              <w:rPr>
                <w:sz w:val="24"/>
              </w:rPr>
            </w:pPr>
            <w:r>
              <w:rPr>
                <w:rFonts w:hint="eastAsia"/>
                <w:sz w:val="24"/>
              </w:rPr>
              <w:t>淮南市发展和改革委员会</w:t>
            </w:r>
          </w:p>
        </w:tc>
        <w:tc>
          <w:tcPr>
            <w:tcW w:w="1226" w:type="pct"/>
            <w:vAlign w:val="center"/>
          </w:tcPr>
          <w:p w14:paraId="2A0150B1">
            <w:pPr>
              <w:adjustRightInd w:val="0"/>
              <w:snapToGrid w:val="0"/>
              <w:jc w:val="center"/>
              <w:rPr>
                <w:sz w:val="24"/>
              </w:rPr>
            </w:pPr>
            <w:r>
              <w:rPr>
                <w:sz w:val="24"/>
              </w:rPr>
              <w:t>项目审批（核准/</w:t>
            </w:r>
          </w:p>
          <w:p w14:paraId="0F816128">
            <w:pPr>
              <w:adjustRightInd w:val="0"/>
              <w:snapToGrid w:val="0"/>
              <w:jc w:val="center"/>
              <w:rPr>
                <w:sz w:val="24"/>
              </w:rPr>
            </w:pPr>
            <w:r>
              <w:rPr>
                <w:sz w:val="24"/>
              </w:rPr>
              <w:t>备案）文号（选填）</w:t>
            </w:r>
          </w:p>
        </w:tc>
        <w:tc>
          <w:tcPr>
            <w:tcW w:w="1413" w:type="pct"/>
            <w:gridSpan w:val="2"/>
            <w:vAlign w:val="center"/>
          </w:tcPr>
          <w:p w14:paraId="7179009D">
            <w:pPr>
              <w:adjustRightInd w:val="0"/>
              <w:snapToGrid w:val="0"/>
              <w:jc w:val="center"/>
              <w:rPr>
                <w:sz w:val="24"/>
              </w:rPr>
            </w:pPr>
            <w:r>
              <w:rPr>
                <w:rFonts w:hint="eastAsia"/>
                <w:sz w:val="24"/>
              </w:rPr>
              <w:t>淮发改审批[</w:t>
            </w:r>
            <w:r>
              <w:rPr>
                <w:sz w:val="24"/>
              </w:rPr>
              <w:t>20</w:t>
            </w:r>
            <w:r>
              <w:rPr>
                <w:rFonts w:hint="eastAsia"/>
                <w:sz w:val="24"/>
              </w:rPr>
              <w:t>24</w:t>
            </w:r>
            <w:r>
              <w:rPr>
                <w:sz w:val="24"/>
              </w:rPr>
              <w:t>]</w:t>
            </w:r>
            <w:r>
              <w:rPr>
                <w:rFonts w:hint="eastAsia"/>
                <w:sz w:val="24"/>
              </w:rPr>
              <w:t>77号</w:t>
            </w:r>
          </w:p>
        </w:tc>
      </w:tr>
      <w:tr w14:paraId="498B3B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943" w:type="pct"/>
            <w:tcMar>
              <w:top w:w="16" w:type="dxa"/>
              <w:left w:w="16" w:type="dxa"/>
              <w:right w:w="16" w:type="dxa"/>
            </w:tcMar>
            <w:vAlign w:val="center"/>
          </w:tcPr>
          <w:p w14:paraId="4D5DE3D3">
            <w:pPr>
              <w:adjustRightInd w:val="0"/>
              <w:snapToGrid w:val="0"/>
              <w:jc w:val="center"/>
              <w:rPr>
                <w:sz w:val="24"/>
              </w:rPr>
            </w:pPr>
            <w:r>
              <w:rPr>
                <w:sz w:val="24"/>
              </w:rPr>
              <w:t>总投资（万元）</w:t>
            </w:r>
          </w:p>
        </w:tc>
        <w:tc>
          <w:tcPr>
            <w:tcW w:w="1416" w:type="pct"/>
            <w:vAlign w:val="center"/>
          </w:tcPr>
          <w:p w14:paraId="25F9F629">
            <w:pPr>
              <w:adjustRightInd w:val="0"/>
              <w:snapToGrid w:val="0"/>
              <w:jc w:val="center"/>
              <w:rPr>
                <w:sz w:val="24"/>
              </w:rPr>
            </w:pPr>
            <w:r>
              <w:rPr>
                <w:rFonts w:hint="eastAsia"/>
                <w:sz w:val="24"/>
              </w:rPr>
              <w:t>17101</w:t>
            </w:r>
          </w:p>
        </w:tc>
        <w:tc>
          <w:tcPr>
            <w:tcW w:w="1226" w:type="pct"/>
            <w:tcMar>
              <w:top w:w="16" w:type="dxa"/>
              <w:left w:w="16" w:type="dxa"/>
              <w:right w:w="16" w:type="dxa"/>
            </w:tcMar>
            <w:vAlign w:val="center"/>
          </w:tcPr>
          <w:p w14:paraId="01655AF0">
            <w:pPr>
              <w:adjustRightInd w:val="0"/>
              <w:snapToGrid w:val="0"/>
              <w:jc w:val="center"/>
              <w:rPr>
                <w:sz w:val="24"/>
              </w:rPr>
            </w:pPr>
            <w:r>
              <w:rPr>
                <w:sz w:val="24"/>
              </w:rPr>
              <w:t>环保投资（万元）</w:t>
            </w:r>
          </w:p>
        </w:tc>
        <w:tc>
          <w:tcPr>
            <w:tcW w:w="1413" w:type="pct"/>
            <w:gridSpan w:val="2"/>
            <w:vAlign w:val="center"/>
          </w:tcPr>
          <w:p w14:paraId="285E6D13">
            <w:pPr>
              <w:adjustRightInd w:val="0"/>
              <w:snapToGrid w:val="0"/>
              <w:jc w:val="center"/>
              <w:rPr>
                <w:sz w:val="24"/>
              </w:rPr>
            </w:pPr>
            <w:r>
              <w:rPr>
                <w:rFonts w:hint="eastAsia"/>
                <w:sz w:val="24"/>
              </w:rPr>
              <w:t>24</w:t>
            </w:r>
            <w:r>
              <w:rPr>
                <w:sz w:val="24"/>
              </w:rPr>
              <w:t>2</w:t>
            </w:r>
          </w:p>
        </w:tc>
      </w:tr>
      <w:tr w14:paraId="43BE65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4" w:hRule="atLeast"/>
        </w:trPr>
        <w:tc>
          <w:tcPr>
            <w:tcW w:w="943" w:type="pct"/>
            <w:tcMar>
              <w:top w:w="16" w:type="dxa"/>
              <w:left w:w="16" w:type="dxa"/>
              <w:right w:w="16" w:type="dxa"/>
            </w:tcMar>
            <w:vAlign w:val="center"/>
          </w:tcPr>
          <w:p w14:paraId="7D6771E7">
            <w:pPr>
              <w:adjustRightInd w:val="0"/>
              <w:snapToGrid w:val="0"/>
              <w:jc w:val="center"/>
              <w:rPr>
                <w:sz w:val="24"/>
              </w:rPr>
            </w:pPr>
            <w:r>
              <w:rPr>
                <w:sz w:val="24"/>
              </w:rPr>
              <w:t>环保投资占比（%）</w:t>
            </w:r>
          </w:p>
        </w:tc>
        <w:tc>
          <w:tcPr>
            <w:tcW w:w="1416" w:type="pct"/>
            <w:vAlign w:val="center"/>
          </w:tcPr>
          <w:p w14:paraId="0489B371">
            <w:pPr>
              <w:adjustRightInd w:val="0"/>
              <w:snapToGrid w:val="0"/>
              <w:jc w:val="center"/>
              <w:rPr>
                <w:sz w:val="24"/>
              </w:rPr>
            </w:pPr>
            <w:r>
              <w:rPr>
                <w:rFonts w:hint="eastAsia"/>
                <w:sz w:val="24"/>
              </w:rPr>
              <w:t>1.42</w:t>
            </w:r>
          </w:p>
        </w:tc>
        <w:tc>
          <w:tcPr>
            <w:tcW w:w="1226" w:type="pct"/>
            <w:tcMar>
              <w:top w:w="16" w:type="dxa"/>
              <w:left w:w="16" w:type="dxa"/>
              <w:right w:w="16" w:type="dxa"/>
            </w:tcMar>
            <w:vAlign w:val="center"/>
          </w:tcPr>
          <w:p w14:paraId="31B5A7BB">
            <w:pPr>
              <w:adjustRightInd w:val="0"/>
              <w:snapToGrid w:val="0"/>
              <w:jc w:val="center"/>
              <w:rPr>
                <w:sz w:val="24"/>
              </w:rPr>
            </w:pPr>
            <w:r>
              <w:rPr>
                <w:sz w:val="24"/>
              </w:rPr>
              <w:t>施工工期</w:t>
            </w:r>
          </w:p>
        </w:tc>
        <w:tc>
          <w:tcPr>
            <w:tcW w:w="1413" w:type="pct"/>
            <w:gridSpan w:val="2"/>
            <w:vAlign w:val="center"/>
          </w:tcPr>
          <w:p w14:paraId="20F074D2">
            <w:pPr>
              <w:adjustRightInd w:val="0"/>
              <w:snapToGrid w:val="0"/>
              <w:jc w:val="center"/>
              <w:rPr>
                <w:sz w:val="24"/>
              </w:rPr>
            </w:pPr>
            <w:r>
              <w:rPr>
                <w:rFonts w:hint="eastAsia"/>
                <w:sz w:val="24"/>
              </w:rPr>
              <w:t>12个月</w:t>
            </w:r>
          </w:p>
        </w:tc>
      </w:tr>
      <w:tr w14:paraId="3D8222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trPr>
        <w:tc>
          <w:tcPr>
            <w:tcW w:w="943" w:type="pct"/>
            <w:tcMar>
              <w:top w:w="16" w:type="dxa"/>
              <w:left w:w="16" w:type="dxa"/>
              <w:right w:w="16" w:type="dxa"/>
            </w:tcMar>
            <w:vAlign w:val="center"/>
          </w:tcPr>
          <w:p w14:paraId="7A487E5E">
            <w:pPr>
              <w:adjustRightInd w:val="0"/>
              <w:snapToGrid w:val="0"/>
              <w:jc w:val="center"/>
              <w:rPr>
                <w:sz w:val="24"/>
              </w:rPr>
            </w:pPr>
            <w:r>
              <w:rPr>
                <w:sz w:val="24"/>
              </w:rPr>
              <w:t>是否开工建设</w:t>
            </w:r>
          </w:p>
        </w:tc>
        <w:tc>
          <w:tcPr>
            <w:tcW w:w="4056" w:type="pct"/>
            <w:gridSpan w:val="4"/>
            <w:vAlign w:val="center"/>
          </w:tcPr>
          <w:p w14:paraId="4A24D60E">
            <w:pPr>
              <w:adjustRightInd w:val="0"/>
              <w:snapToGrid w:val="0"/>
              <w:ind w:firstLine="105"/>
              <w:jc w:val="left"/>
              <w:rPr>
                <w:sz w:val="24"/>
              </w:rPr>
            </w:pPr>
            <w:r>
              <w:rPr>
                <w:sz w:val="24"/>
              </w:rPr>
              <w:sym w:font="Wingdings" w:char="F0FE"/>
            </w:r>
            <w:r>
              <w:rPr>
                <w:sz w:val="24"/>
              </w:rPr>
              <w:t>否</w:t>
            </w:r>
          </w:p>
          <w:p w14:paraId="0234C54F">
            <w:pPr>
              <w:adjustRightInd w:val="0"/>
              <w:snapToGrid w:val="0"/>
              <w:ind w:firstLine="92"/>
              <w:jc w:val="left"/>
              <w:rPr>
                <w:sz w:val="24"/>
              </w:rPr>
            </w:pPr>
            <w:r>
              <w:rPr>
                <w:sz w:val="24"/>
              </w:rPr>
              <w:sym w:font="Wingdings" w:char="F0A8"/>
            </w:r>
            <w:r>
              <w:rPr>
                <w:sz w:val="24"/>
              </w:rPr>
              <w:t>是：</w:t>
            </w:r>
            <w:r>
              <w:rPr>
                <w:sz w:val="24"/>
                <w:u w:val="single"/>
              </w:rPr>
              <w:t xml:space="preserve">                             </w:t>
            </w:r>
          </w:p>
        </w:tc>
      </w:tr>
      <w:tr w14:paraId="7AFF67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trPr>
        <w:tc>
          <w:tcPr>
            <w:tcW w:w="943" w:type="pct"/>
            <w:tcMar>
              <w:top w:w="16" w:type="dxa"/>
              <w:left w:w="16" w:type="dxa"/>
              <w:right w:w="16" w:type="dxa"/>
            </w:tcMar>
            <w:vAlign w:val="center"/>
          </w:tcPr>
          <w:p w14:paraId="4475F238">
            <w:pPr>
              <w:autoSpaceDE w:val="0"/>
              <w:autoSpaceDN w:val="0"/>
              <w:adjustRightInd w:val="0"/>
              <w:snapToGrid w:val="0"/>
              <w:jc w:val="center"/>
              <w:rPr>
                <w:kern w:val="0"/>
                <w:sz w:val="24"/>
              </w:rPr>
            </w:pPr>
            <w:r>
              <w:rPr>
                <w:kern w:val="0"/>
                <w:sz w:val="24"/>
              </w:rPr>
              <w:t>专项评价设置情况</w:t>
            </w:r>
          </w:p>
        </w:tc>
        <w:tc>
          <w:tcPr>
            <w:tcW w:w="4056" w:type="pct"/>
            <w:gridSpan w:val="4"/>
            <w:tcMar>
              <w:top w:w="16" w:type="dxa"/>
              <w:left w:w="16" w:type="dxa"/>
              <w:right w:w="16" w:type="dxa"/>
            </w:tcMar>
            <w:vAlign w:val="center"/>
          </w:tcPr>
          <w:p w14:paraId="7BDA2662">
            <w:pPr>
              <w:autoSpaceDE w:val="0"/>
              <w:autoSpaceDN w:val="0"/>
              <w:adjustRightInd w:val="0"/>
              <w:snapToGrid w:val="0"/>
              <w:rPr>
                <w:kern w:val="0"/>
                <w:sz w:val="24"/>
              </w:rPr>
            </w:pPr>
            <w:r>
              <w:rPr>
                <w:rFonts w:hint="eastAsia"/>
                <w:kern w:val="0"/>
                <w:sz w:val="24"/>
              </w:rPr>
              <w:t xml:space="preserve">根据《环境影响评价技术导则 </w:t>
            </w:r>
            <w:r>
              <w:rPr>
                <w:kern w:val="0"/>
                <w:sz w:val="24"/>
              </w:rPr>
              <w:t xml:space="preserve"> </w:t>
            </w:r>
            <w:r>
              <w:rPr>
                <w:rFonts w:hint="eastAsia"/>
                <w:kern w:val="0"/>
                <w:sz w:val="24"/>
              </w:rPr>
              <w:t>输变电》（HJ</w:t>
            </w:r>
            <w:r>
              <w:rPr>
                <w:kern w:val="0"/>
                <w:sz w:val="24"/>
              </w:rPr>
              <w:t>24-2020</w:t>
            </w:r>
            <w:r>
              <w:rPr>
                <w:rFonts w:hint="eastAsia"/>
                <w:kern w:val="0"/>
                <w:sz w:val="24"/>
              </w:rPr>
              <w:t>）“附录B”中要求，开展电磁环境影响专题评价；</w:t>
            </w:r>
          </w:p>
        </w:tc>
      </w:tr>
      <w:tr w14:paraId="467588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trPr>
        <w:tc>
          <w:tcPr>
            <w:tcW w:w="943" w:type="pct"/>
            <w:tcMar>
              <w:top w:w="16" w:type="dxa"/>
              <w:left w:w="16" w:type="dxa"/>
              <w:right w:w="16" w:type="dxa"/>
            </w:tcMar>
            <w:vAlign w:val="center"/>
          </w:tcPr>
          <w:p w14:paraId="333FDF8D">
            <w:pPr>
              <w:autoSpaceDE w:val="0"/>
              <w:autoSpaceDN w:val="0"/>
              <w:adjustRightInd w:val="0"/>
              <w:snapToGrid w:val="0"/>
              <w:jc w:val="center"/>
              <w:rPr>
                <w:kern w:val="0"/>
                <w:sz w:val="24"/>
              </w:rPr>
            </w:pPr>
            <w:r>
              <w:rPr>
                <w:sz w:val="24"/>
              </w:rPr>
              <w:t>规划情况</w:t>
            </w:r>
          </w:p>
        </w:tc>
        <w:tc>
          <w:tcPr>
            <w:tcW w:w="4056" w:type="pct"/>
            <w:gridSpan w:val="4"/>
            <w:tcMar>
              <w:top w:w="16" w:type="dxa"/>
              <w:left w:w="16" w:type="dxa"/>
              <w:right w:w="16" w:type="dxa"/>
            </w:tcMar>
            <w:vAlign w:val="center"/>
          </w:tcPr>
          <w:p w14:paraId="346FF778">
            <w:pPr>
              <w:autoSpaceDE w:val="0"/>
              <w:autoSpaceDN w:val="0"/>
              <w:adjustRightInd w:val="0"/>
              <w:snapToGrid w:val="0"/>
              <w:jc w:val="center"/>
              <w:rPr>
                <w:kern w:val="0"/>
                <w:sz w:val="24"/>
              </w:rPr>
            </w:pPr>
            <w:r>
              <w:rPr>
                <w:kern w:val="0"/>
                <w:sz w:val="24"/>
              </w:rPr>
              <w:t>无</w:t>
            </w:r>
          </w:p>
        </w:tc>
      </w:tr>
      <w:tr w14:paraId="0356EA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trPr>
        <w:tc>
          <w:tcPr>
            <w:tcW w:w="943" w:type="pct"/>
            <w:tcMar>
              <w:top w:w="16" w:type="dxa"/>
              <w:left w:w="16" w:type="dxa"/>
              <w:right w:w="16" w:type="dxa"/>
            </w:tcMar>
            <w:vAlign w:val="center"/>
          </w:tcPr>
          <w:p w14:paraId="2610710F">
            <w:pPr>
              <w:autoSpaceDE w:val="0"/>
              <w:autoSpaceDN w:val="0"/>
              <w:adjustRightInd w:val="0"/>
              <w:snapToGrid w:val="0"/>
              <w:jc w:val="center"/>
              <w:rPr>
                <w:sz w:val="24"/>
              </w:rPr>
            </w:pPr>
            <w:r>
              <w:rPr>
                <w:sz w:val="24"/>
              </w:rPr>
              <w:t>规划环境影响</w:t>
            </w:r>
          </w:p>
          <w:p w14:paraId="5FCE2011">
            <w:pPr>
              <w:autoSpaceDE w:val="0"/>
              <w:autoSpaceDN w:val="0"/>
              <w:adjustRightInd w:val="0"/>
              <w:snapToGrid w:val="0"/>
              <w:jc w:val="center"/>
              <w:rPr>
                <w:kern w:val="0"/>
                <w:sz w:val="24"/>
              </w:rPr>
            </w:pPr>
            <w:r>
              <w:rPr>
                <w:sz w:val="24"/>
              </w:rPr>
              <w:t>评价情况</w:t>
            </w:r>
          </w:p>
        </w:tc>
        <w:tc>
          <w:tcPr>
            <w:tcW w:w="4056" w:type="pct"/>
            <w:gridSpan w:val="4"/>
            <w:tcMar>
              <w:top w:w="16" w:type="dxa"/>
              <w:left w:w="16" w:type="dxa"/>
              <w:right w:w="16" w:type="dxa"/>
            </w:tcMar>
            <w:vAlign w:val="center"/>
          </w:tcPr>
          <w:p w14:paraId="01B1214B">
            <w:pPr>
              <w:adjustRightInd w:val="0"/>
              <w:snapToGrid w:val="0"/>
              <w:jc w:val="center"/>
              <w:rPr>
                <w:kern w:val="0"/>
                <w:sz w:val="24"/>
              </w:rPr>
            </w:pPr>
            <w:r>
              <w:rPr>
                <w:kern w:val="0"/>
                <w:sz w:val="24"/>
              </w:rPr>
              <w:t>无</w:t>
            </w:r>
          </w:p>
        </w:tc>
      </w:tr>
      <w:tr w14:paraId="4DEA2A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557" w:hRule="atLeast"/>
        </w:trPr>
        <w:tc>
          <w:tcPr>
            <w:tcW w:w="943" w:type="pct"/>
            <w:tcMar>
              <w:top w:w="16" w:type="dxa"/>
              <w:left w:w="16" w:type="dxa"/>
              <w:right w:w="16" w:type="dxa"/>
            </w:tcMar>
            <w:vAlign w:val="center"/>
          </w:tcPr>
          <w:p w14:paraId="385DCA38">
            <w:pPr>
              <w:autoSpaceDE w:val="0"/>
              <w:autoSpaceDN w:val="0"/>
              <w:adjustRightInd w:val="0"/>
              <w:snapToGrid w:val="0"/>
              <w:jc w:val="center"/>
              <w:rPr>
                <w:kern w:val="0"/>
                <w:sz w:val="24"/>
              </w:rPr>
            </w:pPr>
            <w:r>
              <w:rPr>
                <w:kern w:val="0"/>
                <w:sz w:val="24"/>
              </w:rPr>
              <w:t>规划及</w:t>
            </w:r>
            <w:r>
              <w:rPr>
                <w:sz w:val="24"/>
              </w:rPr>
              <w:t>规划环境影响评价</w:t>
            </w:r>
            <w:r>
              <w:rPr>
                <w:kern w:val="0"/>
                <w:sz w:val="24"/>
              </w:rPr>
              <w:t>符合性分析</w:t>
            </w:r>
          </w:p>
        </w:tc>
        <w:tc>
          <w:tcPr>
            <w:tcW w:w="4056" w:type="pct"/>
            <w:gridSpan w:val="4"/>
            <w:tcMar>
              <w:top w:w="16" w:type="dxa"/>
              <w:left w:w="16" w:type="dxa"/>
              <w:right w:w="16" w:type="dxa"/>
            </w:tcMar>
            <w:vAlign w:val="center"/>
          </w:tcPr>
          <w:p w14:paraId="01239A7C">
            <w:pPr>
              <w:autoSpaceDE w:val="0"/>
              <w:autoSpaceDN w:val="0"/>
              <w:adjustRightInd w:val="0"/>
              <w:snapToGrid w:val="0"/>
              <w:jc w:val="center"/>
              <w:rPr>
                <w:kern w:val="0"/>
                <w:sz w:val="24"/>
              </w:rPr>
            </w:pPr>
            <w:r>
              <w:rPr>
                <w:rFonts w:hint="eastAsia"/>
                <w:kern w:val="0"/>
                <w:sz w:val="24"/>
              </w:rPr>
              <w:t>无</w:t>
            </w:r>
          </w:p>
        </w:tc>
      </w:tr>
      <w:tr w14:paraId="1FD834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431" w:hRule="atLeast"/>
        </w:trPr>
        <w:tc>
          <w:tcPr>
            <w:tcW w:w="943" w:type="pct"/>
            <w:tcMar>
              <w:top w:w="16" w:type="dxa"/>
              <w:left w:w="16" w:type="dxa"/>
              <w:right w:w="16" w:type="dxa"/>
            </w:tcMar>
            <w:vAlign w:val="center"/>
          </w:tcPr>
          <w:p w14:paraId="2B6FB3E7">
            <w:pPr>
              <w:autoSpaceDE w:val="0"/>
              <w:autoSpaceDN w:val="0"/>
              <w:adjustRightInd w:val="0"/>
              <w:snapToGrid w:val="0"/>
              <w:jc w:val="center"/>
              <w:rPr>
                <w:kern w:val="0"/>
                <w:szCs w:val="21"/>
              </w:rPr>
            </w:pPr>
            <w:bookmarkStart w:id="2" w:name="_Hlk56690880"/>
            <w:r>
              <w:rPr>
                <w:kern w:val="0"/>
                <w:szCs w:val="21"/>
              </w:rPr>
              <w:t>其他符合性分析</w:t>
            </w:r>
            <w:bookmarkEnd w:id="2"/>
          </w:p>
        </w:tc>
        <w:tc>
          <w:tcPr>
            <w:tcW w:w="4056" w:type="pct"/>
            <w:gridSpan w:val="4"/>
            <w:tcMar>
              <w:top w:w="16" w:type="dxa"/>
              <w:left w:w="16" w:type="dxa"/>
              <w:right w:w="16" w:type="dxa"/>
            </w:tcMar>
            <w:vAlign w:val="center"/>
          </w:tcPr>
          <w:p w14:paraId="77555ED6">
            <w:pPr>
              <w:pStyle w:val="48"/>
              <w:rPr>
                <w:color w:val="auto"/>
              </w:rPr>
            </w:pPr>
            <w:r>
              <w:rPr>
                <w:rFonts w:hint="eastAsia"/>
                <w:color w:val="auto"/>
              </w:rPr>
              <w:t>（一）政策及规划相符性分析</w:t>
            </w:r>
          </w:p>
          <w:p w14:paraId="2124213E">
            <w:pPr>
              <w:pStyle w:val="51"/>
              <w:rPr>
                <w:color w:val="auto"/>
              </w:rPr>
            </w:pPr>
            <w:r>
              <w:rPr>
                <w:rFonts w:hint="eastAsia"/>
                <w:color w:val="auto"/>
              </w:rPr>
              <w:t>本项目主要为220kV输变电工程和升压站，是国家发展和改革委员会《产业结构调整指导目录（2</w:t>
            </w:r>
            <w:r>
              <w:rPr>
                <w:color w:val="auto"/>
              </w:rPr>
              <w:t>0</w:t>
            </w:r>
            <w:r>
              <w:rPr>
                <w:rFonts w:hint="eastAsia"/>
                <w:color w:val="auto"/>
              </w:rPr>
              <w:t>24年本）》中鼓励类项目（“第一类鼓励类”中“四、电力”的“电力基础设施建设：大中型水力发电及抽水蓄能电站、大型电站及大电网变电站集约化设计和自动化技术开发与应用，跨区电网互联工程技术开发与应用，</w:t>
            </w:r>
            <w:r>
              <w:rPr>
                <w:rFonts w:hint="eastAsia"/>
                <w:b/>
                <w:bCs/>
                <w:color w:val="auto"/>
              </w:rPr>
              <w:t>电网改造与建设，</w:t>
            </w:r>
            <w:r>
              <w:rPr>
                <w:rFonts w:hint="eastAsia"/>
                <w:color w:val="auto"/>
              </w:rPr>
              <w:t>增量配电网建设，边境及国家大电网未覆盖的地区可再生能源局域网建设，输变电、配电节能、降损、环保技术开发与推广应用”），符合国家产业政策。</w:t>
            </w:r>
          </w:p>
          <w:p w14:paraId="021C17C7">
            <w:pPr>
              <w:pStyle w:val="51"/>
              <w:rPr>
                <w:color w:val="auto"/>
              </w:rPr>
            </w:pPr>
            <w:r>
              <w:rPr>
                <w:rFonts w:hint="eastAsia"/>
                <w:color w:val="auto"/>
              </w:rPr>
              <w:t>在选线阶段，设计单位对本工程输电线路路径选择给予了充分的重视，已经向淮南市凤台县生态环境分局、凤台县自然资源和规划局、凤台县水利局等部门征询意见，在本次评价中，评价单位就协议落实情况进行了详细调查和了解，这些意见在后续工作中基本落实。因此本工程在建设工程中较好考虑了项目本身与环境的协调，满足规划要求。</w:t>
            </w:r>
          </w:p>
          <w:p w14:paraId="0AC8CF04">
            <w:pPr>
              <w:pStyle w:val="53"/>
              <w:rPr>
                <w:color w:val="auto"/>
              </w:rPr>
            </w:pPr>
            <w:r>
              <w:rPr>
                <w:rFonts w:hint="eastAsia"/>
                <w:color w:val="auto"/>
              </w:rPr>
              <w:t>表1</w:t>
            </w:r>
            <w:r>
              <w:rPr>
                <w:color w:val="auto"/>
              </w:rPr>
              <w:t xml:space="preserve">-1  </w:t>
            </w:r>
            <w:r>
              <w:rPr>
                <w:rFonts w:hint="eastAsia"/>
                <w:color w:val="auto"/>
              </w:rPr>
              <w:t>本线路工程路径协议一览表</w:t>
            </w:r>
          </w:p>
          <w:tbl>
            <w:tblPr>
              <w:tblStyle w:val="2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366"/>
              <w:gridCol w:w="3215"/>
              <w:gridCol w:w="1972"/>
              <w:gridCol w:w="757"/>
            </w:tblGrid>
            <w:tr w14:paraId="61089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80" w:hRule="atLeast"/>
                <w:tblHeader/>
                <w:jc w:val="center"/>
              </w:trPr>
              <w:tc>
                <w:tcPr>
                  <w:tcW w:w="934" w:type="pct"/>
                  <w:vAlign w:val="center"/>
                </w:tcPr>
                <w:p w14:paraId="54BA75E4">
                  <w:pPr>
                    <w:pStyle w:val="55"/>
                    <w:rPr>
                      <w:color w:val="auto"/>
                    </w:rPr>
                  </w:pPr>
                  <w:r>
                    <w:rPr>
                      <w:color w:val="auto"/>
                    </w:rPr>
                    <w:t>征求意见单位</w:t>
                  </w:r>
                </w:p>
              </w:tc>
              <w:tc>
                <w:tcPr>
                  <w:tcW w:w="2198" w:type="pct"/>
                  <w:vAlign w:val="center"/>
                </w:tcPr>
                <w:p w14:paraId="10498776">
                  <w:pPr>
                    <w:pStyle w:val="55"/>
                    <w:rPr>
                      <w:color w:val="auto"/>
                    </w:rPr>
                  </w:pPr>
                  <w:r>
                    <w:rPr>
                      <w:color w:val="auto"/>
                    </w:rPr>
                    <w:t>主要意见</w:t>
                  </w:r>
                </w:p>
              </w:tc>
              <w:tc>
                <w:tcPr>
                  <w:tcW w:w="1348" w:type="pct"/>
                  <w:vAlign w:val="center"/>
                </w:tcPr>
                <w:p w14:paraId="6FDE63AD">
                  <w:pPr>
                    <w:pStyle w:val="55"/>
                    <w:rPr>
                      <w:color w:val="auto"/>
                    </w:rPr>
                  </w:pPr>
                  <w:r>
                    <w:rPr>
                      <w:color w:val="auto"/>
                    </w:rPr>
                    <w:t>落实情况</w:t>
                  </w:r>
                </w:p>
              </w:tc>
              <w:tc>
                <w:tcPr>
                  <w:tcW w:w="518" w:type="pct"/>
                  <w:vAlign w:val="center"/>
                </w:tcPr>
                <w:p w14:paraId="41A2CB53">
                  <w:pPr>
                    <w:pStyle w:val="55"/>
                    <w:rPr>
                      <w:color w:val="auto"/>
                    </w:rPr>
                  </w:pPr>
                  <w:r>
                    <w:rPr>
                      <w:color w:val="auto"/>
                    </w:rPr>
                    <w:t>附件</w:t>
                  </w:r>
                </w:p>
                <w:p w14:paraId="1D5F0326">
                  <w:pPr>
                    <w:pStyle w:val="55"/>
                    <w:rPr>
                      <w:color w:val="auto"/>
                    </w:rPr>
                  </w:pPr>
                  <w:r>
                    <w:rPr>
                      <w:color w:val="auto"/>
                    </w:rPr>
                    <w:t>编号</w:t>
                  </w:r>
                </w:p>
              </w:tc>
            </w:tr>
            <w:tr w14:paraId="0FB20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80" w:hRule="atLeast"/>
                <w:jc w:val="center"/>
              </w:trPr>
              <w:tc>
                <w:tcPr>
                  <w:tcW w:w="934" w:type="pct"/>
                  <w:vAlign w:val="center"/>
                </w:tcPr>
                <w:p w14:paraId="2123DED6">
                  <w:pPr>
                    <w:pStyle w:val="55"/>
                    <w:rPr>
                      <w:color w:val="auto"/>
                    </w:rPr>
                  </w:pPr>
                  <w:r>
                    <w:rPr>
                      <w:rFonts w:hint="eastAsia"/>
                      <w:color w:val="auto"/>
                    </w:rPr>
                    <w:t>淮南市凤台县生态环境分局</w:t>
                  </w:r>
                </w:p>
              </w:tc>
              <w:tc>
                <w:tcPr>
                  <w:tcW w:w="2198" w:type="pct"/>
                  <w:vAlign w:val="center"/>
                </w:tcPr>
                <w:p w14:paraId="782868BE">
                  <w:pPr>
                    <w:pStyle w:val="55"/>
                    <w:jc w:val="left"/>
                    <w:rPr>
                      <w:color w:val="auto"/>
                    </w:rPr>
                  </w:pPr>
                  <w:r>
                    <w:rPr>
                      <w:rFonts w:hint="eastAsia"/>
                      <w:color w:val="auto"/>
                    </w:rPr>
                    <w:t>一、华润州来凤台县张集光伏电站项目，总容量1000MW，该项目配套建设一座220kV升压站及220kV输电线路，220kV升压站场址位于桂集镇净水厂南侧，德上高速东侧，占地面积约25亩；220kV输电线路路径在凤台县境内，长约5.1kM。不允许涉及生态保护红线、自然保护区、饮用水源地等重大敏感点。</w:t>
                  </w:r>
                </w:p>
                <w:p w14:paraId="41473949">
                  <w:pPr>
                    <w:pStyle w:val="55"/>
                    <w:jc w:val="left"/>
                    <w:rPr>
                      <w:color w:val="auto"/>
                    </w:rPr>
                  </w:pPr>
                  <w:r>
                    <w:rPr>
                      <w:rFonts w:hint="eastAsia"/>
                      <w:color w:val="auto"/>
                    </w:rPr>
                    <w:t>二、在满足发改、自规、水利等其他部门的相关政策要求的前提下，我分局原则同意该项目可以开展前期工作。应严格执行《中华人民共和国环境影响评价法》及《建设项目环境保护管理条例》的相关规定，开工建设前须严格履行环评手续，经批复同意后方可开工建设。</w:t>
                  </w:r>
                </w:p>
              </w:tc>
              <w:tc>
                <w:tcPr>
                  <w:tcW w:w="1348" w:type="pct"/>
                  <w:vAlign w:val="center"/>
                </w:tcPr>
                <w:p w14:paraId="646D6D86">
                  <w:pPr>
                    <w:pStyle w:val="55"/>
                    <w:jc w:val="left"/>
                    <w:rPr>
                      <w:color w:val="auto"/>
                    </w:rPr>
                  </w:pPr>
                  <w:r>
                    <w:rPr>
                      <w:rFonts w:hint="eastAsia"/>
                      <w:color w:val="auto"/>
                    </w:rPr>
                    <w:t>1、经核查，本项目不涉及生态保护红线、自然保护区、饮用水水源地等重大敏感点；</w:t>
                  </w:r>
                </w:p>
                <w:p w14:paraId="550F9CDF">
                  <w:pPr>
                    <w:pStyle w:val="55"/>
                    <w:jc w:val="left"/>
                    <w:rPr>
                      <w:color w:val="auto"/>
                    </w:rPr>
                  </w:pPr>
                  <w:r>
                    <w:rPr>
                      <w:rFonts w:hint="eastAsia"/>
                      <w:color w:val="auto"/>
                    </w:rPr>
                    <w:t>2、依法落实环境影响评价，经批复后再开工建设。</w:t>
                  </w:r>
                </w:p>
              </w:tc>
              <w:tc>
                <w:tcPr>
                  <w:tcW w:w="518" w:type="pct"/>
                  <w:vAlign w:val="center"/>
                </w:tcPr>
                <w:p w14:paraId="53020621">
                  <w:pPr>
                    <w:pStyle w:val="55"/>
                    <w:rPr>
                      <w:color w:val="auto"/>
                    </w:rPr>
                  </w:pPr>
                  <w:r>
                    <w:rPr>
                      <w:rFonts w:hint="eastAsia"/>
                      <w:color w:val="auto"/>
                    </w:rPr>
                    <w:t>6</w:t>
                  </w:r>
                </w:p>
              </w:tc>
            </w:tr>
            <w:tr w14:paraId="4AE10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80" w:hRule="atLeast"/>
                <w:jc w:val="center"/>
              </w:trPr>
              <w:tc>
                <w:tcPr>
                  <w:tcW w:w="934" w:type="pct"/>
                  <w:vAlign w:val="center"/>
                </w:tcPr>
                <w:p w14:paraId="3BEF12FD">
                  <w:pPr>
                    <w:pStyle w:val="55"/>
                    <w:rPr>
                      <w:color w:val="auto"/>
                    </w:rPr>
                  </w:pPr>
                  <w:r>
                    <w:rPr>
                      <w:rFonts w:hint="eastAsia"/>
                      <w:color w:val="auto"/>
                    </w:rPr>
                    <w:t>凤台县自然资源和规划局</w:t>
                  </w:r>
                </w:p>
              </w:tc>
              <w:tc>
                <w:tcPr>
                  <w:tcW w:w="2198" w:type="pct"/>
                  <w:vAlign w:val="center"/>
                </w:tcPr>
                <w:p w14:paraId="5DB83971">
                  <w:pPr>
                    <w:pStyle w:val="55"/>
                    <w:jc w:val="left"/>
                    <w:rPr>
                      <w:color w:val="auto"/>
                    </w:rPr>
                  </w:pPr>
                  <w:r>
                    <w:rPr>
                      <w:rFonts w:hint="eastAsia"/>
                      <w:color w:val="auto"/>
                    </w:rPr>
                    <w:t>一、依据“三区三线”划定成果，该项目220kV升压站选址不涉及生态保护红线、自然保护区、林地，不占用永久基本农田，该项目拟以出让方式工地。</w:t>
                  </w:r>
                </w:p>
                <w:p w14:paraId="7F809377">
                  <w:pPr>
                    <w:pStyle w:val="55"/>
                    <w:jc w:val="left"/>
                    <w:rPr>
                      <w:color w:val="auto"/>
                    </w:rPr>
                  </w:pPr>
                  <w:r>
                    <w:rPr>
                      <w:rFonts w:hint="eastAsia"/>
                      <w:color w:val="auto"/>
                    </w:rPr>
                    <w:t>二、该项目线路部分已取得县沿线乡镇、环保局、武装部、水利局、淮南高速公路管理处等单位书面同意意见，我局原则同意该路径方案，最终以县资委会批准线路路径方案为准。</w:t>
                  </w:r>
                </w:p>
                <w:p w14:paraId="02A64042">
                  <w:pPr>
                    <w:pStyle w:val="55"/>
                    <w:jc w:val="left"/>
                    <w:rPr>
                      <w:color w:val="auto"/>
                    </w:rPr>
                  </w:pPr>
                  <w:r>
                    <w:rPr>
                      <w:rFonts w:hint="eastAsia"/>
                      <w:color w:val="auto"/>
                    </w:rPr>
                    <w:t>综上，原则同意以该项目选址和路径方案组织论证材料论证、上报审批。</w:t>
                  </w:r>
                </w:p>
              </w:tc>
              <w:tc>
                <w:tcPr>
                  <w:tcW w:w="1348" w:type="pct"/>
                  <w:vAlign w:val="center"/>
                </w:tcPr>
                <w:p w14:paraId="3EFBD98D">
                  <w:pPr>
                    <w:pStyle w:val="55"/>
                    <w:jc w:val="left"/>
                    <w:rPr>
                      <w:color w:val="auto"/>
                    </w:rPr>
                  </w:pPr>
                  <w:r>
                    <w:rPr>
                      <w:rFonts w:hint="eastAsia"/>
                      <w:color w:val="auto"/>
                    </w:rPr>
                    <w:t>按要求落实。</w:t>
                  </w:r>
                </w:p>
              </w:tc>
              <w:tc>
                <w:tcPr>
                  <w:tcW w:w="518" w:type="pct"/>
                  <w:vAlign w:val="center"/>
                </w:tcPr>
                <w:p w14:paraId="5ED5CB31">
                  <w:pPr>
                    <w:pStyle w:val="55"/>
                    <w:rPr>
                      <w:color w:val="auto"/>
                    </w:rPr>
                  </w:pPr>
                  <w:r>
                    <w:rPr>
                      <w:rFonts w:hint="eastAsia"/>
                      <w:color w:val="auto"/>
                    </w:rPr>
                    <w:t>7</w:t>
                  </w:r>
                </w:p>
              </w:tc>
            </w:tr>
            <w:tr w14:paraId="3F96B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80" w:hRule="atLeast"/>
                <w:jc w:val="center"/>
              </w:trPr>
              <w:tc>
                <w:tcPr>
                  <w:tcW w:w="934" w:type="pct"/>
                  <w:vAlign w:val="center"/>
                </w:tcPr>
                <w:p w14:paraId="35D24ED7">
                  <w:pPr>
                    <w:pStyle w:val="55"/>
                    <w:rPr>
                      <w:color w:val="auto"/>
                    </w:rPr>
                  </w:pPr>
                  <w:r>
                    <w:rPr>
                      <w:rFonts w:hint="eastAsia"/>
                      <w:color w:val="auto"/>
                    </w:rPr>
                    <w:t>凤台县水利局</w:t>
                  </w:r>
                </w:p>
              </w:tc>
              <w:tc>
                <w:tcPr>
                  <w:tcW w:w="2198" w:type="pct"/>
                  <w:vAlign w:val="center"/>
                </w:tcPr>
                <w:p w14:paraId="60276B2A">
                  <w:pPr>
                    <w:pStyle w:val="55"/>
                    <w:jc w:val="left"/>
                    <w:rPr>
                      <w:color w:val="auto"/>
                    </w:rPr>
                  </w:pPr>
                  <w:r>
                    <w:rPr>
                      <w:rFonts w:hint="eastAsia"/>
                      <w:color w:val="auto"/>
                    </w:rPr>
                    <w:t>一、我单位原则上同意该项目站址方案及线路路径方案；</w:t>
                  </w:r>
                </w:p>
                <w:p w14:paraId="63471B06">
                  <w:pPr>
                    <w:pStyle w:val="55"/>
                    <w:jc w:val="left"/>
                    <w:rPr>
                      <w:color w:val="auto"/>
                    </w:rPr>
                  </w:pPr>
                  <w:r>
                    <w:rPr>
                      <w:rFonts w:hint="eastAsia"/>
                      <w:color w:val="auto"/>
                    </w:rPr>
                    <w:t>二、在项目落地后，请贵公司根据《中华人民共和国水土保持法》《安徽省实施&lt;中华人民共和国水土保持法办法》等相关的法律法规的规定，项目建设单位应当编制水土保持方案，并报县级以上人民政府水行政主管部门审批。</w:t>
                  </w:r>
                </w:p>
              </w:tc>
              <w:tc>
                <w:tcPr>
                  <w:tcW w:w="1348" w:type="pct"/>
                  <w:vAlign w:val="center"/>
                </w:tcPr>
                <w:p w14:paraId="39E49D2E">
                  <w:pPr>
                    <w:pStyle w:val="55"/>
                    <w:rPr>
                      <w:color w:val="auto"/>
                    </w:rPr>
                  </w:pPr>
                  <w:r>
                    <w:rPr>
                      <w:rFonts w:hint="eastAsia"/>
                      <w:color w:val="auto"/>
                    </w:rPr>
                    <w:t>按要求实施水土保持，并已委托编制水土保持方案。</w:t>
                  </w:r>
                </w:p>
              </w:tc>
              <w:tc>
                <w:tcPr>
                  <w:tcW w:w="518" w:type="pct"/>
                  <w:vAlign w:val="center"/>
                </w:tcPr>
                <w:p w14:paraId="126ECC0C">
                  <w:pPr>
                    <w:pStyle w:val="55"/>
                    <w:rPr>
                      <w:color w:val="auto"/>
                    </w:rPr>
                  </w:pPr>
                  <w:r>
                    <w:rPr>
                      <w:color w:val="auto"/>
                    </w:rPr>
                    <w:t>8</w:t>
                  </w:r>
                </w:p>
              </w:tc>
            </w:tr>
            <w:tr w14:paraId="5BE51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80" w:hRule="atLeast"/>
                <w:jc w:val="center"/>
              </w:trPr>
              <w:tc>
                <w:tcPr>
                  <w:tcW w:w="934" w:type="pct"/>
                  <w:vAlign w:val="center"/>
                </w:tcPr>
                <w:p w14:paraId="13D62506">
                  <w:pPr>
                    <w:pStyle w:val="55"/>
                    <w:rPr>
                      <w:color w:val="auto"/>
                    </w:rPr>
                  </w:pPr>
                  <w:r>
                    <w:rPr>
                      <w:rFonts w:hint="eastAsia"/>
                      <w:color w:val="auto"/>
                    </w:rPr>
                    <w:t>凤台县交通运输局</w:t>
                  </w:r>
                </w:p>
              </w:tc>
              <w:tc>
                <w:tcPr>
                  <w:tcW w:w="2198" w:type="pct"/>
                  <w:vAlign w:val="center"/>
                </w:tcPr>
                <w:p w14:paraId="19571586">
                  <w:pPr>
                    <w:pStyle w:val="55"/>
                    <w:jc w:val="left"/>
                    <w:rPr>
                      <w:color w:val="auto"/>
                    </w:rPr>
                  </w:pPr>
                  <w:r>
                    <w:rPr>
                      <w:rFonts w:hint="eastAsia"/>
                      <w:color w:val="auto"/>
                    </w:rPr>
                    <w:t>原则上同意该方案，请按实际袁江路矢量图规划实施。</w:t>
                  </w:r>
                </w:p>
              </w:tc>
              <w:tc>
                <w:tcPr>
                  <w:tcW w:w="1348" w:type="pct"/>
                  <w:vAlign w:val="center"/>
                </w:tcPr>
                <w:p w14:paraId="3CE16DF4">
                  <w:pPr>
                    <w:pStyle w:val="55"/>
                    <w:rPr>
                      <w:color w:val="auto"/>
                    </w:rPr>
                  </w:pPr>
                  <w:r>
                    <w:rPr>
                      <w:rFonts w:hint="eastAsia"/>
                      <w:color w:val="auto"/>
                    </w:rPr>
                    <w:t>按照要求实施，在后期过程中遇到交通运输问题，服从规划和建设需要。</w:t>
                  </w:r>
                </w:p>
              </w:tc>
              <w:tc>
                <w:tcPr>
                  <w:tcW w:w="518" w:type="pct"/>
                  <w:vAlign w:val="center"/>
                </w:tcPr>
                <w:p w14:paraId="2F43ECED">
                  <w:pPr>
                    <w:pStyle w:val="55"/>
                    <w:rPr>
                      <w:color w:val="auto"/>
                    </w:rPr>
                  </w:pPr>
                  <w:r>
                    <w:rPr>
                      <w:color w:val="auto"/>
                    </w:rPr>
                    <w:t>9</w:t>
                  </w:r>
                </w:p>
              </w:tc>
            </w:tr>
            <w:tr w14:paraId="1612C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80" w:hRule="atLeast"/>
                <w:jc w:val="center"/>
              </w:trPr>
              <w:tc>
                <w:tcPr>
                  <w:tcW w:w="934" w:type="pct"/>
                  <w:vAlign w:val="center"/>
                </w:tcPr>
                <w:p w14:paraId="7FC7965B">
                  <w:pPr>
                    <w:pStyle w:val="55"/>
                    <w:rPr>
                      <w:color w:val="auto"/>
                    </w:rPr>
                  </w:pPr>
                  <w:r>
                    <w:rPr>
                      <w:rFonts w:hint="eastAsia"/>
                      <w:color w:val="auto"/>
                    </w:rPr>
                    <w:t>凤台县文化旅游体育局</w:t>
                  </w:r>
                </w:p>
              </w:tc>
              <w:tc>
                <w:tcPr>
                  <w:tcW w:w="2198" w:type="pct"/>
                  <w:vAlign w:val="center"/>
                </w:tcPr>
                <w:p w14:paraId="26E017F9">
                  <w:pPr>
                    <w:pStyle w:val="55"/>
                    <w:jc w:val="left"/>
                    <w:rPr>
                      <w:color w:val="auto"/>
                    </w:rPr>
                  </w:pPr>
                  <w:r>
                    <w:rPr>
                      <w:rFonts w:hint="eastAsia"/>
                      <w:color w:val="auto"/>
                    </w:rPr>
                    <w:t>经审核，此项目未涉及文物保护和风景名胜区范围，我单位对该项目无意见。</w:t>
                  </w:r>
                </w:p>
              </w:tc>
              <w:tc>
                <w:tcPr>
                  <w:tcW w:w="1348" w:type="pct"/>
                  <w:vAlign w:val="center"/>
                </w:tcPr>
                <w:p w14:paraId="7E04691F">
                  <w:pPr>
                    <w:pStyle w:val="55"/>
                    <w:jc w:val="left"/>
                    <w:rPr>
                      <w:color w:val="auto"/>
                    </w:rPr>
                  </w:pPr>
                  <w:r>
                    <w:rPr>
                      <w:rFonts w:hint="eastAsia"/>
                      <w:color w:val="auto"/>
                    </w:rPr>
                    <w:t>/</w:t>
                  </w:r>
                </w:p>
              </w:tc>
              <w:tc>
                <w:tcPr>
                  <w:tcW w:w="518" w:type="pct"/>
                  <w:vAlign w:val="center"/>
                </w:tcPr>
                <w:p w14:paraId="0A41B6E9">
                  <w:pPr>
                    <w:pStyle w:val="55"/>
                    <w:rPr>
                      <w:color w:val="auto"/>
                    </w:rPr>
                  </w:pPr>
                  <w:r>
                    <w:rPr>
                      <w:color w:val="auto"/>
                    </w:rPr>
                    <w:t>10</w:t>
                  </w:r>
                </w:p>
              </w:tc>
            </w:tr>
            <w:tr w14:paraId="38819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80" w:hRule="atLeast"/>
                <w:jc w:val="center"/>
              </w:trPr>
              <w:tc>
                <w:tcPr>
                  <w:tcW w:w="934" w:type="pct"/>
                  <w:vAlign w:val="center"/>
                </w:tcPr>
                <w:p w14:paraId="69FB2995">
                  <w:pPr>
                    <w:pStyle w:val="55"/>
                    <w:rPr>
                      <w:color w:val="auto"/>
                    </w:rPr>
                  </w:pPr>
                  <w:r>
                    <w:rPr>
                      <w:rFonts w:hint="eastAsia"/>
                      <w:color w:val="auto"/>
                    </w:rPr>
                    <w:t>凤台县农业农村局</w:t>
                  </w:r>
                </w:p>
              </w:tc>
              <w:tc>
                <w:tcPr>
                  <w:tcW w:w="2198" w:type="pct"/>
                  <w:vAlign w:val="center"/>
                </w:tcPr>
                <w:p w14:paraId="637736C8">
                  <w:pPr>
                    <w:pStyle w:val="55"/>
                    <w:jc w:val="left"/>
                    <w:rPr>
                      <w:color w:val="auto"/>
                    </w:rPr>
                  </w:pPr>
                  <w:r>
                    <w:rPr>
                      <w:rFonts w:hint="eastAsia"/>
                      <w:color w:val="auto"/>
                    </w:rPr>
                    <w:t>一、项目选址在凤台县桂集镇，不允许涉及粮食生产功能区和重要农产品生产保护区等重大敏感点。</w:t>
                  </w:r>
                </w:p>
                <w:p w14:paraId="6F7D87F2">
                  <w:pPr>
                    <w:pStyle w:val="55"/>
                    <w:jc w:val="left"/>
                    <w:rPr>
                      <w:color w:val="auto"/>
                    </w:rPr>
                  </w:pPr>
                  <w:r>
                    <w:rPr>
                      <w:rFonts w:hint="eastAsia"/>
                      <w:color w:val="auto"/>
                    </w:rPr>
                    <w:t>二、在满足发改、自规、水利、环保等其他部门相关政策要求的前提下，我局原则同意该项目开展前期工作。</w:t>
                  </w:r>
                </w:p>
              </w:tc>
              <w:tc>
                <w:tcPr>
                  <w:tcW w:w="1348" w:type="pct"/>
                  <w:vAlign w:val="center"/>
                </w:tcPr>
                <w:p w14:paraId="3DD54154">
                  <w:pPr>
                    <w:pStyle w:val="55"/>
                    <w:rPr>
                      <w:color w:val="auto"/>
                    </w:rPr>
                  </w:pPr>
                  <w:r>
                    <w:rPr>
                      <w:rFonts w:hint="eastAsia"/>
                      <w:color w:val="auto"/>
                    </w:rPr>
                    <w:t>不涉及粮食生产功能区和重要农产品生产保护区等重大敏感点，按要求实施</w:t>
                  </w:r>
                </w:p>
              </w:tc>
              <w:tc>
                <w:tcPr>
                  <w:tcW w:w="518" w:type="pct"/>
                  <w:vAlign w:val="center"/>
                </w:tcPr>
                <w:p w14:paraId="39381B71">
                  <w:pPr>
                    <w:pStyle w:val="55"/>
                    <w:rPr>
                      <w:color w:val="auto"/>
                    </w:rPr>
                  </w:pPr>
                  <w:r>
                    <w:rPr>
                      <w:color w:val="auto"/>
                    </w:rPr>
                    <w:t>11</w:t>
                  </w:r>
                </w:p>
              </w:tc>
            </w:tr>
            <w:tr w14:paraId="25F1C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80" w:hRule="atLeast"/>
                <w:jc w:val="center"/>
              </w:trPr>
              <w:tc>
                <w:tcPr>
                  <w:tcW w:w="934" w:type="pct"/>
                  <w:vAlign w:val="center"/>
                </w:tcPr>
                <w:p w14:paraId="5E4DFBC4">
                  <w:pPr>
                    <w:pStyle w:val="55"/>
                    <w:rPr>
                      <w:color w:val="auto"/>
                    </w:rPr>
                  </w:pPr>
                  <w:r>
                    <w:rPr>
                      <w:rFonts w:hint="eastAsia"/>
                      <w:color w:val="auto"/>
                    </w:rPr>
                    <w:t>凤台县应急管理局</w:t>
                  </w:r>
                </w:p>
              </w:tc>
              <w:tc>
                <w:tcPr>
                  <w:tcW w:w="2198" w:type="pct"/>
                  <w:vAlign w:val="center"/>
                </w:tcPr>
                <w:p w14:paraId="70C07C7F">
                  <w:pPr>
                    <w:pStyle w:val="55"/>
                    <w:jc w:val="left"/>
                    <w:rPr>
                      <w:color w:val="auto"/>
                    </w:rPr>
                  </w:pPr>
                  <w:r>
                    <w:rPr>
                      <w:rFonts w:hint="eastAsia"/>
                      <w:color w:val="auto"/>
                    </w:rPr>
                    <w:t>一、对此项目路径方案无意见。</w:t>
                  </w:r>
                </w:p>
                <w:p w14:paraId="2374FC5D">
                  <w:pPr>
                    <w:pStyle w:val="55"/>
                    <w:jc w:val="left"/>
                    <w:rPr>
                      <w:color w:val="auto"/>
                    </w:rPr>
                  </w:pPr>
                  <w:r>
                    <w:rPr>
                      <w:rFonts w:hint="eastAsia"/>
                      <w:color w:val="auto"/>
                    </w:rPr>
                    <w:t>二、请根据《安全生产法》等法律法规，开展此项目的各项安全生产工作，严格履行企业主体责任。根据《建设项目安全设施“三同时”监督管理办法》，认真落实好此项目的安全设施“三同时”工作，并形成书面报告备查。</w:t>
                  </w:r>
                </w:p>
              </w:tc>
              <w:tc>
                <w:tcPr>
                  <w:tcW w:w="1348" w:type="pct"/>
                  <w:vAlign w:val="center"/>
                </w:tcPr>
                <w:p w14:paraId="5A0248BC">
                  <w:pPr>
                    <w:pStyle w:val="55"/>
                    <w:jc w:val="left"/>
                    <w:rPr>
                      <w:color w:val="auto"/>
                    </w:rPr>
                  </w:pPr>
                  <w:r>
                    <w:rPr>
                      <w:rFonts w:hint="eastAsia"/>
                      <w:color w:val="auto"/>
                    </w:rPr>
                    <w:t>按照要求落实安全设施“三同时”工作。</w:t>
                  </w:r>
                </w:p>
              </w:tc>
              <w:tc>
                <w:tcPr>
                  <w:tcW w:w="518" w:type="pct"/>
                  <w:vAlign w:val="center"/>
                </w:tcPr>
                <w:p w14:paraId="24AD430B">
                  <w:pPr>
                    <w:pStyle w:val="55"/>
                    <w:rPr>
                      <w:color w:val="auto"/>
                    </w:rPr>
                  </w:pPr>
                  <w:r>
                    <w:rPr>
                      <w:rFonts w:hint="eastAsia"/>
                      <w:color w:val="auto"/>
                    </w:rPr>
                    <w:t>1</w:t>
                  </w:r>
                  <w:r>
                    <w:rPr>
                      <w:color w:val="auto"/>
                    </w:rPr>
                    <w:t>2</w:t>
                  </w:r>
                </w:p>
              </w:tc>
            </w:tr>
            <w:tr w14:paraId="47F73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80" w:hRule="atLeast"/>
                <w:jc w:val="center"/>
              </w:trPr>
              <w:tc>
                <w:tcPr>
                  <w:tcW w:w="934" w:type="pct"/>
                  <w:vAlign w:val="center"/>
                </w:tcPr>
                <w:p w14:paraId="46B804D9">
                  <w:pPr>
                    <w:pStyle w:val="55"/>
                    <w:rPr>
                      <w:color w:val="auto"/>
                    </w:rPr>
                  </w:pPr>
                  <w:r>
                    <w:rPr>
                      <w:rFonts w:hint="eastAsia"/>
                      <w:color w:val="auto"/>
                    </w:rPr>
                    <w:t>凤台县人民武装部</w:t>
                  </w:r>
                </w:p>
              </w:tc>
              <w:tc>
                <w:tcPr>
                  <w:tcW w:w="2198" w:type="pct"/>
                  <w:vAlign w:val="center"/>
                </w:tcPr>
                <w:p w14:paraId="1C9EE2DC">
                  <w:pPr>
                    <w:pStyle w:val="55"/>
                    <w:jc w:val="left"/>
                    <w:rPr>
                      <w:color w:val="auto"/>
                    </w:rPr>
                  </w:pPr>
                  <w:r>
                    <w:rPr>
                      <w:rFonts w:hint="eastAsia"/>
                      <w:color w:val="auto"/>
                    </w:rPr>
                    <w:t>一、华润州来凤台县张集光伏电站项目配套220kV升压站及220kV输电线路项目选址应当避开军事设施，不允许破坏地下、水下军用光缆等军事设施。</w:t>
                  </w:r>
                </w:p>
                <w:p w14:paraId="1671C63A">
                  <w:pPr>
                    <w:pStyle w:val="55"/>
                    <w:jc w:val="left"/>
                    <w:rPr>
                      <w:color w:val="auto"/>
                    </w:rPr>
                  </w:pPr>
                  <w:r>
                    <w:rPr>
                      <w:rFonts w:hint="eastAsia"/>
                      <w:color w:val="auto"/>
                    </w:rPr>
                    <w:t>二、在满足地方其他部门相关政策要求的前提下，我部原则上同意该项目建设。</w:t>
                  </w:r>
                </w:p>
              </w:tc>
              <w:tc>
                <w:tcPr>
                  <w:tcW w:w="1348" w:type="pct"/>
                  <w:vAlign w:val="center"/>
                </w:tcPr>
                <w:p w14:paraId="25CE4A4E">
                  <w:pPr>
                    <w:pStyle w:val="55"/>
                    <w:rPr>
                      <w:color w:val="auto"/>
                    </w:rPr>
                  </w:pPr>
                  <w:r>
                    <w:rPr>
                      <w:rFonts w:hint="eastAsia"/>
                      <w:color w:val="auto"/>
                    </w:rPr>
                    <w:t>按要求实施</w:t>
                  </w:r>
                </w:p>
              </w:tc>
              <w:tc>
                <w:tcPr>
                  <w:tcW w:w="518" w:type="pct"/>
                  <w:vAlign w:val="center"/>
                </w:tcPr>
                <w:p w14:paraId="760564C1">
                  <w:pPr>
                    <w:pStyle w:val="55"/>
                    <w:rPr>
                      <w:color w:val="auto"/>
                    </w:rPr>
                  </w:pPr>
                  <w:r>
                    <w:rPr>
                      <w:rFonts w:hint="eastAsia"/>
                      <w:color w:val="auto"/>
                    </w:rPr>
                    <w:t>1</w:t>
                  </w:r>
                  <w:r>
                    <w:rPr>
                      <w:color w:val="auto"/>
                    </w:rPr>
                    <w:t>3</w:t>
                  </w:r>
                </w:p>
              </w:tc>
            </w:tr>
            <w:tr w14:paraId="73C78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80" w:hRule="atLeast"/>
                <w:jc w:val="center"/>
              </w:trPr>
              <w:tc>
                <w:tcPr>
                  <w:tcW w:w="934" w:type="pct"/>
                  <w:vAlign w:val="center"/>
                </w:tcPr>
                <w:p w14:paraId="724BC21A">
                  <w:pPr>
                    <w:pStyle w:val="55"/>
                    <w:rPr>
                      <w:color w:val="auto"/>
                    </w:rPr>
                  </w:pPr>
                  <w:r>
                    <w:rPr>
                      <w:rFonts w:hint="eastAsia"/>
                      <w:color w:val="auto"/>
                    </w:rPr>
                    <w:t>凤台县桂集镇人民政府</w:t>
                  </w:r>
                </w:p>
              </w:tc>
              <w:tc>
                <w:tcPr>
                  <w:tcW w:w="2198" w:type="pct"/>
                  <w:vAlign w:val="center"/>
                </w:tcPr>
                <w:p w14:paraId="5F625C46">
                  <w:pPr>
                    <w:pStyle w:val="55"/>
                    <w:jc w:val="left"/>
                    <w:rPr>
                      <w:color w:val="auto"/>
                    </w:rPr>
                  </w:pPr>
                  <w:r>
                    <w:rPr>
                      <w:rFonts w:hint="eastAsia"/>
                      <w:color w:val="auto"/>
                    </w:rPr>
                    <w:t>同意</w:t>
                  </w:r>
                </w:p>
              </w:tc>
              <w:tc>
                <w:tcPr>
                  <w:tcW w:w="1348" w:type="pct"/>
                  <w:vAlign w:val="center"/>
                </w:tcPr>
                <w:p w14:paraId="5B7ADAF2">
                  <w:pPr>
                    <w:pStyle w:val="55"/>
                    <w:rPr>
                      <w:color w:val="auto"/>
                    </w:rPr>
                  </w:pPr>
                  <w:r>
                    <w:rPr>
                      <w:rFonts w:hint="eastAsia"/>
                      <w:color w:val="auto"/>
                    </w:rPr>
                    <w:t>/</w:t>
                  </w:r>
                </w:p>
              </w:tc>
              <w:tc>
                <w:tcPr>
                  <w:tcW w:w="518" w:type="pct"/>
                  <w:vAlign w:val="center"/>
                </w:tcPr>
                <w:p w14:paraId="132E56E0">
                  <w:pPr>
                    <w:pStyle w:val="55"/>
                    <w:rPr>
                      <w:color w:val="auto"/>
                    </w:rPr>
                  </w:pPr>
                  <w:r>
                    <w:rPr>
                      <w:rFonts w:hint="eastAsia"/>
                      <w:color w:val="auto"/>
                    </w:rPr>
                    <w:t>14</w:t>
                  </w:r>
                </w:p>
              </w:tc>
            </w:tr>
            <w:tr w14:paraId="0DFC3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80" w:hRule="atLeast"/>
                <w:jc w:val="center"/>
              </w:trPr>
              <w:tc>
                <w:tcPr>
                  <w:tcW w:w="934" w:type="pct"/>
                  <w:vAlign w:val="center"/>
                </w:tcPr>
                <w:p w14:paraId="4832F406">
                  <w:pPr>
                    <w:pStyle w:val="55"/>
                    <w:rPr>
                      <w:color w:val="auto"/>
                    </w:rPr>
                  </w:pPr>
                  <w:r>
                    <w:rPr>
                      <w:rFonts w:hint="eastAsia"/>
                      <w:color w:val="auto"/>
                    </w:rPr>
                    <w:t>安徽省交通控股集团有限公司淮南管理处</w:t>
                  </w:r>
                </w:p>
              </w:tc>
              <w:tc>
                <w:tcPr>
                  <w:tcW w:w="2198" w:type="pct"/>
                  <w:vAlign w:val="center"/>
                </w:tcPr>
                <w:p w14:paraId="65C855A1">
                  <w:pPr>
                    <w:pStyle w:val="55"/>
                    <w:jc w:val="left"/>
                    <w:rPr>
                      <w:color w:val="auto"/>
                    </w:rPr>
                  </w:pPr>
                  <w:r>
                    <w:rPr>
                      <w:rFonts w:hint="eastAsia"/>
                      <w:color w:val="auto"/>
                    </w:rPr>
                    <w:t>一、原则上同意凤台县张集光伏电站项目配套220kV输电线路在G0321德上高速K664+300M处跨越，输电线路与德上高速并行段杆塔设置应满足倒塔距离，并应充分考虑G0321德上高速后期改扩建需要。</w:t>
                  </w:r>
                </w:p>
                <w:p w14:paraId="5189FE51">
                  <w:pPr>
                    <w:pStyle w:val="55"/>
                    <w:jc w:val="left"/>
                    <w:rPr>
                      <w:color w:val="auto"/>
                    </w:rPr>
                  </w:pPr>
                  <w:r>
                    <w:rPr>
                      <w:rFonts w:hint="eastAsia"/>
                      <w:color w:val="auto"/>
                    </w:rPr>
                    <w:t>二、凤台县张集光伏电站项目配套220kV升压站应设置在高速公路建筑控制区外，并应充分考虑G0321德上高速后期改扩建需要。</w:t>
                  </w:r>
                </w:p>
                <w:p w14:paraId="35EE5ACB">
                  <w:pPr>
                    <w:pStyle w:val="55"/>
                    <w:jc w:val="left"/>
                    <w:rPr>
                      <w:color w:val="auto"/>
                    </w:rPr>
                  </w:pPr>
                  <w:r>
                    <w:rPr>
                      <w:rFonts w:hint="eastAsia"/>
                      <w:color w:val="auto"/>
                    </w:rPr>
                    <w:t>三、该涉路工程施工前应按照有关法律法规办理相应手续。</w:t>
                  </w:r>
                </w:p>
              </w:tc>
              <w:tc>
                <w:tcPr>
                  <w:tcW w:w="1348" w:type="pct"/>
                  <w:vAlign w:val="center"/>
                </w:tcPr>
                <w:p w14:paraId="141DF0C5">
                  <w:pPr>
                    <w:pStyle w:val="55"/>
                    <w:jc w:val="left"/>
                    <w:rPr>
                      <w:color w:val="auto"/>
                    </w:rPr>
                  </w:pPr>
                  <w:r>
                    <w:rPr>
                      <w:rFonts w:hint="eastAsia"/>
                      <w:color w:val="auto"/>
                    </w:rPr>
                    <w:t>杆塔设置已考虑G0321德上高速后期改扩建需要；</w:t>
                  </w:r>
                </w:p>
                <w:p w14:paraId="5BAA72EE">
                  <w:pPr>
                    <w:pStyle w:val="55"/>
                    <w:jc w:val="left"/>
                    <w:rPr>
                      <w:color w:val="auto"/>
                    </w:rPr>
                  </w:pPr>
                  <w:r>
                    <w:rPr>
                      <w:rFonts w:hint="eastAsia"/>
                      <w:color w:val="auto"/>
                    </w:rPr>
                    <w:t>220kV升压站设置在高速公路建筑控制区外。</w:t>
                  </w:r>
                </w:p>
                <w:p w14:paraId="35080B99">
                  <w:pPr>
                    <w:pStyle w:val="55"/>
                    <w:jc w:val="left"/>
                    <w:rPr>
                      <w:color w:val="auto"/>
                    </w:rPr>
                  </w:pPr>
                  <w:r>
                    <w:rPr>
                      <w:rFonts w:hint="eastAsia"/>
                      <w:color w:val="auto"/>
                    </w:rPr>
                    <w:t>按要求落实。</w:t>
                  </w:r>
                </w:p>
              </w:tc>
              <w:tc>
                <w:tcPr>
                  <w:tcW w:w="518" w:type="pct"/>
                  <w:vAlign w:val="center"/>
                </w:tcPr>
                <w:p w14:paraId="10B1BF15">
                  <w:pPr>
                    <w:pStyle w:val="55"/>
                    <w:rPr>
                      <w:color w:val="auto"/>
                    </w:rPr>
                  </w:pPr>
                  <w:r>
                    <w:rPr>
                      <w:rFonts w:hint="eastAsia"/>
                      <w:color w:val="auto"/>
                    </w:rPr>
                    <w:t>15</w:t>
                  </w:r>
                </w:p>
              </w:tc>
            </w:tr>
            <w:tr w14:paraId="7A827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80" w:hRule="atLeast"/>
                <w:jc w:val="center"/>
              </w:trPr>
              <w:tc>
                <w:tcPr>
                  <w:tcW w:w="934" w:type="pct"/>
                  <w:vAlign w:val="center"/>
                </w:tcPr>
                <w:p w14:paraId="20868A63">
                  <w:pPr>
                    <w:pStyle w:val="55"/>
                    <w:rPr>
                      <w:color w:val="auto"/>
                    </w:rPr>
                  </w:pPr>
                  <w:r>
                    <w:rPr>
                      <w:rFonts w:hint="eastAsia"/>
                      <w:color w:val="auto"/>
                    </w:rPr>
                    <w:t>国网安徽省电力有限公司淮南供电公司</w:t>
                  </w:r>
                </w:p>
              </w:tc>
              <w:tc>
                <w:tcPr>
                  <w:tcW w:w="2198" w:type="pct"/>
                  <w:vAlign w:val="center"/>
                </w:tcPr>
                <w:p w14:paraId="6477C7D6">
                  <w:pPr>
                    <w:pStyle w:val="55"/>
                    <w:jc w:val="left"/>
                    <w:rPr>
                      <w:color w:val="auto"/>
                    </w:rPr>
                  </w:pPr>
                  <w:r>
                    <w:rPr>
                      <w:rFonts w:hint="eastAsia"/>
                      <w:color w:val="auto"/>
                    </w:rPr>
                    <w:t>1.原则同意以现有路径方案开展前期工作。</w:t>
                  </w:r>
                </w:p>
                <w:p w14:paraId="623A4EB5">
                  <w:pPr>
                    <w:pStyle w:val="55"/>
                    <w:jc w:val="left"/>
                    <w:rPr>
                      <w:color w:val="auto"/>
                    </w:rPr>
                  </w:pPr>
                  <w:r>
                    <w:rPr>
                      <w:rFonts w:hint="eastAsia"/>
                      <w:color w:val="auto"/>
                    </w:rPr>
                    <w:t>2.线路与电网公用线路交叉或临近时，应严格执行国家和行业标准、规程，同一等级电压的电网公用线路应架设在专用线路上方。</w:t>
                  </w:r>
                </w:p>
                <w:p w14:paraId="71EA5A28">
                  <w:pPr>
                    <w:pStyle w:val="55"/>
                    <w:jc w:val="left"/>
                    <w:rPr>
                      <w:color w:val="auto"/>
                    </w:rPr>
                  </w:pPr>
                  <w:r>
                    <w:rPr>
                      <w:rFonts w:hint="eastAsia"/>
                      <w:color w:val="auto"/>
                    </w:rPr>
                    <w:t>3.线路路径方案需经自然资源规划部门审批，并按要求进一步优化路径方案。</w:t>
                  </w:r>
                </w:p>
                <w:p w14:paraId="469199A8">
                  <w:pPr>
                    <w:pStyle w:val="55"/>
                    <w:jc w:val="left"/>
                    <w:rPr>
                      <w:color w:val="auto"/>
                    </w:rPr>
                  </w:pPr>
                  <w:r>
                    <w:rPr>
                      <w:rFonts w:hint="eastAsia"/>
                      <w:color w:val="auto"/>
                    </w:rPr>
                    <w:t>4.线路施工进入电网公用线路保护区，你单位应在开工前组织施工单位与线路运维单位签订安全隐患告知书、电力设施保护区内施工安全协议，并取得当地电力行政主管部门核发的电力设施保护区施工作业行政许可，主动配合线路运维单位做好现场安全管控。</w:t>
                  </w:r>
                </w:p>
              </w:tc>
              <w:tc>
                <w:tcPr>
                  <w:tcW w:w="1348" w:type="pct"/>
                  <w:vAlign w:val="center"/>
                </w:tcPr>
                <w:p w14:paraId="5AC095E0">
                  <w:pPr>
                    <w:pStyle w:val="55"/>
                    <w:rPr>
                      <w:color w:val="auto"/>
                    </w:rPr>
                  </w:pPr>
                  <w:r>
                    <w:rPr>
                      <w:rFonts w:hint="eastAsia"/>
                      <w:color w:val="auto"/>
                    </w:rPr>
                    <w:t>按要求落实。</w:t>
                  </w:r>
                </w:p>
              </w:tc>
              <w:tc>
                <w:tcPr>
                  <w:tcW w:w="518" w:type="pct"/>
                  <w:vAlign w:val="center"/>
                </w:tcPr>
                <w:p w14:paraId="29429608">
                  <w:pPr>
                    <w:pStyle w:val="55"/>
                    <w:rPr>
                      <w:color w:val="auto"/>
                    </w:rPr>
                  </w:pPr>
                  <w:r>
                    <w:rPr>
                      <w:rFonts w:hint="eastAsia"/>
                      <w:color w:val="auto"/>
                    </w:rPr>
                    <w:t>16</w:t>
                  </w:r>
                </w:p>
              </w:tc>
            </w:tr>
          </w:tbl>
          <w:p w14:paraId="7AAA6EBB">
            <w:pPr>
              <w:pStyle w:val="48"/>
              <w:rPr>
                <w:color w:val="auto"/>
              </w:rPr>
            </w:pPr>
            <w:r>
              <w:rPr>
                <w:rFonts w:hint="eastAsia"/>
                <w:color w:val="auto"/>
              </w:rPr>
              <w:t>（二）工程建设“三线一单”相符性分析</w:t>
            </w:r>
          </w:p>
          <w:p w14:paraId="7766FB3C">
            <w:pPr>
              <w:pStyle w:val="51"/>
              <w:ind w:firstLine="482"/>
              <w:rPr>
                <w:b/>
                <w:bCs/>
                <w:color w:val="auto"/>
              </w:rPr>
            </w:pPr>
            <w:r>
              <w:rPr>
                <w:rFonts w:hint="eastAsia"/>
                <w:b/>
                <w:bCs/>
                <w:color w:val="auto"/>
              </w:rPr>
              <w:t>1.生态红线</w:t>
            </w:r>
          </w:p>
          <w:p w14:paraId="44C11E03">
            <w:pPr>
              <w:pStyle w:val="51"/>
              <w:rPr>
                <w:color w:val="auto"/>
              </w:rPr>
            </w:pPr>
            <w:r>
              <w:rPr>
                <w:rFonts w:hint="eastAsia"/>
                <w:color w:val="auto"/>
              </w:rPr>
              <w:t>本项目位于淮南市凤台县桂集镇境内，经建设单位与相关部门核实，本工程升压站及送出线路工程不涉生态保护红线，根据淮南市生态保护红线图，本项目距离最近的生态保护红线区域为“Ⅲ-5淮河中下游湖泊洼地生物多样性维护生态保护红线-凤台凤凰湖省级湿地公园”，距离本项目约为5.7km，因此符合安徽省生态保护红线的管控要求，本项目与淮南市生态保护红线的关系图详见附图4。</w:t>
            </w:r>
          </w:p>
          <w:p w14:paraId="3FA9449D">
            <w:pPr>
              <w:pStyle w:val="51"/>
              <w:ind w:firstLine="482"/>
              <w:rPr>
                <w:b/>
                <w:bCs/>
                <w:color w:val="auto"/>
              </w:rPr>
            </w:pPr>
            <w:r>
              <w:rPr>
                <w:rFonts w:hint="eastAsia"/>
                <w:b/>
                <w:bCs/>
                <w:color w:val="auto"/>
              </w:rPr>
              <w:t>2.环境质量底线</w:t>
            </w:r>
          </w:p>
          <w:p w14:paraId="5BBA079C">
            <w:pPr>
              <w:pStyle w:val="51"/>
              <w:rPr>
                <w:color w:val="auto"/>
              </w:rPr>
            </w:pPr>
            <w:r>
              <w:rPr>
                <w:rFonts w:hint="eastAsia"/>
                <w:color w:val="auto"/>
              </w:rPr>
              <w:t>环境质量底线是国家和地方设置的大气、水和土壤环境质量目标，也是改善环境质量的基准线。项目环评应对照区域环境质量目标，深入分析预测项目建设对环境质量的影响，强化污染防治措施和污染物排放控制要求。</w:t>
            </w:r>
          </w:p>
          <w:p w14:paraId="0AC2DDF1">
            <w:pPr>
              <w:pStyle w:val="51"/>
              <w:rPr>
                <w:color w:val="auto"/>
              </w:rPr>
            </w:pPr>
            <w:r>
              <w:rPr>
                <w:rFonts w:hint="eastAsia"/>
                <w:color w:val="auto"/>
              </w:rPr>
              <w:t>（1）大气环境：根据淮南市生态环境局发布的《2023年淮南市生态环境质量状况公报》，2023年全市环境空气质量一级优69天，二级良225天，三级轻度污染60天，四级中度污染3天，五级重度污染4天，六级严重污染4天；全市年度环境空气达标天数比例为80.5%，与上年相比提升了1.0个百分点；全市环境空气综合指数为3.86，首要污染物主要为臭氧。淮南市市区环境空气中的主要污染物二氧化硫（SO</w:t>
            </w:r>
            <w:r>
              <w:rPr>
                <w:rFonts w:hint="eastAsia"/>
                <w:color w:val="auto"/>
                <w:vertAlign w:val="subscript"/>
              </w:rPr>
              <w:t>2</w:t>
            </w:r>
            <w:r>
              <w:rPr>
                <w:rFonts w:hint="eastAsia"/>
                <w:color w:val="auto"/>
              </w:rPr>
              <w:t>）年均浓度、二氧化氮（NO</w:t>
            </w:r>
            <w:r>
              <w:rPr>
                <w:rFonts w:hint="eastAsia"/>
                <w:color w:val="auto"/>
                <w:vertAlign w:val="subscript"/>
              </w:rPr>
              <w:t>2</w:t>
            </w:r>
            <w:r>
              <w:rPr>
                <w:rFonts w:hint="eastAsia"/>
                <w:color w:val="auto"/>
              </w:rPr>
              <w:t>）年均浓度、可吸入颗粒物（PM</w:t>
            </w:r>
            <w:r>
              <w:rPr>
                <w:rFonts w:hint="eastAsia"/>
                <w:color w:val="auto"/>
                <w:vertAlign w:val="subscript"/>
              </w:rPr>
              <w:t>10</w:t>
            </w:r>
            <w:r>
              <w:rPr>
                <w:rFonts w:hint="eastAsia"/>
                <w:color w:val="auto"/>
              </w:rPr>
              <w:t>）年均浓度、细颗粒物（PM</w:t>
            </w:r>
            <w:r>
              <w:rPr>
                <w:rFonts w:hint="eastAsia"/>
                <w:color w:val="auto"/>
                <w:vertAlign w:val="subscript"/>
              </w:rPr>
              <w:t>2.5</w:t>
            </w:r>
            <w:r>
              <w:rPr>
                <w:rFonts w:hint="eastAsia"/>
                <w:color w:val="auto"/>
              </w:rPr>
              <w:t>）年均浓度、一氧化碳（CO）日均值第95百分位浓度、臭氧（O</w:t>
            </w:r>
            <w:r>
              <w:rPr>
                <w:rFonts w:hint="eastAsia"/>
                <w:color w:val="auto"/>
                <w:vertAlign w:val="subscript"/>
              </w:rPr>
              <w:t>3</w:t>
            </w:r>
            <w:r>
              <w:rPr>
                <w:rFonts w:hint="eastAsia"/>
                <w:color w:val="auto"/>
              </w:rPr>
              <w:t>）日最大8小时平均第90百分位浓度分别为8微克/立方米、21微克/立方米、65.9微克/立方米、38.7微克/立方米、0.7毫克/立方米和157微克/立方米，二氧化硫（SO</w:t>
            </w:r>
            <w:r>
              <w:rPr>
                <w:rFonts w:hint="eastAsia"/>
                <w:color w:val="auto"/>
                <w:vertAlign w:val="subscript"/>
              </w:rPr>
              <w:t>2</w:t>
            </w:r>
            <w:r>
              <w:rPr>
                <w:rFonts w:hint="eastAsia"/>
                <w:color w:val="auto"/>
              </w:rPr>
              <w:t>）、二氧化氮（NO</w:t>
            </w:r>
            <w:r>
              <w:rPr>
                <w:rFonts w:hint="eastAsia"/>
                <w:color w:val="auto"/>
                <w:vertAlign w:val="subscript"/>
              </w:rPr>
              <w:t>2</w:t>
            </w:r>
            <w:r>
              <w:rPr>
                <w:rFonts w:hint="eastAsia"/>
                <w:color w:val="auto"/>
              </w:rPr>
              <w:t>）、可吸入颗粒物（PM</w:t>
            </w:r>
            <w:r>
              <w:rPr>
                <w:rFonts w:hint="eastAsia"/>
                <w:color w:val="auto"/>
                <w:vertAlign w:val="subscript"/>
              </w:rPr>
              <w:t>10</w:t>
            </w:r>
            <w:r>
              <w:rPr>
                <w:rFonts w:hint="eastAsia"/>
                <w:color w:val="auto"/>
              </w:rPr>
              <w:t>）年均浓度、臭氧（O</w:t>
            </w:r>
            <w:r>
              <w:rPr>
                <w:rFonts w:hint="eastAsia"/>
                <w:color w:val="auto"/>
                <w:vertAlign w:val="subscript"/>
              </w:rPr>
              <w:t>3</w:t>
            </w:r>
            <w:r>
              <w:rPr>
                <w:rFonts w:hint="eastAsia"/>
                <w:color w:val="auto"/>
              </w:rPr>
              <w:t>）和一氧化碳（CO）均符合《环境空气质量标准》（GB3095-2012）二级标准，细颗粒物（PM</w:t>
            </w:r>
            <w:r>
              <w:rPr>
                <w:rFonts w:hint="eastAsia"/>
                <w:color w:val="auto"/>
                <w:vertAlign w:val="subscript"/>
              </w:rPr>
              <w:t>2.5</w:t>
            </w:r>
            <w:r>
              <w:rPr>
                <w:rFonts w:hint="eastAsia"/>
                <w:color w:val="auto"/>
              </w:rPr>
              <w:t>）年均浓度超过《环境空气质量标准》（GB3095-2012）二级标准。</w:t>
            </w:r>
          </w:p>
          <w:p w14:paraId="70C91A19">
            <w:pPr>
              <w:pStyle w:val="51"/>
              <w:rPr>
                <w:color w:val="auto"/>
              </w:rPr>
            </w:pPr>
            <w:r>
              <w:rPr>
                <w:rFonts w:hint="eastAsia"/>
                <w:color w:val="auto"/>
              </w:rPr>
              <w:t>本项目施工期产生少量的扬尘污染，采取措施后对环境的影响较小；运行期不产生大气污染物，对大气环境无影响。</w:t>
            </w:r>
          </w:p>
          <w:p w14:paraId="6DFB3015">
            <w:pPr>
              <w:pStyle w:val="51"/>
              <w:rPr>
                <w:color w:val="auto"/>
              </w:rPr>
            </w:pPr>
            <w:r>
              <w:rPr>
                <w:rFonts w:hint="eastAsia"/>
                <w:color w:val="auto"/>
              </w:rPr>
              <w:t>②地表水环境：根据淮南市生态环境局发布的《2023年淮南市生态环境质量状况公报》，2023年，全市地表水24个监测断面中优良水质比例为95.8%，比上年提升了16.6个百分点，Ⅳ类水质比例4.2%，总体水质状况优。</w:t>
            </w:r>
          </w:p>
          <w:p w14:paraId="58709156">
            <w:pPr>
              <w:pStyle w:val="51"/>
              <w:rPr>
                <w:color w:val="auto"/>
              </w:rPr>
            </w:pPr>
            <w:r>
              <w:rPr>
                <w:rFonts w:hint="eastAsia"/>
                <w:color w:val="auto"/>
              </w:rPr>
              <w:t>本项目施工期产生少量的污水，采取措施后不外排，对水环境影响较小。</w:t>
            </w:r>
          </w:p>
          <w:p w14:paraId="718465E2">
            <w:pPr>
              <w:pStyle w:val="51"/>
              <w:rPr>
                <w:color w:val="auto"/>
              </w:rPr>
            </w:pPr>
            <w:r>
              <w:rPr>
                <w:rFonts w:hint="eastAsia"/>
                <w:color w:val="auto"/>
              </w:rPr>
              <w:t>③根据环境质量现状检测报告，项目周围声环境、电磁环境现状检测值均符合相应标准要求；依据声环境及电磁环境预测分析，项目运行后，声环境、电磁环境符合相应类别要求，对周围环境不会造成负面影响。</w:t>
            </w:r>
          </w:p>
          <w:p w14:paraId="7F45808A">
            <w:pPr>
              <w:pStyle w:val="51"/>
              <w:rPr>
                <w:color w:val="auto"/>
              </w:rPr>
            </w:pPr>
            <w:r>
              <w:rPr>
                <w:rFonts w:hint="eastAsia"/>
                <w:color w:val="auto"/>
              </w:rPr>
              <w:t>④项目在施工期及运营期产生固体废物均可得到合理处置。</w:t>
            </w:r>
          </w:p>
          <w:p w14:paraId="28612EA3">
            <w:pPr>
              <w:pStyle w:val="51"/>
              <w:rPr>
                <w:color w:val="auto"/>
              </w:rPr>
            </w:pPr>
            <w:r>
              <w:rPr>
                <w:rFonts w:hint="eastAsia"/>
                <w:color w:val="auto"/>
              </w:rPr>
              <w:t>建设项目实施后，噪声、电磁环境排放均满足相关标准要求，固废得到合理有效处置，项目对周边环境产生影响较小，该区域能维持目前环境质量现状，不会破坏环境质量底线。</w:t>
            </w:r>
          </w:p>
          <w:p w14:paraId="3346EA79">
            <w:pPr>
              <w:pStyle w:val="51"/>
              <w:ind w:firstLine="482"/>
              <w:rPr>
                <w:b/>
                <w:bCs/>
                <w:color w:val="auto"/>
              </w:rPr>
            </w:pPr>
            <w:r>
              <w:rPr>
                <w:rFonts w:hint="eastAsia"/>
                <w:b/>
                <w:bCs/>
                <w:color w:val="auto"/>
              </w:rPr>
              <w:t>3.资源利用上线</w:t>
            </w:r>
          </w:p>
          <w:p w14:paraId="429DF3D5">
            <w:pPr>
              <w:pStyle w:val="51"/>
              <w:rPr>
                <w:color w:val="auto"/>
              </w:rPr>
            </w:pPr>
            <w:r>
              <w:rPr>
                <w:rFonts w:hint="eastAsia"/>
                <w:color w:val="auto"/>
              </w:rPr>
              <w:t>项目采用的能源主要为电，产生的污染物主要为工频电场和工频磁场。项目建成运行后污染物得到了有效的处置，符合清洁运营的要求。项目对资源的使用较少、利用率较高，不触及资源利用上线。</w:t>
            </w:r>
          </w:p>
          <w:p w14:paraId="409FFDFB">
            <w:pPr>
              <w:pStyle w:val="51"/>
              <w:ind w:firstLine="482"/>
              <w:rPr>
                <w:b/>
                <w:bCs/>
                <w:color w:val="auto"/>
              </w:rPr>
            </w:pPr>
            <w:r>
              <w:rPr>
                <w:rFonts w:hint="eastAsia"/>
                <w:b/>
                <w:bCs/>
                <w:color w:val="auto"/>
              </w:rPr>
              <w:t>4.生态环境准入清单</w:t>
            </w:r>
          </w:p>
          <w:p w14:paraId="54DF6A96">
            <w:pPr>
              <w:pStyle w:val="51"/>
              <w:rPr>
                <w:color w:val="auto"/>
              </w:rPr>
            </w:pPr>
            <w:r>
              <w:rPr>
                <w:rFonts w:hint="eastAsia"/>
                <w:color w:val="auto"/>
              </w:rPr>
              <w:t>本项目与生态环境准入清单相关文件相符性分析内容见表1</w:t>
            </w:r>
            <w:r>
              <w:rPr>
                <w:color w:val="auto"/>
              </w:rPr>
              <w:t>-</w:t>
            </w:r>
            <w:r>
              <w:rPr>
                <w:rFonts w:hint="eastAsia"/>
                <w:color w:val="auto"/>
              </w:rPr>
              <w:t>2。</w:t>
            </w:r>
          </w:p>
          <w:p w14:paraId="1A08E59F">
            <w:pPr>
              <w:pStyle w:val="53"/>
              <w:rPr>
                <w:color w:val="auto"/>
              </w:rPr>
            </w:pPr>
            <w:r>
              <w:rPr>
                <w:rFonts w:hint="eastAsia"/>
                <w:color w:val="auto"/>
              </w:rPr>
              <w:t>表1</w:t>
            </w:r>
            <w:r>
              <w:rPr>
                <w:color w:val="auto"/>
              </w:rPr>
              <w:t>-</w:t>
            </w:r>
            <w:r>
              <w:rPr>
                <w:rFonts w:hint="eastAsia"/>
                <w:color w:val="auto"/>
              </w:rPr>
              <w:t>2</w:t>
            </w:r>
            <w:r>
              <w:rPr>
                <w:color w:val="auto"/>
              </w:rPr>
              <w:t xml:space="preserve">  </w:t>
            </w:r>
            <w:r>
              <w:rPr>
                <w:rFonts w:hint="eastAsia"/>
                <w:color w:val="auto"/>
              </w:rPr>
              <w:t>环境准入清单分析对照表</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5"/>
              <w:gridCol w:w="4099"/>
              <w:gridCol w:w="2437"/>
            </w:tblGrid>
            <w:tr w14:paraId="25131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0" w:type="pct"/>
                  <w:vAlign w:val="center"/>
                </w:tcPr>
                <w:p w14:paraId="625DB22B">
                  <w:pPr>
                    <w:pStyle w:val="55"/>
                    <w:rPr>
                      <w:color w:val="auto"/>
                    </w:rPr>
                  </w:pPr>
                  <w:r>
                    <w:rPr>
                      <w:rFonts w:hint="eastAsia"/>
                      <w:color w:val="auto"/>
                    </w:rPr>
                    <w:t>序号</w:t>
                  </w:r>
                </w:p>
              </w:tc>
              <w:tc>
                <w:tcPr>
                  <w:tcW w:w="2802" w:type="pct"/>
                  <w:vAlign w:val="center"/>
                </w:tcPr>
                <w:p w14:paraId="3F88F84F">
                  <w:pPr>
                    <w:pStyle w:val="55"/>
                    <w:rPr>
                      <w:color w:val="auto"/>
                    </w:rPr>
                  </w:pPr>
                  <w:r>
                    <w:rPr>
                      <w:rFonts w:hint="eastAsia"/>
                      <w:color w:val="auto"/>
                    </w:rPr>
                    <w:t>文件</w:t>
                  </w:r>
                </w:p>
              </w:tc>
              <w:tc>
                <w:tcPr>
                  <w:tcW w:w="1666" w:type="pct"/>
                  <w:vAlign w:val="center"/>
                </w:tcPr>
                <w:p w14:paraId="04AABCA1">
                  <w:pPr>
                    <w:pStyle w:val="55"/>
                    <w:rPr>
                      <w:color w:val="auto"/>
                    </w:rPr>
                  </w:pPr>
                  <w:r>
                    <w:rPr>
                      <w:rFonts w:hint="eastAsia"/>
                      <w:color w:val="auto"/>
                    </w:rPr>
                    <w:t>相符性分析</w:t>
                  </w:r>
                </w:p>
              </w:tc>
            </w:tr>
            <w:tr w14:paraId="7B056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0" w:type="pct"/>
                  <w:vAlign w:val="center"/>
                </w:tcPr>
                <w:p w14:paraId="69341E9C">
                  <w:pPr>
                    <w:pStyle w:val="55"/>
                    <w:rPr>
                      <w:color w:val="auto"/>
                    </w:rPr>
                  </w:pPr>
                  <w:r>
                    <w:rPr>
                      <w:rFonts w:hint="eastAsia"/>
                      <w:color w:val="auto"/>
                    </w:rPr>
                    <w:t>1</w:t>
                  </w:r>
                </w:p>
              </w:tc>
              <w:tc>
                <w:tcPr>
                  <w:tcW w:w="2802" w:type="pct"/>
                  <w:vAlign w:val="center"/>
                </w:tcPr>
                <w:p w14:paraId="0F87260F">
                  <w:pPr>
                    <w:pStyle w:val="55"/>
                    <w:rPr>
                      <w:color w:val="auto"/>
                    </w:rPr>
                  </w:pPr>
                  <w:r>
                    <w:rPr>
                      <w:rFonts w:hint="eastAsia"/>
                      <w:color w:val="auto"/>
                    </w:rPr>
                    <w:t>《市场准入负面清单草案（试点版）》</w:t>
                  </w:r>
                </w:p>
              </w:tc>
              <w:tc>
                <w:tcPr>
                  <w:tcW w:w="1666" w:type="pct"/>
                  <w:vAlign w:val="center"/>
                </w:tcPr>
                <w:p w14:paraId="4ECBC9B1">
                  <w:pPr>
                    <w:pStyle w:val="55"/>
                    <w:rPr>
                      <w:color w:val="auto"/>
                    </w:rPr>
                  </w:pPr>
                  <w:r>
                    <w:rPr>
                      <w:rFonts w:hint="eastAsia"/>
                      <w:color w:val="auto"/>
                    </w:rPr>
                    <w:t>不属于禁止准入、限制准入类项目</w:t>
                  </w:r>
                </w:p>
              </w:tc>
            </w:tr>
            <w:tr w14:paraId="330B0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0" w:type="pct"/>
                  <w:vAlign w:val="center"/>
                </w:tcPr>
                <w:p w14:paraId="193F652B">
                  <w:pPr>
                    <w:pStyle w:val="55"/>
                    <w:rPr>
                      <w:color w:val="auto"/>
                    </w:rPr>
                  </w:pPr>
                  <w:r>
                    <w:rPr>
                      <w:rFonts w:hint="eastAsia"/>
                      <w:color w:val="auto"/>
                    </w:rPr>
                    <w:t>2</w:t>
                  </w:r>
                </w:p>
              </w:tc>
              <w:tc>
                <w:tcPr>
                  <w:tcW w:w="2802" w:type="pct"/>
                  <w:vAlign w:val="center"/>
                </w:tcPr>
                <w:p w14:paraId="3018D01B">
                  <w:pPr>
                    <w:pStyle w:val="55"/>
                    <w:rPr>
                      <w:color w:val="auto"/>
                    </w:rPr>
                  </w:pPr>
                  <w:r>
                    <w:rPr>
                      <w:rFonts w:hint="eastAsia"/>
                      <w:color w:val="auto"/>
                    </w:rPr>
                    <w:t>《产业结构调整指导目录（2024年）》</w:t>
                  </w:r>
                </w:p>
              </w:tc>
              <w:tc>
                <w:tcPr>
                  <w:tcW w:w="1666" w:type="pct"/>
                  <w:vAlign w:val="center"/>
                </w:tcPr>
                <w:p w14:paraId="42F4591A">
                  <w:pPr>
                    <w:pStyle w:val="55"/>
                    <w:rPr>
                      <w:color w:val="auto"/>
                    </w:rPr>
                  </w:pPr>
                  <w:r>
                    <w:rPr>
                      <w:rFonts w:hint="eastAsia"/>
                      <w:color w:val="auto"/>
                    </w:rPr>
                    <w:t>鼓励类项目</w:t>
                  </w:r>
                </w:p>
              </w:tc>
            </w:tr>
            <w:tr w14:paraId="3CB53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0" w:type="pct"/>
                  <w:vAlign w:val="center"/>
                </w:tcPr>
                <w:p w14:paraId="48AEE1DE">
                  <w:pPr>
                    <w:pStyle w:val="55"/>
                    <w:rPr>
                      <w:color w:val="auto"/>
                    </w:rPr>
                  </w:pPr>
                  <w:r>
                    <w:rPr>
                      <w:rFonts w:hint="eastAsia"/>
                      <w:color w:val="auto"/>
                    </w:rPr>
                    <w:t>3</w:t>
                  </w:r>
                </w:p>
              </w:tc>
              <w:tc>
                <w:tcPr>
                  <w:tcW w:w="2802" w:type="pct"/>
                  <w:vAlign w:val="center"/>
                </w:tcPr>
                <w:p w14:paraId="781BDA96">
                  <w:pPr>
                    <w:pStyle w:val="55"/>
                    <w:rPr>
                      <w:color w:val="auto"/>
                    </w:rPr>
                  </w:pPr>
                  <w:r>
                    <w:rPr>
                      <w:rFonts w:hint="eastAsia"/>
                      <w:color w:val="auto"/>
                    </w:rPr>
                    <w:t>《安徽省工业和信息产业结构调整指导目录（2</w:t>
                  </w:r>
                  <w:r>
                    <w:rPr>
                      <w:color w:val="auto"/>
                    </w:rPr>
                    <w:t>007</w:t>
                  </w:r>
                  <w:r>
                    <w:rPr>
                      <w:rFonts w:hint="eastAsia"/>
                      <w:color w:val="auto"/>
                    </w:rPr>
                    <w:t>年本）》有关条款的决定</w:t>
                  </w:r>
                </w:p>
              </w:tc>
              <w:tc>
                <w:tcPr>
                  <w:tcW w:w="1666" w:type="pct"/>
                  <w:vAlign w:val="center"/>
                </w:tcPr>
                <w:p w14:paraId="5F9D9DA2">
                  <w:pPr>
                    <w:pStyle w:val="55"/>
                    <w:rPr>
                      <w:color w:val="auto"/>
                    </w:rPr>
                  </w:pPr>
                  <w:r>
                    <w:rPr>
                      <w:rFonts w:hint="eastAsia"/>
                      <w:color w:val="auto"/>
                    </w:rPr>
                    <w:t>鼓励类项目</w:t>
                  </w:r>
                </w:p>
              </w:tc>
            </w:tr>
            <w:tr w14:paraId="1C852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0" w:type="pct"/>
                  <w:vAlign w:val="center"/>
                </w:tcPr>
                <w:p w14:paraId="0EAB2A5A">
                  <w:pPr>
                    <w:pStyle w:val="55"/>
                    <w:rPr>
                      <w:color w:val="auto"/>
                    </w:rPr>
                  </w:pPr>
                  <w:r>
                    <w:rPr>
                      <w:rFonts w:hint="eastAsia"/>
                      <w:color w:val="auto"/>
                    </w:rPr>
                    <w:t>4</w:t>
                  </w:r>
                </w:p>
              </w:tc>
              <w:tc>
                <w:tcPr>
                  <w:tcW w:w="2802" w:type="pct"/>
                  <w:vAlign w:val="center"/>
                </w:tcPr>
                <w:p w14:paraId="5784861A">
                  <w:pPr>
                    <w:pStyle w:val="55"/>
                    <w:rPr>
                      <w:color w:val="auto"/>
                    </w:rPr>
                  </w:pPr>
                  <w:r>
                    <w:rPr>
                      <w:rFonts w:hint="eastAsia"/>
                      <w:color w:val="auto"/>
                    </w:rPr>
                    <w:t>《限制用地项目目录（2</w:t>
                  </w:r>
                  <w:r>
                    <w:rPr>
                      <w:color w:val="auto"/>
                    </w:rPr>
                    <w:t>012</w:t>
                  </w:r>
                  <w:r>
                    <w:rPr>
                      <w:rFonts w:hint="eastAsia"/>
                      <w:color w:val="auto"/>
                    </w:rPr>
                    <w:t>年本）》</w:t>
                  </w:r>
                </w:p>
                <w:p w14:paraId="12197142">
                  <w:pPr>
                    <w:pStyle w:val="55"/>
                    <w:rPr>
                      <w:color w:val="auto"/>
                    </w:rPr>
                  </w:pPr>
                  <w:r>
                    <w:rPr>
                      <w:rFonts w:hint="eastAsia"/>
                      <w:color w:val="auto"/>
                    </w:rPr>
                    <w:t>《禁止用地项目目录（2</w:t>
                  </w:r>
                  <w:r>
                    <w:rPr>
                      <w:color w:val="auto"/>
                    </w:rPr>
                    <w:t>012</w:t>
                  </w:r>
                  <w:r>
                    <w:rPr>
                      <w:rFonts w:hint="eastAsia"/>
                      <w:color w:val="auto"/>
                    </w:rPr>
                    <w:t>年本）》</w:t>
                  </w:r>
                </w:p>
              </w:tc>
              <w:tc>
                <w:tcPr>
                  <w:tcW w:w="1666" w:type="pct"/>
                  <w:vAlign w:val="center"/>
                </w:tcPr>
                <w:p w14:paraId="751AB456">
                  <w:pPr>
                    <w:pStyle w:val="55"/>
                    <w:rPr>
                      <w:color w:val="auto"/>
                    </w:rPr>
                  </w:pPr>
                  <w:r>
                    <w:rPr>
                      <w:rFonts w:hint="eastAsia"/>
                      <w:color w:val="auto"/>
                    </w:rPr>
                    <w:t>不属于禁止和限制用地</w:t>
                  </w:r>
                </w:p>
              </w:tc>
            </w:tr>
          </w:tbl>
          <w:p w14:paraId="3C0500EC">
            <w:pPr>
              <w:pStyle w:val="51"/>
              <w:ind w:firstLine="482"/>
              <w:rPr>
                <w:b/>
                <w:bCs/>
                <w:color w:val="auto"/>
              </w:rPr>
            </w:pPr>
            <w:r>
              <w:rPr>
                <w:rFonts w:hint="eastAsia"/>
                <w:b/>
                <w:bCs/>
                <w:color w:val="auto"/>
              </w:rPr>
              <w:t>5.环境管控单元</w:t>
            </w:r>
          </w:p>
          <w:p w14:paraId="27013C98">
            <w:pPr>
              <w:pStyle w:val="51"/>
              <w:rPr>
                <w:color w:val="auto"/>
              </w:rPr>
            </w:pPr>
            <w:r>
              <w:rPr>
                <w:rFonts w:hint="eastAsia"/>
                <w:color w:val="auto"/>
              </w:rPr>
              <w:t>经对照安徽省“三线一单”公众服务平台，本项目线路涉及重点管控单元1个，重点管控单元编码“ZH34042120010”，属于水重点/大气重点管控单元；涉及一般管控单元1个，一般管控单元编码“ZH34042130003”。本项目升压站涉及一般管控单元1个，一般管控单元编码“ZH34042130003”。</w:t>
            </w:r>
          </w:p>
          <w:p w14:paraId="757E6B68">
            <w:pPr>
              <w:pStyle w:val="51"/>
              <w:ind w:firstLine="0" w:firstLineChars="0"/>
              <w:jc w:val="center"/>
              <w:rPr>
                <w:color w:val="auto"/>
              </w:rPr>
            </w:pPr>
            <w:r>
              <w:rPr>
                <w:color w:val="auto"/>
              </w:rPr>
              <w:drawing>
                <wp:inline distT="0" distB="0" distL="114300" distR="114300">
                  <wp:extent cx="4916805" cy="2481580"/>
                  <wp:effectExtent l="0" t="0" r="17145" b="13970"/>
                  <wp:docPr id="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2"/>
                          <pic:cNvPicPr>
                            <a:picLocks noChangeAspect="1"/>
                          </pic:cNvPicPr>
                        </pic:nvPicPr>
                        <pic:blipFill>
                          <a:blip r:embed="rId10"/>
                          <a:stretch>
                            <a:fillRect/>
                          </a:stretch>
                        </pic:blipFill>
                        <pic:spPr>
                          <a:xfrm>
                            <a:off x="0" y="0"/>
                            <a:ext cx="4916805" cy="2481580"/>
                          </a:xfrm>
                          <a:prstGeom prst="rect">
                            <a:avLst/>
                          </a:prstGeom>
                          <a:noFill/>
                          <a:ln>
                            <a:noFill/>
                          </a:ln>
                        </pic:spPr>
                      </pic:pic>
                    </a:graphicData>
                  </a:graphic>
                </wp:inline>
              </w:drawing>
            </w:r>
          </w:p>
          <w:p w14:paraId="0DEB6CF8">
            <w:pPr>
              <w:pStyle w:val="83"/>
              <w:spacing w:after="120"/>
              <w:rPr>
                <w:lang w:val="en-US"/>
              </w:rPr>
            </w:pPr>
            <w:r>
              <w:rPr>
                <w:rFonts w:hint="eastAsia"/>
                <w:lang w:val="en-US"/>
              </w:rPr>
              <w:t>图1-1 本项目线路所在区域环境管控单元分布图（底图来自安徽省“三线一单”公众服务平台）</w:t>
            </w:r>
          </w:p>
          <w:p w14:paraId="1BC0270F">
            <w:pPr>
              <w:pStyle w:val="83"/>
              <w:spacing w:after="120"/>
              <w:rPr>
                <w:lang w:val="en-US"/>
              </w:rPr>
            </w:pPr>
            <w:r>
              <w:rPr>
                <w:rFonts w:hint="eastAsia"/>
                <w:lang w:val="en-US"/>
              </w:rPr>
              <w:drawing>
                <wp:inline distT="0" distB="0" distL="114300" distR="114300">
                  <wp:extent cx="4915535" cy="2480310"/>
                  <wp:effectExtent l="0" t="0" r="18415" b="15240"/>
                  <wp:docPr id="9"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3"/>
                          <pic:cNvPicPr>
                            <a:picLocks noChangeAspect="1"/>
                          </pic:cNvPicPr>
                        </pic:nvPicPr>
                        <pic:blipFill>
                          <a:blip r:embed="rId11"/>
                          <a:stretch>
                            <a:fillRect/>
                          </a:stretch>
                        </pic:blipFill>
                        <pic:spPr>
                          <a:xfrm>
                            <a:off x="0" y="0"/>
                            <a:ext cx="4915535" cy="2480310"/>
                          </a:xfrm>
                          <a:prstGeom prst="rect">
                            <a:avLst/>
                          </a:prstGeom>
                          <a:noFill/>
                          <a:ln>
                            <a:noFill/>
                          </a:ln>
                        </pic:spPr>
                      </pic:pic>
                    </a:graphicData>
                  </a:graphic>
                </wp:inline>
              </w:drawing>
            </w:r>
          </w:p>
          <w:p w14:paraId="35A7306F">
            <w:pPr>
              <w:pStyle w:val="83"/>
              <w:spacing w:after="120"/>
            </w:pPr>
            <w:r>
              <w:rPr>
                <w:rFonts w:hint="eastAsia"/>
                <w:lang w:val="en-US"/>
              </w:rPr>
              <w:t>图1-2 本项目升压站所在区域环境管控单元分布图（底图来自安徽省“三线一单”公众服务平台）</w:t>
            </w:r>
          </w:p>
          <w:p w14:paraId="69F9DED3">
            <w:pPr>
              <w:pStyle w:val="51"/>
              <w:rPr>
                <w:color w:val="auto"/>
              </w:rPr>
            </w:pPr>
            <w:r>
              <w:rPr>
                <w:rFonts w:hint="eastAsia"/>
                <w:color w:val="auto"/>
              </w:rPr>
              <w:t>根据《安徽省“三线一单”生态环境分区管控管理办法（暂行）》的要求，①在建设项目环评中，需做好与“三线一单”生态环境分区管控相符性分析，充分论证是否符合生态环境准入清单要求；②强化“三线一单”生态环境分区管控在“两高”行业产业布局和结构调整、重大项目选址中的应用。“两高”项目在编制环境影响评价文件时，应分析说明与建设地点的“三线一单”生态环境分区管控方案和生态环境准入清单要求的相符性；③应将“三线一单”生态环境分区管控确定的优先保护单元和重点管控单元作为生态环境监管的重点区域，将“三线一单”生态环境分区管控要求作为生态环境监管的重点内容。</w:t>
            </w:r>
          </w:p>
          <w:p w14:paraId="31E62FF3">
            <w:pPr>
              <w:pStyle w:val="51"/>
              <w:rPr>
                <w:color w:val="auto"/>
              </w:rPr>
            </w:pPr>
            <w:r>
              <w:rPr>
                <w:rFonts w:hint="eastAsia"/>
                <w:color w:val="auto"/>
              </w:rPr>
              <w:t>本项目与生态环境准入清单相关文件相符性分析内容见表1-3。</w:t>
            </w:r>
          </w:p>
          <w:p w14:paraId="66CA5B4F">
            <w:pPr>
              <w:pStyle w:val="53"/>
              <w:rPr>
                <w:color w:val="auto"/>
              </w:rPr>
            </w:pPr>
            <w:r>
              <w:rPr>
                <w:rFonts w:hint="eastAsia"/>
                <w:color w:val="auto"/>
              </w:rPr>
              <w:t>表1-3  本项目与“三线一单”生态环境分区管控方案的相符性分析</w:t>
            </w:r>
          </w:p>
          <w:tbl>
            <w:tblPr>
              <w:tblStyle w:val="26"/>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3"/>
              <w:gridCol w:w="713"/>
              <w:gridCol w:w="3571"/>
              <w:gridCol w:w="1851"/>
            </w:tblGrid>
            <w:tr w14:paraId="2A847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9" w:type="pct"/>
                  <w:gridSpan w:val="2"/>
                  <w:tcBorders>
                    <w:tl2br w:val="nil"/>
                    <w:tr2bl w:val="nil"/>
                  </w:tcBorders>
                  <w:vAlign w:val="center"/>
                </w:tcPr>
                <w:p w14:paraId="7C1DE453">
                  <w:pPr>
                    <w:pStyle w:val="55"/>
                    <w:rPr>
                      <w:b/>
                      <w:bCs w:val="0"/>
                      <w:color w:val="auto"/>
                    </w:rPr>
                  </w:pPr>
                  <w:r>
                    <w:rPr>
                      <w:rFonts w:hint="eastAsia"/>
                      <w:b/>
                      <w:bCs w:val="0"/>
                      <w:color w:val="auto"/>
                    </w:rPr>
                    <w:t>环境管控单元</w:t>
                  </w:r>
                </w:p>
              </w:tc>
              <w:tc>
                <w:tcPr>
                  <w:tcW w:w="2443" w:type="pct"/>
                  <w:tcBorders>
                    <w:tl2br w:val="nil"/>
                    <w:tr2bl w:val="nil"/>
                  </w:tcBorders>
                  <w:vAlign w:val="center"/>
                </w:tcPr>
                <w:p w14:paraId="21CD434F">
                  <w:pPr>
                    <w:pStyle w:val="55"/>
                    <w:rPr>
                      <w:b/>
                      <w:bCs w:val="0"/>
                      <w:color w:val="auto"/>
                    </w:rPr>
                  </w:pPr>
                  <w:r>
                    <w:rPr>
                      <w:rFonts w:hint="eastAsia"/>
                      <w:b/>
                      <w:bCs w:val="0"/>
                      <w:color w:val="auto"/>
                    </w:rPr>
                    <w:t>管控要求</w:t>
                  </w:r>
                </w:p>
              </w:tc>
              <w:tc>
                <w:tcPr>
                  <w:tcW w:w="1267" w:type="pct"/>
                  <w:tcBorders>
                    <w:tl2br w:val="nil"/>
                    <w:tr2bl w:val="nil"/>
                  </w:tcBorders>
                  <w:vAlign w:val="center"/>
                </w:tcPr>
                <w:p w14:paraId="5A9BEA9D">
                  <w:pPr>
                    <w:pStyle w:val="55"/>
                    <w:rPr>
                      <w:b/>
                      <w:bCs w:val="0"/>
                      <w:color w:val="auto"/>
                    </w:rPr>
                  </w:pPr>
                  <w:r>
                    <w:rPr>
                      <w:rFonts w:hint="eastAsia"/>
                      <w:b/>
                      <w:bCs w:val="0"/>
                      <w:color w:val="auto"/>
                    </w:rPr>
                    <w:t>符合性分析</w:t>
                  </w:r>
                </w:p>
              </w:tc>
            </w:tr>
            <w:tr w14:paraId="53A04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pct"/>
                  <w:vMerge w:val="restart"/>
                  <w:tcBorders>
                    <w:tl2br w:val="nil"/>
                    <w:tr2bl w:val="nil"/>
                  </w:tcBorders>
                  <w:vAlign w:val="center"/>
                </w:tcPr>
                <w:p w14:paraId="37B1B06E">
                  <w:pPr>
                    <w:pStyle w:val="55"/>
                    <w:rPr>
                      <w:color w:val="auto"/>
                    </w:rPr>
                  </w:pPr>
                  <w:r>
                    <w:rPr>
                      <w:rFonts w:hint="eastAsia"/>
                      <w:color w:val="auto"/>
                    </w:rPr>
                    <w:t>淮南市凤台县重点管控单元（大气重点/水重点）</w:t>
                  </w:r>
                </w:p>
                <w:p w14:paraId="36CA4307">
                  <w:pPr>
                    <w:pStyle w:val="55"/>
                    <w:rPr>
                      <w:color w:val="auto"/>
                    </w:rPr>
                  </w:pPr>
                  <w:r>
                    <w:rPr>
                      <w:rFonts w:hint="eastAsia"/>
                      <w:color w:val="auto"/>
                    </w:rPr>
                    <w:t>ZH34042120010</w:t>
                  </w:r>
                </w:p>
              </w:tc>
              <w:tc>
                <w:tcPr>
                  <w:tcW w:w="487" w:type="pct"/>
                  <w:tcBorders>
                    <w:tl2br w:val="nil"/>
                    <w:tr2bl w:val="nil"/>
                  </w:tcBorders>
                  <w:vAlign w:val="center"/>
                </w:tcPr>
                <w:p w14:paraId="087A3FEF">
                  <w:pPr>
                    <w:pStyle w:val="55"/>
                    <w:rPr>
                      <w:color w:val="auto"/>
                    </w:rPr>
                  </w:pPr>
                  <w:r>
                    <w:rPr>
                      <w:rFonts w:hint="eastAsia"/>
                      <w:color w:val="auto"/>
                    </w:rPr>
                    <w:t>空间布局约束</w:t>
                  </w:r>
                </w:p>
              </w:tc>
              <w:tc>
                <w:tcPr>
                  <w:tcW w:w="2443" w:type="pct"/>
                  <w:tcBorders>
                    <w:tl2br w:val="nil"/>
                    <w:tr2bl w:val="nil"/>
                  </w:tcBorders>
                  <w:vAlign w:val="center"/>
                </w:tcPr>
                <w:p w14:paraId="54F365E0">
                  <w:pPr>
                    <w:pStyle w:val="55"/>
                    <w:jc w:val="left"/>
                    <w:rPr>
                      <w:color w:val="auto"/>
                    </w:rPr>
                  </w:pPr>
                  <w:r>
                    <w:rPr>
                      <w:rFonts w:hint="eastAsia"/>
                      <w:color w:val="auto"/>
                    </w:rPr>
                    <w:t>在城市城区及其近郊禁止新建、扩建钢铁、有色、石化、水泥、化工等重污染企业。</w:t>
                  </w:r>
                </w:p>
                <w:p w14:paraId="1898291B">
                  <w:pPr>
                    <w:pStyle w:val="55"/>
                    <w:jc w:val="left"/>
                    <w:rPr>
                      <w:color w:val="auto"/>
                    </w:rPr>
                  </w:pPr>
                  <w:r>
                    <w:rPr>
                      <w:color w:val="auto"/>
                    </w:rPr>
                    <w:t>禁止新建燃料类煤气发生炉（园区现有企业统一建设的清洁煤制气中心除外）</w:t>
                  </w:r>
                  <w:r>
                    <w:rPr>
                      <w:rFonts w:hint="eastAsia"/>
                      <w:color w:val="auto"/>
                    </w:rPr>
                    <w:t>。</w:t>
                  </w:r>
                </w:p>
                <w:p w14:paraId="206DA569">
                  <w:pPr>
                    <w:pStyle w:val="55"/>
                    <w:jc w:val="left"/>
                    <w:rPr>
                      <w:color w:val="auto"/>
                    </w:rPr>
                  </w:pPr>
                  <w:r>
                    <w:rPr>
                      <w:rFonts w:hint="eastAsia"/>
                      <w:color w:val="auto"/>
                    </w:rPr>
                    <w:t>严格执行国家关于“两高”产业准入目录和产能总量控制政策措施。严禁新增钢铁、焦化、电解铝、铸造、水泥和平板玻璃等产能。</w:t>
                  </w:r>
                </w:p>
                <w:p w14:paraId="296F7441">
                  <w:pPr>
                    <w:pStyle w:val="55"/>
                    <w:jc w:val="left"/>
                    <w:rPr>
                      <w:color w:val="auto"/>
                    </w:rPr>
                  </w:pPr>
                  <w:r>
                    <w:rPr>
                      <w:rFonts w:hint="eastAsia"/>
                      <w:color w:val="auto"/>
                    </w:rPr>
                    <w:t>禁止建设生产和使用高VOCS含量的溶剂型涂料、油墨、胶粘剂等项目。</w:t>
                  </w:r>
                </w:p>
                <w:p w14:paraId="33CBA38D">
                  <w:pPr>
                    <w:pStyle w:val="55"/>
                    <w:jc w:val="left"/>
                    <w:rPr>
                      <w:color w:val="auto"/>
                    </w:rPr>
                  </w:pPr>
                  <w:r>
                    <w:rPr>
                      <w:color w:val="auto"/>
                    </w:rPr>
                    <w:t>在城市建成区及居民区、医院、学校等环境敏感区域，严禁现场露天灰土拌合。</w:t>
                  </w:r>
                </w:p>
                <w:p w14:paraId="264E2C12">
                  <w:pPr>
                    <w:pStyle w:val="55"/>
                    <w:jc w:val="left"/>
                    <w:rPr>
                      <w:color w:val="auto"/>
                    </w:rPr>
                  </w:pPr>
                  <w:r>
                    <w:rPr>
                      <w:rFonts w:hint="eastAsia"/>
                      <w:color w:val="auto"/>
                    </w:rPr>
                    <w:t>在城市规划区内禁止新建、扩建大气污染严重的建设项目。</w:t>
                  </w:r>
                </w:p>
                <w:p w14:paraId="1FFD6BD5">
                  <w:pPr>
                    <w:pStyle w:val="55"/>
                    <w:jc w:val="left"/>
                    <w:rPr>
                      <w:color w:val="auto"/>
                    </w:rPr>
                  </w:pPr>
                  <w:r>
                    <w:rPr>
                      <w:rFonts w:hint="eastAsia"/>
                      <w:color w:val="auto"/>
                    </w:rPr>
                    <w:t>在城市建成区，禁止新建VOCs高污染企业。</w:t>
                  </w:r>
                </w:p>
                <w:p w14:paraId="581E942F">
                  <w:pPr>
                    <w:pStyle w:val="55"/>
                    <w:jc w:val="left"/>
                    <w:rPr>
                      <w:color w:val="auto"/>
                    </w:rPr>
                  </w:pPr>
                  <w:r>
                    <w:rPr>
                      <w:color w:val="auto"/>
                    </w:rPr>
                    <w:t>严禁钢铁、水泥、电解铝、平板玻璃等行业新增产能，对确有必要新建的必须实施等量或减量置换。</w:t>
                  </w:r>
                </w:p>
                <w:p w14:paraId="2827A5B1">
                  <w:pPr>
                    <w:pStyle w:val="55"/>
                    <w:jc w:val="left"/>
                    <w:rPr>
                      <w:color w:val="auto"/>
                    </w:rPr>
                  </w:pPr>
                  <w:r>
                    <w:rPr>
                      <w:color w:val="auto"/>
                    </w:rPr>
                    <w:t>在燃气管网和集中供热管网覆盖的区域，不得新建、扩建、改建燃烧煤炭、重油、渣油的供热设施；原有分散的中小型燃煤供热锅炉应当限期拆除。</w:t>
                  </w:r>
                </w:p>
                <w:p w14:paraId="140C503E">
                  <w:pPr>
                    <w:pStyle w:val="55"/>
                    <w:jc w:val="left"/>
                    <w:rPr>
                      <w:color w:val="auto"/>
                    </w:rPr>
                  </w:pPr>
                  <w:r>
                    <w:rPr>
                      <w:rFonts w:hint="eastAsia"/>
                      <w:color w:val="auto"/>
                    </w:rPr>
                    <w:t>禁止淘汰落后类的产业进入开发区。</w:t>
                  </w:r>
                </w:p>
                <w:p w14:paraId="376F254D">
                  <w:pPr>
                    <w:pStyle w:val="55"/>
                    <w:jc w:val="left"/>
                    <w:rPr>
                      <w:color w:val="auto"/>
                    </w:rPr>
                  </w:pPr>
                  <w:r>
                    <w:rPr>
                      <w:rFonts w:hint="eastAsia"/>
                      <w:color w:val="auto"/>
                    </w:rPr>
                    <w:t>禁止在淮河流域新建化学制浆造纸企业和印染、制革、化工、电镀、酿造等污染严重的小型企业。</w:t>
                  </w:r>
                </w:p>
                <w:p w14:paraId="3DF6DF74">
                  <w:pPr>
                    <w:pStyle w:val="55"/>
                    <w:jc w:val="left"/>
                    <w:rPr>
                      <w:color w:val="auto"/>
                    </w:rPr>
                  </w:pPr>
                  <w:r>
                    <w:rPr>
                      <w:rFonts w:hint="eastAsia"/>
                      <w:color w:val="auto"/>
                    </w:rPr>
                    <w:t>城市建成区排放污水的工业企业应依法持有排污许可证，并严格按证排污。</w:t>
                  </w:r>
                </w:p>
                <w:p w14:paraId="42E72EDF">
                  <w:pPr>
                    <w:pStyle w:val="55"/>
                    <w:jc w:val="left"/>
                    <w:rPr>
                      <w:color w:val="auto"/>
                    </w:rPr>
                  </w:pPr>
                  <w:r>
                    <w:rPr>
                      <w:rFonts w:hint="eastAsia"/>
                      <w:color w:val="auto"/>
                    </w:rPr>
                    <w:t>在城市城区及其近郊禁止新建、扩建钢铁、有色、石化、水泥、化工等重污染企业。</w:t>
                  </w:r>
                </w:p>
                <w:p w14:paraId="39FDF0A9">
                  <w:pPr>
                    <w:pStyle w:val="55"/>
                    <w:jc w:val="left"/>
                    <w:rPr>
                      <w:color w:val="auto"/>
                    </w:rPr>
                  </w:pPr>
                  <w:r>
                    <w:rPr>
                      <w:color w:val="auto"/>
                    </w:rPr>
                    <w:t>禁止新建燃料类煤气发生炉（园区现有企业统一建设的清洁煤制气中心除外）</w:t>
                  </w:r>
                  <w:r>
                    <w:rPr>
                      <w:rFonts w:hint="eastAsia"/>
                      <w:color w:val="auto"/>
                    </w:rPr>
                    <w:t>。</w:t>
                  </w:r>
                </w:p>
                <w:p w14:paraId="5E066074">
                  <w:pPr>
                    <w:pStyle w:val="55"/>
                    <w:jc w:val="left"/>
                    <w:rPr>
                      <w:color w:val="auto"/>
                    </w:rPr>
                  </w:pPr>
                  <w:r>
                    <w:rPr>
                      <w:rFonts w:hint="eastAsia"/>
                      <w:color w:val="auto"/>
                    </w:rPr>
                    <w:t>严格执行国家关于“两高”产业准入目录和产能总量控制政策措施。严禁新增钢铁、焦化、电解铝、铸造、水泥和平板玻璃等产能。</w:t>
                  </w:r>
                </w:p>
                <w:p w14:paraId="35AF32E9">
                  <w:pPr>
                    <w:pStyle w:val="55"/>
                    <w:jc w:val="left"/>
                    <w:rPr>
                      <w:color w:val="auto"/>
                    </w:rPr>
                  </w:pPr>
                  <w:r>
                    <w:rPr>
                      <w:rFonts w:hint="eastAsia"/>
                      <w:color w:val="auto"/>
                    </w:rPr>
                    <w:t>禁止建设生产和使用高VOCS含量的溶剂型涂料、油墨、胶粘剂等项目。</w:t>
                  </w:r>
                </w:p>
                <w:p w14:paraId="1D40D649">
                  <w:pPr>
                    <w:pStyle w:val="55"/>
                    <w:jc w:val="left"/>
                    <w:rPr>
                      <w:color w:val="auto"/>
                    </w:rPr>
                  </w:pPr>
                  <w:r>
                    <w:rPr>
                      <w:color w:val="auto"/>
                    </w:rPr>
                    <w:t>在城市建成区及居民区、医院、学校等环境敏感区域，严禁现场露天灰土拌合。</w:t>
                  </w:r>
                </w:p>
                <w:p w14:paraId="5B69667D">
                  <w:pPr>
                    <w:pStyle w:val="55"/>
                    <w:jc w:val="left"/>
                    <w:rPr>
                      <w:color w:val="auto"/>
                    </w:rPr>
                  </w:pPr>
                  <w:r>
                    <w:rPr>
                      <w:rFonts w:hint="eastAsia"/>
                      <w:color w:val="auto"/>
                    </w:rPr>
                    <w:t>在城市规划区内禁止新建、扩建大气污染严重的建设项目。</w:t>
                  </w:r>
                </w:p>
                <w:p w14:paraId="758DBD8C">
                  <w:pPr>
                    <w:pStyle w:val="55"/>
                    <w:jc w:val="left"/>
                    <w:rPr>
                      <w:color w:val="auto"/>
                    </w:rPr>
                  </w:pPr>
                  <w:r>
                    <w:rPr>
                      <w:rFonts w:hint="eastAsia"/>
                      <w:color w:val="auto"/>
                    </w:rPr>
                    <w:t>在城市建成区，禁止新建VOCs高污染企业。</w:t>
                  </w:r>
                </w:p>
                <w:p w14:paraId="59AD9287">
                  <w:pPr>
                    <w:pStyle w:val="55"/>
                    <w:jc w:val="left"/>
                    <w:rPr>
                      <w:color w:val="auto"/>
                    </w:rPr>
                  </w:pPr>
                  <w:r>
                    <w:rPr>
                      <w:color w:val="auto"/>
                    </w:rPr>
                    <w:t>严禁钢铁、水泥、电解铝、平板玻璃等行业新增产能，对确有必要新建的必须实施等量或减量置换。</w:t>
                  </w:r>
                </w:p>
                <w:p w14:paraId="72DB29D2">
                  <w:pPr>
                    <w:pStyle w:val="55"/>
                    <w:jc w:val="left"/>
                    <w:rPr>
                      <w:color w:val="auto"/>
                    </w:rPr>
                  </w:pPr>
                  <w:r>
                    <w:rPr>
                      <w:color w:val="auto"/>
                    </w:rPr>
                    <w:t>在燃气管网和集中供热管网覆盖的区域，不得新建、扩建、改建燃烧煤炭、重油、渣油的供热设施；原有分散的中小型燃煤供热锅炉应当限期拆除。</w:t>
                  </w:r>
                </w:p>
                <w:p w14:paraId="5CE042E4">
                  <w:pPr>
                    <w:pStyle w:val="55"/>
                    <w:jc w:val="left"/>
                    <w:rPr>
                      <w:color w:val="auto"/>
                    </w:rPr>
                  </w:pPr>
                  <w:r>
                    <w:rPr>
                      <w:rFonts w:hint="eastAsia"/>
                      <w:color w:val="auto"/>
                    </w:rPr>
                    <w:t xml:space="preserve">禁止淘汰落后类的产业进入开发区。  </w:t>
                  </w:r>
                </w:p>
              </w:tc>
              <w:tc>
                <w:tcPr>
                  <w:tcW w:w="1267" w:type="pct"/>
                  <w:vMerge w:val="restart"/>
                  <w:tcBorders>
                    <w:tl2br w:val="nil"/>
                    <w:tr2bl w:val="nil"/>
                  </w:tcBorders>
                  <w:vAlign w:val="center"/>
                </w:tcPr>
                <w:p w14:paraId="22730A5C">
                  <w:pPr>
                    <w:pStyle w:val="55"/>
                    <w:jc w:val="left"/>
                    <w:rPr>
                      <w:color w:val="auto"/>
                    </w:rPr>
                  </w:pPr>
                  <w:r>
                    <w:rPr>
                      <w:rFonts w:hint="eastAsia"/>
                      <w:color w:val="auto"/>
                    </w:rPr>
                    <w:t>本项目为新建升压站及送出线路工程，运行期无废气外排，生活污水经化粪池预处理后，达到桂集镇污水处理站接管标准及《污水综合排放标准》（GB8978-1996）三级标准，接管桂集镇污水处理站，生活污水经各污水处理站处理达《城镇污水处理厂污染物排放标准》（GB18918-2002）的一级A标准；项目不属于“两高”项目，不属于污染严重的项目，对照《固定污染源排污许可分类管理名录（2019年版）》，项目不属于排污许可管理行业，无需申领排污许可证；项目不使用高环境风险化学品；项目水源采用自来水，不进行地下水开采；项目不使用锅炉；项目施工期采取工地周边围挡、物料堆放覆盖、路面硬化、土方开挖湿法作业、出入车辆清洗、渣土车辆密闭运输“六个百分之百”等措施治理施工扬尘。</w:t>
                  </w:r>
                </w:p>
                <w:p w14:paraId="3261239F">
                  <w:pPr>
                    <w:pStyle w:val="55"/>
                    <w:jc w:val="left"/>
                    <w:rPr>
                      <w:color w:val="auto"/>
                    </w:rPr>
                  </w:pPr>
                  <w:r>
                    <w:rPr>
                      <w:rFonts w:hint="eastAsia"/>
                      <w:color w:val="auto"/>
                    </w:rPr>
                    <w:t>综上所述，项目建设符合重点管控单元管控要求。</w:t>
                  </w:r>
                </w:p>
              </w:tc>
            </w:tr>
            <w:tr w14:paraId="7B5C4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pct"/>
                  <w:vMerge w:val="continue"/>
                  <w:tcBorders>
                    <w:tl2br w:val="nil"/>
                    <w:tr2bl w:val="nil"/>
                  </w:tcBorders>
                  <w:vAlign w:val="center"/>
                </w:tcPr>
                <w:p w14:paraId="46D3AC92">
                  <w:pPr>
                    <w:pStyle w:val="55"/>
                    <w:rPr>
                      <w:color w:val="auto"/>
                    </w:rPr>
                  </w:pPr>
                </w:p>
              </w:tc>
              <w:tc>
                <w:tcPr>
                  <w:tcW w:w="487" w:type="pct"/>
                  <w:tcBorders>
                    <w:tl2br w:val="nil"/>
                    <w:tr2bl w:val="nil"/>
                  </w:tcBorders>
                  <w:vAlign w:val="center"/>
                </w:tcPr>
                <w:p w14:paraId="419042DE">
                  <w:pPr>
                    <w:pStyle w:val="55"/>
                    <w:rPr>
                      <w:color w:val="auto"/>
                    </w:rPr>
                  </w:pPr>
                  <w:r>
                    <w:rPr>
                      <w:rFonts w:hint="eastAsia"/>
                      <w:color w:val="auto"/>
                    </w:rPr>
                    <w:t>污染物排放管控</w:t>
                  </w:r>
                </w:p>
              </w:tc>
              <w:tc>
                <w:tcPr>
                  <w:tcW w:w="2443" w:type="pct"/>
                  <w:tcBorders>
                    <w:tl2br w:val="nil"/>
                    <w:tr2bl w:val="nil"/>
                  </w:tcBorders>
                  <w:vAlign w:val="center"/>
                </w:tcPr>
                <w:p w14:paraId="566212B8">
                  <w:pPr>
                    <w:pStyle w:val="55"/>
                    <w:jc w:val="left"/>
                    <w:rPr>
                      <w:color w:val="auto"/>
                    </w:rPr>
                  </w:pPr>
                  <w:r>
                    <w:rPr>
                      <w:color w:val="auto"/>
                    </w:rPr>
                    <w:t>新建、改建、扩建排放重点大气污染物的项目不符合总量控制要求的，不得通过环境影响评价</w:t>
                  </w:r>
                  <w:r>
                    <w:rPr>
                      <w:rFonts w:hint="eastAsia"/>
                      <w:color w:val="auto"/>
                    </w:rPr>
                    <w:t>。</w:t>
                  </w:r>
                </w:p>
                <w:p w14:paraId="0B74EF0B">
                  <w:pPr>
                    <w:pStyle w:val="55"/>
                    <w:jc w:val="left"/>
                    <w:rPr>
                      <w:color w:val="auto"/>
                    </w:rPr>
                  </w:pPr>
                  <w:r>
                    <w:rPr>
                      <w:rFonts w:hint="eastAsia"/>
                      <w:color w:val="auto"/>
                    </w:rPr>
                    <w:t>所有排污单位必须依法实现全面达标排放。</w:t>
                  </w:r>
                </w:p>
                <w:p w14:paraId="20033671">
                  <w:pPr>
                    <w:pStyle w:val="55"/>
                    <w:jc w:val="left"/>
                    <w:rPr>
                      <w:color w:val="auto"/>
                    </w:rPr>
                  </w:pPr>
                  <w:r>
                    <w:rPr>
                      <w:rFonts w:hint="eastAsia"/>
                      <w:color w:val="auto"/>
                    </w:rPr>
                    <w:t>全面推动挥发性有机物纳入排污许可管理。</w:t>
                  </w:r>
                </w:p>
                <w:p w14:paraId="364C3E6E">
                  <w:pPr>
                    <w:pStyle w:val="55"/>
                    <w:jc w:val="left"/>
                    <w:rPr>
                      <w:color w:val="auto"/>
                    </w:rPr>
                  </w:pPr>
                  <w:r>
                    <w:rPr>
                      <w:color w:val="auto"/>
                    </w:rPr>
                    <w:t>建筑工程施工现场扬尘污染防治应做到工地周边围挡、物料堆放覆盖、路面硬化、土方开挖湿法作业、出入车辆清洗、渣土车辆密闭运输“六个百分之百”。</w:t>
                  </w:r>
                </w:p>
              </w:tc>
              <w:tc>
                <w:tcPr>
                  <w:tcW w:w="1267" w:type="pct"/>
                  <w:vMerge w:val="continue"/>
                  <w:tcBorders>
                    <w:tl2br w:val="nil"/>
                    <w:tr2bl w:val="nil"/>
                  </w:tcBorders>
                  <w:vAlign w:val="center"/>
                </w:tcPr>
                <w:p w14:paraId="2603D056">
                  <w:pPr>
                    <w:pStyle w:val="55"/>
                    <w:jc w:val="left"/>
                    <w:rPr>
                      <w:color w:val="auto"/>
                    </w:rPr>
                  </w:pPr>
                </w:p>
              </w:tc>
            </w:tr>
            <w:tr w14:paraId="02E43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pct"/>
                  <w:vMerge w:val="continue"/>
                  <w:tcBorders>
                    <w:tl2br w:val="nil"/>
                    <w:tr2bl w:val="nil"/>
                  </w:tcBorders>
                  <w:vAlign w:val="center"/>
                </w:tcPr>
                <w:p w14:paraId="1F003090">
                  <w:pPr>
                    <w:pStyle w:val="55"/>
                    <w:rPr>
                      <w:color w:val="auto"/>
                    </w:rPr>
                  </w:pPr>
                </w:p>
              </w:tc>
              <w:tc>
                <w:tcPr>
                  <w:tcW w:w="487" w:type="pct"/>
                  <w:tcBorders>
                    <w:tl2br w:val="nil"/>
                    <w:tr2bl w:val="nil"/>
                  </w:tcBorders>
                  <w:vAlign w:val="center"/>
                </w:tcPr>
                <w:p w14:paraId="6553BF94">
                  <w:pPr>
                    <w:pStyle w:val="55"/>
                    <w:rPr>
                      <w:color w:val="auto"/>
                    </w:rPr>
                  </w:pPr>
                  <w:r>
                    <w:rPr>
                      <w:rFonts w:hint="eastAsia"/>
                      <w:color w:val="auto"/>
                    </w:rPr>
                    <w:t>环境风险防控</w:t>
                  </w:r>
                </w:p>
              </w:tc>
              <w:tc>
                <w:tcPr>
                  <w:tcW w:w="2443" w:type="pct"/>
                  <w:tcBorders>
                    <w:tl2br w:val="nil"/>
                    <w:tr2bl w:val="nil"/>
                  </w:tcBorders>
                  <w:vAlign w:val="center"/>
                </w:tcPr>
                <w:p w14:paraId="58E9849B">
                  <w:pPr>
                    <w:pStyle w:val="55"/>
                    <w:jc w:val="left"/>
                    <w:rPr>
                      <w:color w:val="auto"/>
                    </w:rPr>
                  </w:pPr>
                  <w:r>
                    <w:rPr>
                      <w:color w:val="auto"/>
                    </w:rPr>
                    <w:t>限制生产和使用高环境风险化学品，依法淘汰高毒、难降解、高环境危害的化学品。强化对现有化工园区、化学品码头等重大风险源排查，完善化工园区环境风险应急预案。</w:t>
                  </w:r>
                </w:p>
              </w:tc>
              <w:tc>
                <w:tcPr>
                  <w:tcW w:w="1267" w:type="pct"/>
                  <w:vMerge w:val="continue"/>
                  <w:tcBorders>
                    <w:tl2br w:val="nil"/>
                    <w:tr2bl w:val="nil"/>
                  </w:tcBorders>
                  <w:vAlign w:val="center"/>
                </w:tcPr>
                <w:p w14:paraId="1191011C">
                  <w:pPr>
                    <w:pStyle w:val="55"/>
                    <w:jc w:val="left"/>
                    <w:rPr>
                      <w:color w:val="auto"/>
                    </w:rPr>
                  </w:pPr>
                </w:p>
              </w:tc>
            </w:tr>
            <w:tr w14:paraId="770C2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02" w:type="pct"/>
                  <w:vMerge w:val="continue"/>
                  <w:tcBorders>
                    <w:tl2br w:val="nil"/>
                    <w:tr2bl w:val="nil"/>
                  </w:tcBorders>
                  <w:vAlign w:val="center"/>
                </w:tcPr>
                <w:p w14:paraId="08371EFE">
                  <w:pPr>
                    <w:pStyle w:val="55"/>
                    <w:rPr>
                      <w:color w:val="auto"/>
                    </w:rPr>
                  </w:pPr>
                </w:p>
              </w:tc>
              <w:tc>
                <w:tcPr>
                  <w:tcW w:w="487" w:type="pct"/>
                  <w:tcBorders>
                    <w:tl2br w:val="nil"/>
                    <w:tr2bl w:val="nil"/>
                  </w:tcBorders>
                  <w:vAlign w:val="center"/>
                </w:tcPr>
                <w:p w14:paraId="45ACA149">
                  <w:pPr>
                    <w:pStyle w:val="55"/>
                    <w:rPr>
                      <w:color w:val="auto"/>
                    </w:rPr>
                  </w:pPr>
                  <w:r>
                    <w:rPr>
                      <w:rFonts w:hint="eastAsia"/>
                      <w:color w:val="auto"/>
                    </w:rPr>
                    <w:t>资源开发效率要求</w:t>
                  </w:r>
                </w:p>
              </w:tc>
              <w:tc>
                <w:tcPr>
                  <w:tcW w:w="2443" w:type="pct"/>
                  <w:tcBorders>
                    <w:tl2br w:val="nil"/>
                    <w:tr2bl w:val="nil"/>
                  </w:tcBorders>
                  <w:vAlign w:val="center"/>
                </w:tcPr>
                <w:p w14:paraId="0AB44208">
                  <w:pPr>
                    <w:pStyle w:val="55"/>
                    <w:jc w:val="left"/>
                    <w:rPr>
                      <w:color w:val="auto"/>
                    </w:rPr>
                  </w:pPr>
                  <w:r>
                    <w:rPr>
                      <w:color w:val="auto"/>
                    </w:rPr>
                    <w:t>严格落实主体功能区规划，在生态脆弱、严重缺水和地下水超采地区，严格控制高耗水新建、改建、扩建项目，推进高耗水企业向水资源条件允许的工业园区集中</w:t>
                  </w:r>
                  <w:r>
                    <w:rPr>
                      <w:rFonts w:hint="eastAsia"/>
                      <w:color w:val="auto"/>
                    </w:rPr>
                    <w:t>。</w:t>
                  </w:r>
                </w:p>
                <w:p w14:paraId="4055F344">
                  <w:pPr>
                    <w:pStyle w:val="55"/>
                    <w:jc w:val="left"/>
                    <w:rPr>
                      <w:color w:val="auto"/>
                    </w:rPr>
                  </w:pPr>
                  <w:r>
                    <w:rPr>
                      <w:rFonts w:hint="eastAsia"/>
                      <w:color w:val="auto"/>
                    </w:rPr>
                    <w:t>在城市公共供水管网覆盖的区域内，禁止新建地下水取水井用于餐饮、洗浴、洗车等服务业和小区、单位集中供水等。</w:t>
                  </w:r>
                </w:p>
                <w:p w14:paraId="3C6240AF">
                  <w:pPr>
                    <w:pStyle w:val="55"/>
                    <w:jc w:val="left"/>
                    <w:rPr>
                      <w:color w:val="auto"/>
                    </w:rPr>
                  </w:pPr>
                  <w:r>
                    <w:rPr>
                      <w:rFonts w:hint="eastAsia"/>
                      <w:color w:val="auto"/>
                    </w:rPr>
                    <w:t>实施“煤改气”和“以电代煤”。</w:t>
                  </w:r>
                </w:p>
              </w:tc>
              <w:tc>
                <w:tcPr>
                  <w:tcW w:w="1267" w:type="pct"/>
                  <w:vMerge w:val="continue"/>
                  <w:tcBorders>
                    <w:tl2br w:val="nil"/>
                    <w:tr2bl w:val="nil"/>
                  </w:tcBorders>
                  <w:vAlign w:val="center"/>
                </w:tcPr>
                <w:p w14:paraId="20585045">
                  <w:pPr>
                    <w:pStyle w:val="55"/>
                    <w:jc w:val="left"/>
                    <w:rPr>
                      <w:color w:val="auto"/>
                    </w:rPr>
                  </w:pPr>
                </w:p>
              </w:tc>
            </w:tr>
            <w:tr w14:paraId="3A27E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pct"/>
                  <w:vMerge w:val="restart"/>
                  <w:tcBorders>
                    <w:tl2br w:val="nil"/>
                    <w:tr2bl w:val="nil"/>
                  </w:tcBorders>
                  <w:vAlign w:val="center"/>
                </w:tcPr>
                <w:p w14:paraId="274BEDB2">
                  <w:pPr>
                    <w:pStyle w:val="55"/>
                    <w:rPr>
                      <w:color w:val="auto"/>
                    </w:rPr>
                  </w:pPr>
                  <w:r>
                    <w:rPr>
                      <w:rFonts w:hint="eastAsia"/>
                      <w:color w:val="auto"/>
                    </w:rPr>
                    <w:t>淮南市凤台县一般管控单元</w:t>
                  </w:r>
                </w:p>
                <w:p w14:paraId="26EA843B">
                  <w:pPr>
                    <w:pStyle w:val="55"/>
                    <w:rPr>
                      <w:color w:val="auto"/>
                    </w:rPr>
                  </w:pPr>
                  <w:r>
                    <w:rPr>
                      <w:rFonts w:hint="eastAsia"/>
                      <w:color w:val="auto"/>
                    </w:rPr>
                    <w:t>ZH34042130003</w:t>
                  </w:r>
                </w:p>
              </w:tc>
              <w:tc>
                <w:tcPr>
                  <w:tcW w:w="487" w:type="pct"/>
                  <w:tcBorders>
                    <w:tl2br w:val="nil"/>
                    <w:tr2bl w:val="nil"/>
                  </w:tcBorders>
                  <w:shd w:val="clear" w:color="auto" w:fill="auto"/>
                  <w:vAlign w:val="center"/>
                </w:tcPr>
                <w:p w14:paraId="0DDF989D">
                  <w:pPr>
                    <w:pStyle w:val="55"/>
                    <w:rPr>
                      <w:color w:val="auto"/>
                    </w:rPr>
                  </w:pPr>
                  <w:r>
                    <w:rPr>
                      <w:rFonts w:hint="eastAsia"/>
                      <w:color w:val="auto"/>
                    </w:rPr>
                    <w:t>空间布局约束</w:t>
                  </w:r>
                </w:p>
              </w:tc>
              <w:tc>
                <w:tcPr>
                  <w:tcW w:w="2443" w:type="pct"/>
                  <w:tcBorders>
                    <w:tl2br w:val="nil"/>
                    <w:tr2bl w:val="nil"/>
                  </w:tcBorders>
                  <w:vAlign w:val="center"/>
                </w:tcPr>
                <w:p w14:paraId="55EE75F5">
                  <w:pPr>
                    <w:pStyle w:val="55"/>
                    <w:jc w:val="left"/>
                    <w:rPr>
                      <w:color w:val="auto"/>
                    </w:rPr>
                  </w:pPr>
                  <w:r>
                    <w:rPr>
                      <w:color w:val="auto"/>
                    </w:rPr>
                    <w:t>禁止任何单位和个人在基本农田保护区内建窑、建房、建坟、挖砂、采石、采矿、取土、堆放固体废弃物或者进行其他破坏基本农田的活动。</w:t>
                  </w:r>
                </w:p>
                <w:p w14:paraId="38301750">
                  <w:pPr>
                    <w:pStyle w:val="55"/>
                    <w:jc w:val="left"/>
                    <w:rPr>
                      <w:color w:val="auto"/>
                    </w:rPr>
                  </w:pPr>
                  <w:r>
                    <w:rPr>
                      <w:color w:val="auto"/>
                    </w:rPr>
                    <w:t>禁止任何单位和个人占用基本农田发展林果业和挖塘养鱼。</w:t>
                  </w:r>
                </w:p>
                <w:p w14:paraId="27FB33B4">
                  <w:pPr>
                    <w:pStyle w:val="55"/>
                    <w:jc w:val="left"/>
                    <w:rPr>
                      <w:color w:val="auto"/>
                    </w:rPr>
                  </w:pPr>
                  <w:r>
                    <w:rPr>
                      <w:color w:val="auto"/>
                    </w:rPr>
                    <w:t>禁止生产、销售、使用国家明令禁止的农业投入品。农业投入品生产者、销售者和使用者应当及时回收农药、肥料等农业投入品的包装废弃物和农用薄膜，并将农药包装废弃物交由专门的机构或者组织进行无害化处理。</w:t>
                  </w:r>
                </w:p>
                <w:p w14:paraId="6AFB397C">
                  <w:pPr>
                    <w:pStyle w:val="55"/>
                    <w:jc w:val="left"/>
                    <w:rPr>
                      <w:color w:val="auto"/>
                    </w:rPr>
                  </w:pPr>
                  <w:r>
                    <w:rPr>
                      <w:color w:val="auto"/>
                    </w:rPr>
                    <w:t>在永久基本农田集中区域，不得规划新建可能造成土壤污染的建设项目。基本农田保护区内禁止下列行为</w:t>
                  </w:r>
                  <w:r>
                    <w:rPr>
                      <w:rFonts w:hint="eastAsia"/>
                      <w:color w:val="auto"/>
                    </w:rPr>
                    <w:t>：</w:t>
                  </w:r>
                  <w:r>
                    <w:rPr>
                      <w:color w:val="auto"/>
                    </w:rPr>
                    <w:t>(一)擅自将耕地改为非耕地</w:t>
                  </w:r>
                  <w:r>
                    <w:rPr>
                      <w:rFonts w:hint="eastAsia"/>
                      <w:color w:val="auto"/>
                    </w:rPr>
                    <w:t>；</w:t>
                  </w:r>
                  <w:r>
                    <w:rPr>
                      <w:color w:val="auto"/>
                    </w:rPr>
                    <w:t>(二)闲置、荒芜耕地</w:t>
                  </w:r>
                  <w:r>
                    <w:rPr>
                      <w:rFonts w:hint="eastAsia"/>
                      <w:color w:val="auto"/>
                    </w:rPr>
                    <w:t>；</w:t>
                  </w:r>
                  <w:r>
                    <w:rPr>
                      <w:color w:val="auto"/>
                    </w:rPr>
                    <w:t>(三)建窑、建房、建坟</w:t>
                  </w:r>
                  <w:r>
                    <w:rPr>
                      <w:rFonts w:hint="eastAsia"/>
                      <w:color w:val="auto"/>
                    </w:rPr>
                    <w:t>；</w:t>
                  </w:r>
                  <w:r>
                    <w:rPr>
                      <w:color w:val="auto"/>
                    </w:rPr>
                    <w:t>(四)擅自挖沙、采石、采矿、取土</w:t>
                  </w:r>
                  <w:r>
                    <w:rPr>
                      <w:rFonts w:hint="eastAsia"/>
                      <w:color w:val="auto"/>
                    </w:rPr>
                    <w:t>；</w:t>
                  </w:r>
                  <w:r>
                    <w:rPr>
                      <w:color w:val="auto"/>
                    </w:rPr>
                    <w:t>(五)排放污染性的废水、废气，堆放固体废弃物</w:t>
                  </w:r>
                  <w:r>
                    <w:rPr>
                      <w:rFonts w:hint="eastAsia"/>
                      <w:color w:val="auto"/>
                    </w:rPr>
                    <w:t>；</w:t>
                  </w:r>
                  <w:r>
                    <w:rPr>
                      <w:color w:val="auto"/>
                    </w:rPr>
                    <w:t>(六)向基本农田提供不符合国家有关标准的肥料、农药</w:t>
                  </w:r>
                  <w:r>
                    <w:rPr>
                      <w:rFonts w:hint="eastAsia"/>
                      <w:color w:val="auto"/>
                    </w:rPr>
                    <w:t>；</w:t>
                  </w:r>
                  <w:r>
                    <w:rPr>
                      <w:color w:val="auto"/>
                    </w:rPr>
                    <w:t>(七)毁坏水利排灌设施</w:t>
                  </w:r>
                  <w:r>
                    <w:rPr>
                      <w:rFonts w:hint="eastAsia"/>
                      <w:color w:val="auto"/>
                    </w:rPr>
                    <w:t>；</w:t>
                  </w:r>
                  <w:r>
                    <w:rPr>
                      <w:color w:val="auto"/>
                    </w:rPr>
                    <w:t>(八)擅自砍伐农田防护林和水土保持林</w:t>
                  </w:r>
                  <w:r>
                    <w:rPr>
                      <w:rFonts w:hint="eastAsia"/>
                      <w:color w:val="auto"/>
                    </w:rPr>
                    <w:t>；</w:t>
                  </w:r>
                  <w:r>
                    <w:rPr>
                      <w:color w:val="auto"/>
                    </w:rPr>
                    <w:t>(九)破坏或擅自改变基本农田保护区标志</w:t>
                  </w:r>
                  <w:r>
                    <w:rPr>
                      <w:rFonts w:hint="eastAsia"/>
                      <w:color w:val="auto"/>
                    </w:rPr>
                    <w:t>；</w:t>
                  </w:r>
                  <w:r>
                    <w:rPr>
                      <w:color w:val="auto"/>
                    </w:rPr>
                    <w:t>(十)其他破坏基本农田的行为。在基本农田保护区内不得设立非农业开发区和工业小区。</w:t>
                  </w:r>
                </w:p>
                <w:p w14:paraId="42D9339F">
                  <w:pPr>
                    <w:pStyle w:val="55"/>
                    <w:jc w:val="left"/>
                    <w:rPr>
                      <w:color w:val="auto"/>
                    </w:rPr>
                  </w:pPr>
                  <w:r>
                    <w:rPr>
                      <w:color w:val="auto"/>
                    </w:rPr>
                    <w:t>各级人民政府应当采取措施对耕地实行特殊保护，禁止违法占用耕地从事非农业建设，严格控制耕地转为林地、草地、园地等其他农用地，确保耕地优先用于粮食和蔬菜、油、棉、糖等农产品生产。实行耕地保护补偿激励制度，具体按照国家和省有关规定执行。</w:t>
                  </w:r>
                </w:p>
                <w:p w14:paraId="219E320E">
                  <w:pPr>
                    <w:pStyle w:val="55"/>
                    <w:jc w:val="left"/>
                    <w:rPr>
                      <w:color w:val="auto"/>
                    </w:rPr>
                  </w:pPr>
                  <w:r>
                    <w:rPr>
                      <w:color w:val="auto"/>
                    </w:rPr>
                    <w:t>加大优先保护类耕地保护力度，综合采取占补数量和质量平衡、高标准农田建设、周边污染企业搬迁整治等措施。提倡和鼓励农业生产者对其经营的基本农田施用有机肥料，合理施用化肥和农药。利用基本农田从事农业生产的单位和个人应当保持和培肥地力。严格控制在优先保护类耕地集中区域新建有色金属冶炼、石油加工、化工、焦化、电镀、制革等行业企业，有关环境保护主管部门依法不予审批可能造成耕地土壤污染的建设项目环境影响报告书或者报告表。优先保护类耕地集中区域现有可能造成土壤污染的相关行业企业应当按照有关规定采取措施，防止对耕地造成污染。设施农业用地选址应当按照保护耕地、节约集约利用土地的原则，少占或者不占耕地。确需占用耕地的，应当采取措施加强对耕地耕作层的保护；设施农业用地不再使用的，应当及时组织恢复种植条件。 在永久基本农田集中区域，已建成可能造成土壤污染的建设项目，应当限期关闭拆除。 禁止任何单位和个人闲置、荒芜基本农田。</w:t>
                  </w:r>
                </w:p>
              </w:tc>
              <w:tc>
                <w:tcPr>
                  <w:tcW w:w="1267" w:type="pct"/>
                  <w:vMerge w:val="restart"/>
                  <w:tcBorders>
                    <w:tl2br w:val="nil"/>
                    <w:tr2bl w:val="nil"/>
                  </w:tcBorders>
                  <w:vAlign w:val="center"/>
                </w:tcPr>
                <w:p w14:paraId="4CF30E04">
                  <w:pPr>
                    <w:pStyle w:val="55"/>
                    <w:jc w:val="left"/>
                    <w:rPr>
                      <w:color w:val="auto"/>
                    </w:rPr>
                  </w:pPr>
                  <w:r>
                    <w:rPr>
                      <w:rFonts w:hint="eastAsia"/>
                      <w:color w:val="auto"/>
                    </w:rPr>
                    <w:t>本项目为新建升压站及送出线路工程，运行期无废气外排，生活污水经化粪池预处理后，达到桂集镇污水处理站接管标准及《污水综合排放标准》（GB8978-1996）三级标准，接管桂集镇污水处理站，生活污水经各污水处理站处理达《城镇污水处理厂污染物排放标准》（GB18918-2002）的一级A标准；项目不属于“两高”项目，不属于污染严重的项目，对照《固定污染源排污许可分类管理名录（2019年版）》，项目不属于排污许可管理行业，无需申领排污许可证；项目不使用高环境风险化学品；项目水源采用自来水，不进行地下水开采；项目不使用锅炉；项目施工期采取工地周边围挡、物料堆放覆盖、路面硬化、土方开挖湿法作业、出入车辆清洗、渣土车辆密闭运输“六个百分之百”等措施治理施工扬尘。</w:t>
                  </w:r>
                </w:p>
                <w:p w14:paraId="236D7B82">
                  <w:pPr>
                    <w:pStyle w:val="55"/>
                    <w:jc w:val="left"/>
                    <w:rPr>
                      <w:color w:val="auto"/>
                    </w:rPr>
                  </w:pPr>
                  <w:r>
                    <w:rPr>
                      <w:rFonts w:hint="eastAsia"/>
                      <w:color w:val="auto"/>
                    </w:rPr>
                    <w:t>综上所述，项目建设符合重点管控单元管控要求。</w:t>
                  </w:r>
                </w:p>
              </w:tc>
            </w:tr>
            <w:tr w14:paraId="421F4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02" w:type="pct"/>
                  <w:vMerge w:val="continue"/>
                  <w:tcBorders>
                    <w:tl2br w:val="nil"/>
                    <w:tr2bl w:val="nil"/>
                  </w:tcBorders>
                  <w:vAlign w:val="center"/>
                </w:tcPr>
                <w:p w14:paraId="288A9BE1">
                  <w:pPr>
                    <w:pStyle w:val="55"/>
                    <w:rPr>
                      <w:color w:val="auto"/>
                    </w:rPr>
                  </w:pPr>
                </w:p>
              </w:tc>
              <w:tc>
                <w:tcPr>
                  <w:tcW w:w="487" w:type="pct"/>
                  <w:tcBorders>
                    <w:tl2br w:val="nil"/>
                    <w:tr2bl w:val="nil"/>
                  </w:tcBorders>
                  <w:shd w:val="clear" w:color="auto" w:fill="auto"/>
                  <w:vAlign w:val="center"/>
                </w:tcPr>
                <w:p w14:paraId="688ADCC1">
                  <w:pPr>
                    <w:pStyle w:val="55"/>
                    <w:rPr>
                      <w:color w:val="auto"/>
                    </w:rPr>
                  </w:pPr>
                  <w:r>
                    <w:rPr>
                      <w:rFonts w:hint="eastAsia"/>
                      <w:color w:val="auto"/>
                    </w:rPr>
                    <w:t>环境风险防控</w:t>
                  </w:r>
                </w:p>
              </w:tc>
              <w:tc>
                <w:tcPr>
                  <w:tcW w:w="2443" w:type="pct"/>
                  <w:tcBorders>
                    <w:tl2br w:val="nil"/>
                    <w:tr2bl w:val="nil"/>
                  </w:tcBorders>
                  <w:vAlign w:val="center"/>
                </w:tcPr>
                <w:p w14:paraId="3243C609">
                  <w:pPr>
                    <w:pStyle w:val="55"/>
                    <w:jc w:val="left"/>
                    <w:rPr>
                      <w:color w:val="auto"/>
                    </w:rPr>
                  </w:pPr>
                  <w:r>
                    <w:rPr>
                      <w:color w:val="auto"/>
                    </w:rPr>
                    <w:t>推行秸秆还田、增施有机肥、少耕免耕、粮豆轮作、农膜减量与回收利用等措施。农村土地流转的受让方要履行土壤保护的责任，避免因过度施肥、滥用农药等掠夺式农业生产方式造成土壤环境质量下降。对难以有效切断重金属污染途径，且土壤重金属污染严重、农产品重金属超标问题突出的耕地，要及时划入严格管控类，实施严格管控措施，降低农产品镉等重金属超标风险。</w:t>
                  </w:r>
                </w:p>
              </w:tc>
              <w:tc>
                <w:tcPr>
                  <w:tcW w:w="1267" w:type="pct"/>
                  <w:vMerge w:val="continue"/>
                  <w:tcBorders>
                    <w:tl2br w:val="nil"/>
                    <w:tr2bl w:val="nil"/>
                  </w:tcBorders>
                  <w:vAlign w:val="center"/>
                </w:tcPr>
                <w:p w14:paraId="6D110CA7">
                  <w:pPr>
                    <w:pStyle w:val="55"/>
                    <w:jc w:val="left"/>
                    <w:rPr>
                      <w:color w:val="auto"/>
                    </w:rPr>
                  </w:pPr>
                </w:p>
              </w:tc>
            </w:tr>
            <w:tr w14:paraId="2CA39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02" w:type="pct"/>
                  <w:vMerge w:val="continue"/>
                  <w:tcBorders>
                    <w:tl2br w:val="nil"/>
                    <w:tr2bl w:val="nil"/>
                  </w:tcBorders>
                  <w:vAlign w:val="center"/>
                </w:tcPr>
                <w:p w14:paraId="44864BC8">
                  <w:pPr>
                    <w:pStyle w:val="55"/>
                    <w:rPr>
                      <w:color w:val="auto"/>
                    </w:rPr>
                  </w:pPr>
                </w:p>
              </w:tc>
              <w:tc>
                <w:tcPr>
                  <w:tcW w:w="487" w:type="pct"/>
                  <w:tcBorders>
                    <w:tl2br w:val="nil"/>
                    <w:tr2bl w:val="nil"/>
                  </w:tcBorders>
                  <w:shd w:val="clear" w:color="auto" w:fill="auto"/>
                  <w:vAlign w:val="center"/>
                </w:tcPr>
                <w:p w14:paraId="6F1619A9">
                  <w:pPr>
                    <w:pStyle w:val="55"/>
                    <w:rPr>
                      <w:color w:val="auto"/>
                    </w:rPr>
                  </w:pPr>
                  <w:r>
                    <w:rPr>
                      <w:rFonts w:hint="eastAsia"/>
                      <w:color w:val="auto"/>
                    </w:rPr>
                    <w:t>资源开发效率要求</w:t>
                  </w:r>
                </w:p>
              </w:tc>
              <w:tc>
                <w:tcPr>
                  <w:tcW w:w="2443" w:type="pct"/>
                  <w:tcBorders>
                    <w:tl2br w:val="nil"/>
                    <w:tr2bl w:val="nil"/>
                  </w:tcBorders>
                  <w:vAlign w:val="center"/>
                </w:tcPr>
                <w:p w14:paraId="3DE358B6">
                  <w:pPr>
                    <w:pStyle w:val="55"/>
                    <w:jc w:val="left"/>
                    <w:rPr>
                      <w:color w:val="auto"/>
                    </w:rPr>
                  </w:pPr>
                  <w:r>
                    <w:rPr>
                      <w:color w:val="auto"/>
                    </w:rPr>
                    <w:t>大气环境部分部分依据《中华人民共和国大气污染防治法》《打赢蓝天保卫战三年行动计划》《安徽省打赢蓝天保卫战三年行动计划实施方案》等法律法规和规章对一般管控区实施管控。上年度PM</w:t>
                  </w:r>
                  <w:r>
                    <w:rPr>
                      <w:color w:val="auto"/>
                      <w:vertAlign w:val="subscript"/>
                    </w:rPr>
                    <w:t>2.5</w:t>
                  </w:r>
                  <w:r>
                    <w:rPr>
                      <w:color w:val="auto"/>
                    </w:rPr>
                    <w:t>不达标城市新建、改建和扩建项目大气污染物实施“倍量替代”，执行特别排放标准的行业实施提标升级改造。</w:t>
                  </w:r>
                </w:p>
                <w:p w14:paraId="55CF22BF">
                  <w:pPr>
                    <w:pStyle w:val="55"/>
                    <w:jc w:val="left"/>
                    <w:rPr>
                      <w:color w:val="auto"/>
                    </w:rPr>
                  </w:pPr>
                  <w:r>
                    <w:rPr>
                      <w:color w:val="auto"/>
                    </w:rPr>
                    <w:t>水环境部分依据《中华人民共和国水污染防治法》《水污染防治行动计划》《安徽省水污染防治工作方案》及各市水污染防治工作方案对一般管控区实施管控。 土壤环境部分依据《中华人民共和国土壤污染防治法》《土壤污染防治行动计划》《安徽省土壤污染防治工作方案》等要求及各市土壤污染防治工作方案对一般管控区实施管控。</w:t>
                  </w:r>
                </w:p>
                <w:p w14:paraId="0674D10F">
                  <w:pPr>
                    <w:pStyle w:val="55"/>
                    <w:jc w:val="left"/>
                    <w:rPr>
                      <w:color w:val="auto"/>
                    </w:rPr>
                  </w:pPr>
                  <w:r>
                    <w:rPr>
                      <w:color w:val="auto"/>
                    </w:rPr>
                    <w:t>资源利用部分落实《安徽省煤炭消费减量替代工作方案（2018-2020年）》要求。落实《国务院办公厅关于印发实行最严格水资源管理制度考核办法的通知》等要求。落实《安徽省土地利用总体规划（2006-2020年）调整方案等要求。</w:t>
                  </w:r>
                </w:p>
                <w:p w14:paraId="4A84CD7E">
                  <w:pPr>
                    <w:pStyle w:val="55"/>
                    <w:jc w:val="left"/>
                    <w:rPr>
                      <w:color w:val="auto"/>
                    </w:rPr>
                  </w:pPr>
                  <w:r>
                    <w:rPr>
                      <w:color w:val="auto"/>
                    </w:rPr>
                    <w:t>《中华人民共和国大气污染防治法》《打赢蓝天保卫战三年行动计划》《安徽省打赢蓝天保卫战三年行动计划实施方案》《中华人民共和国水污染防治法》《水污染防治行动计划》《安徽省水污染防治工作方案》《安徽省淮河流域水污染防治条例》对淮河流域实施管控；依据《中华人民共和国土壤污染防治法》《土壤污染防治行动计划》《安徽省土壤污染防治工作方案》《国务院办公厅关于印发实行最严格水资源管理制度考核办法的通知》《安徽省土地利用总体规划（2006-2025年）调整方案》。</w:t>
                  </w:r>
                </w:p>
              </w:tc>
              <w:tc>
                <w:tcPr>
                  <w:tcW w:w="1267" w:type="pct"/>
                  <w:vMerge w:val="continue"/>
                  <w:tcBorders>
                    <w:tl2br w:val="nil"/>
                    <w:tr2bl w:val="nil"/>
                  </w:tcBorders>
                  <w:vAlign w:val="center"/>
                </w:tcPr>
                <w:p w14:paraId="63CC3895">
                  <w:pPr>
                    <w:pStyle w:val="55"/>
                    <w:jc w:val="left"/>
                    <w:rPr>
                      <w:color w:val="auto"/>
                    </w:rPr>
                  </w:pPr>
                </w:p>
              </w:tc>
            </w:tr>
          </w:tbl>
          <w:p w14:paraId="1AB8B15A">
            <w:pPr>
              <w:pStyle w:val="51"/>
              <w:rPr>
                <w:color w:val="auto"/>
              </w:rPr>
            </w:pPr>
            <w:r>
              <w:rPr>
                <w:rFonts w:hint="eastAsia"/>
                <w:color w:val="auto"/>
              </w:rPr>
              <w:t>本项目不在主导生态功能区范围内，不在当地饮用水源保护区、风景名胜区、自然保护区等生态保护区内，不涉及生态红线；区域环境质量满足项目所在地环境功能区划要求，有一定的环境容量，且各污染物均可做到达标排放；项目用资源为清洁的电能，利用率较高，不触及资源利用上线；符合国家产业、地方政策和生态环境准入标准和要求。</w:t>
            </w:r>
          </w:p>
          <w:p w14:paraId="3A78856A">
            <w:pPr>
              <w:pStyle w:val="51"/>
              <w:rPr>
                <w:color w:val="auto"/>
              </w:rPr>
            </w:pPr>
            <w:r>
              <w:rPr>
                <w:rFonts w:hint="eastAsia"/>
                <w:color w:val="auto"/>
              </w:rPr>
              <w:t>综上所述，项目建设符合“三线一单”要求。</w:t>
            </w:r>
          </w:p>
          <w:p w14:paraId="3CA3046E">
            <w:pPr>
              <w:pStyle w:val="48"/>
              <w:rPr>
                <w:color w:val="auto"/>
              </w:rPr>
            </w:pPr>
            <w:r>
              <w:rPr>
                <w:rFonts w:hint="eastAsia"/>
                <w:color w:val="auto"/>
              </w:rPr>
              <w:t>（三）与《输变电建设项目环境保护技术要求》（HJ1113-2020）相符分析</w:t>
            </w:r>
          </w:p>
          <w:p w14:paraId="54EDD065">
            <w:pPr>
              <w:pStyle w:val="53"/>
              <w:rPr>
                <w:color w:val="auto"/>
              </w:rPr>
            </w:pPr>
            <w:r>
              <w:rPr>
                <w:rFonts w:hint="eastAsia"/>
                <w:color w:val="auto"/>
              </w:rPr>
              <w:t>表1-4  本项目与《输变电建设项目环境保护技术要求》（HJ1113-2020）要求符合性分析一览表</w:t>
            </w:r>
          </w:p>
          <w:tbl>
            <w:tblPr>
              <w:tblStyle w:val="25"/>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5"/>
              <w:gridCol w:w="4303"/>
              <w:gridCol w:w="2392"/>
            </w:tblGrid>
            <w:tr w14:paraId="42119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1" w:type="pct"/>
                  <w:tcBorders>
                    <w:tl2br w:val="nil"/>
                    <w:tr2bl w:val="nil"/>
                  </w:tcBorders>
                  <w:vAlign w:val="center"/>
                </w:tcPr>
                <w:p w14:paraId="426083C4">
                  <w:pPr>
                    <w:pStyle w:val="55"/>
                    <w:rPr>
                      <w:color w:val="auto"/>
                    </w:rPr>
                  </w:pPr>
                  <w:r>
                    <w:rPr>
                      <w:rFonts w:hint="eastAsia"/>
                      <w:color w:val="auto"/>
                    </w:rPr>
                    <w:t>序号</w:t>
                  </w:r>
                </w:p>
              </w:tc>
              <w:tc>
                <w:tcPr>
                  <w:tcW w:w="2942" w:type="pct"/>
                  <w:tcBorders>
                    <w:tl2br w:val="nil"/>
                    <w:tr2bl w:val="nil"/>
                  </w:tcBorders>
                  <w:vAlign w:val="center"/>
                </w:tcPr>
                <w:p w14:paraId="0BABBE36">
                  <w:pPr>
                    <w:pStyle w:val="55"/>
                    <w:rPr>
                      <w:color w:val="auto"/>
                    </w:rPr>
                  </w:pPr>
                  <w:r>
                    <w:rPr>
                      <w:rFonts w:hint="eastAsia"/>
                      <w:color w:val="auto"/>
                    </w:rPr>
                    <w:t>《输变电建设项目环境保护技术要求》（HJ1113-2020）要求</w:t>
                  </w:r>
                </w:p>
              </w:tc>
              <w:tc>
                <w:tcPr>
                  <w:tcW w:w="1636" w:type="pct"/>
                  <w:tcBorders>
                    <w:tl2br w:val="nil"/>
                    <w:tr2bl w:val="nil"/>
                  </w:tcBorders>
                  <w:vAlign w:val="center"/>
                </w:tcPr>
                <w:p w14:paraId="56ACE672">
                  <w:pPr>
                    <w:pStyle w:val="55"/>
                    <w:rPr>
                      <w:color w:val="auto"/>
                    </w:rPr>
                  </w:pPr>
                  <w:r>
                    <w:rPr>
                      <w:rFonts w:hint="eastAsia"/>
                      <w:color w:val="auto"/>
                    </w:rPr>
                    <w:t>符合性分析</w:t>
                  </w:r>
                </w:p>
              </w:tc>
            </w:tr>
            <w:tr w14:paraId="550FA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1" w:type="pct"/>
                  <w:tcBorders>
                    <w:tl2br w:val="nil"/>
                    <w:tr2bl w:val="nil"/>
                  </w:tcBorders>
                  <w:vAlign w:val="center"/>
                </w:tcPr>
                <w:p w14:paraId="372F538F">
                  <w:pPr>
                    <w:pStyle w:val="55"/>
                    <w:rPr>
                      <w:color w:val="auto"/>
                    </w:rPr>
                  </w:pPr>
                  <w:r>
                    <w:rPr>
                      <w:rFonts w:hint="eastAsia"/>
                      <w:color w:val="auto"/>
                    </w:rPr>
                    <w:t>1</w:t>
                  </w:r>
                </w:p>
              </w:tc>
              <w:tc>
                <w:tcPr>
                  <w:tcW w:w="2942" w:type="pct"/>
                  <w:tcBorders>
                    <w:tl2br w:val="nil"/>
                    <w:tr2bl w:val="nil"/>
                  </w:tcBorders>
                  <w:vAlign w:val="center"/>
                </w:tcPr>
                <w:p w14:paraId="2DA55ADC">
                  <w:pPr>
                    <w:pStyle w:val="55"/>
                    <w:rPr>
                      <w:color w:val="auto"/>
                    </w:rPr>
                  </w:pPr>
                  <w:r>
                    <w:rPr>
                      <w:rFonts w:hint="eastAsia"/>
                      <w:color w:val="auto"/>
                    </w:rPr>
                    <w:t>工程选址选线应符合规划环境影响评价文件的要求。</w:t>
                  </w:r>
                </w:p>
              </w:tc>
              <w:tc>
                <w:tcPr>
                  <w:tcW w:w="1636" w:type="pct"/>
                  <w:tcBorders>
                    <w:tl2br w:val="nil"/>
                    <w:tr2bl w:val="nil"/>
                  </w:tcBorders>
                  <w:vAlign w:val="center"/>
                </w:tcPr>
                <w:p w14:paraId="3B9B6F75">
                  <w:pPr>
                    <w:pStyle w:val="55"/>
                    <w:rPr>
                      <w:color w:val="auto"/>
                    </w:rPr>
                  </w:pPr>
                  <w:r>
                    <w:rPr>
                      <w:rFonts w:hint="eastAsia"/>
                      <w:color w:val="auto"/>
                    </w:rPr>
                    <w:t>本区域未开展电网专项规划环境影响评价，符合凤台县桂集镇总体规划的要求。</w:t>
                  </w:r>
                </w:p>
              </w:tc>
            </w:tr>
            <w:tr w14:paraId="2E615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1" w:type="pct"/>
                  <w:tcBorders>
                    <w:tl2br w:val="nil"/>
                    <w:tr2bl w:val="nil"/>
                  </w:tcBorders>
                  <w:vAlign w:val="center"/>
                </w:tcPr>
                <w:p w14:paraId="5428DF9C">
                  <w:pPr>
                    <w:pStyle w:val="55"/>
                    <w:rPr>
                      <w:color w:val="auto"/>
                    </w:rPr>
                  </w:pPr>
                  <w:r>
                    <w:rPr>
                      <w:rFonts w:hint="eastAsia"/>
                      <w:color w:val="auto"/>
                    </w:rPr>
                    <w:t>2</w:t>
                  </w:r>
                </w:p>
              </w:tc>
              <w:tc>
                <w:tcPr>
                  <w:tcW w:w="2942" w:type="pct"/>
                  <w:tcBorders>
                    <w:tl2br w:val="nil"/>
                    <w:tr2bl w:val="nil"/>
                  </w:tcBorders>
                  <w:vAlign w:val="center"/>
                </w:tcPr>
                <w:p w14:paraId="3F173F76">
                  <w:pPr>
                    <w:pStyle w:val="55"/>
                    <w:rPr>
                      <w:color w:val="auto"/>
                    </w:rPr>
                  </w:pPr>
                  <w:r>
                    <w:rPr>
                      <w:rFonts w:hint="eastAsia"/>
                      <w:color w:val="auto"/>
                    </w:rPr>
                    <w:t>输变电建设项目选址选线应符合生态保护红线管控要求，避让自然保护区、饮用水水源保护区等环境敏感区。确实因自然条件等因素限制无法避让自然保护区实验区、饮用水水源二级保护区等环境敏感区的输电线路，应在满足相关法律法规及管理要求的前提下对线路方案进行唯一性论证，并采取无害化方式通过。</w:t>
                  </w:r>
                </w:p>
              </w:tc>
              <w:tc>
                <w:tcPr>
                  <w:tcW w:w="1636" w:type="pct"/>
                  <w:tcBorders>
                    <w:tl2br w:val="nil"/>
                    <w:tr2bl w:val="nil"/>
                  </w:tcBorders>
                  <w:vAlign w:val="center"/>
                </w:tcPr>
                <w:p w14:paraId="79EA58E5">
                  <w:pPr>
                    <w:pStyle w:val="55"/>
                    <w:rPr>
                      <w:color w:val="auto"/>
                    </w:rPr>
                  </w:pPr>
                  <w:r>
                    <w:rPr>
                      <w:rFonts w:hint="eastAsia"/>
                      <w:color w:val="auto"/>
                    </w:rPr>
                    <w:t>本项目不涉及生态保护红线、自然保护区、饮用水源保护区等环境敏感区。</w:t>
                  </w:r>
                </w:p>
              </w:tc>
            </w:tr>
            <w:tr w14:paraId="13894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1" w:type="pct"/>
                  <w:tcBorders>
                    <w:tl2br w:val="nil"/>
                    <w:tr2bl w:val="nil"/>
                  </w:tcBorders>
                  <w:vAlign w:val="center"/>
                </w:tcPr>
                <w:p w14:paraId="6668EC81">
                  <w:pPr>
                    <w:pStyle w:val="55"/>
                    <w:rPr>
                      <w:color w:val="auto"/>
                    </w:rPr>
                  </w:pPr>
                  <w:r>
                    <w:rPr>
                      <w:rFonts w:hint="eastAsia"/>
                      <w:color w:val="auto"/>
                    </w:rPr>
                    <w:t>3</w:t>
                  </w:r>
                </w:p>
              </w:tc>
              <w:tc>
                <w:tcPr>
                  <w:tcW w:w="2942" w:type="pct"/>
                  <w:tcBorders>
                    <w:tl2br w:val="nil"/>
                    <w:tr2bl w:val="nil"/>
                  </w:tcBorders>
                  <w:vAlign w:val="center"/>
                </w:tcPr>
                <w:p w14:paraId="6245FB1C">
                  <w:pPr>
                    <w:pStyle w:val="55"/>
                    <w:rPr>
                      <w:color w:val="auto"/>
                    </w:rPr>
                  </w:pPr>
                  <w:r>
                    <w:rPr>
                      <w:rFonts w:hint="eastAsia"/>
                      <w:color w:val="auto"/>
                    </w:rPr>
                    <w:t>变电工程在选址时应按终期规模综合考虑进出线走廊规划，避免进出线进入自然保护区、饮用水水源保护区等环境敏感区。</w:t>
                  </w:r>
                </w:p>
              </w:tc>
              <w:tc>
                <w:tcPr>
                  <w:tcW w:w="1636" w:type="pct"/>
                  <w:tcBorders>
                    <w:tl2br w:val="nil"/>
                    <w:tr2bl w:val="nil"/>
                  </w:tcBorders>
                  <w:vAlign w:val="center"/>
                </w:tcPr>
                <w:p w14:paraId="31BF50BE">
                  <w:pPr>
                    <w:pStyle w:val="55"/>
                    <w:rPr>
                      <w:color w:val="auto"/>
                    </w:rPr>
                  </w:pPr>
                  <w:r>
                    <w:rPr>
                      <w:rFonts w:hint="eastAsia"/>
                      <w:color w:val="auto"/>
                    </w:rPr>
                    <w:t>本项目不涉及自然保护区、饮用水水源保护区等环境敏感区。</w:t>
                  </w:r>
                </w:p>
              </w:tc>
            </w:tr>
            <w:tr w14:paraId="3D9D9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1" w:type="pct"/>
                  <w:tcBorders>
                    <w:tl2br w:val="nil"/>
                    <w:tr2bl w:val="nil"/>
                  </w:tcBorders>
                  <w:vAlign w:val="center"/>
                </w:tcPr>
                <w:p w14:paraId="158C0D86">
                  <w:pPr>
                    <w:pStyle w:val="55"/>
                    <w:rPr>
                      <w:color w:val="auto"/>
                    </w:rPr>
                  </w:pPr>
                  <w:r>
                    <w:rPr>
                      <w:rFonts w:hint="eastAsia"/>
                      <w:color w:val="auto"/>
                    </w:rPr>
                    <w:t>4</w:t>
                  </w:r>
                </w:p>
              </w:tc>
              <w:tc>
                <w:tcPr>
                  <w:tcW w:w="2942" w:type="pct"/>
                  <w:tcBorders>
                    <w:tl2br w:val="nil"/>
                    <w:tr2bl w:val="nil"/>
                  </w:tcBorders>
                  <w:vAlign w:val="center"/>
                </w:tcPr>
                <w:p w14:paraId="38EF9576">
                  <w:pPr>
                    <w:pStyle w:val="55"/>
                    <w:rPr>
                      <w:color w:val="auto"/>
                    </w:rPr>
                  </w:pPr>
                  <w:r>
                    <w:rPr>
                      <w:rFonts w:hint="eastAsia"/>
                      <w:color w:val="auto"/>
                    </w:rPr>
                    <w:t>户外变电工程及规划架空进出线选址选线时，应关注以居住、医疗卫生、文化教育、科研、行政办公等为主要功能的区域，采取综合措施，减少电磁和声环境影响。</w:t>
                  </w:r>
                </w:p>
              </w:tc>
              <w:tc>
                <w:tcPr>
                  <w:tcW w:w="1636" w:type="pct"/>
                  <w:tcBorders>
                    <w:tl2br w:val="nil"/>
                    <w:tr2bl w:val="nil"/>
                  </w:tcBorders>
                  <w:vAlign w:val="center"/>
                </w:tcPr>
                <w:p w14:paraId="5A45AA28">
                  <w:pPr>
                    <w:pStyle w:val="55"/>
                    <w:rPr>
                      <w:color w:val="auto"/>
                    </w:rPr>
                  </w:pPr>
                  <w:r>
                    <w:rPr>
                      <w:rFonts w:hint="eastAsia"/>
                      <w:color w:val="auto"/>
                    </w:rPr>
                    <w:t>本项目线路选线时，已尽量避开以居住、医疗卫生、文化教育、科研、行政办公等为主要功能的区域，减少线路的电磁和声环境影响。</w:t>
                  </w:r>
                </w:p>
              </w:tc>
            </w:tr>
            <w:tr w14:paraId="18E68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1" w:type="pct"/>
                  <w:tcBorders>
                    <w:tl2br w:val="nil"/>
                    <w:tr2bl w:val="nil"/>
                  </w:tcBorders>
                  <w:vAlign w:val="center"/>
                </w:tcPr>
                <w:p w14:paraId="6182E854">
                  <w:pPr>
                    <w:pStyle w:val="55"/>
                    <w:rPr>
                      <w:color w:val="auto"/>
                    </w:rPr>
                  </w:pPr>
                  <w:r>
                    <w:rPr>
                      <w:rFonts w:hint="eastAsia"/>
                      <w:color w:val="auto"/>
                    </w:rPr>
                    <w:t>5</w:t>
                  </w:r>
                </w:p>
              </w:tc>
              <w:tc>
                <w:tcPr>
                  <w:tcW w:w="2942" w:type="pct"/>
                  <w:tcBorders>
                    <w:tl2br w:val="nil"/>
                    <w:tr2bl w:val="nil"/>
                  </w:tcBorders>
                  <w:vAlign w:val="center"/>
                </w:tcPr>
                <w:p w14:paraId="7617D559">
                  <w:pPr>
                    <w:pStyle w:val="55"/>
                    <w:rPr>
                      <w:color w:val="auto"/>
                    </w:rPr>
                  </w:pPr>
                  <w:r>
                    <w:rPr>
                      <w:rFonts w:hint="eastAsia"/>
                      <w:color w:val="auto"/>
                    </w:rPr>
                    <w:t>同一走廊内的多回输电线路，宜采取同塔多回架设、并行架设等形式，减少新开辟走廊，优化线路走廊间距，降低环境影响。</w:t>
                  </w:r>
                </w:p>
              </w:tc>
              <w:tc>
                <w:tcPr>
                  <w:tcW w:w="1636" w:type="pct"/>
                  <w:tcBorders>
                    <w:tl2br w:val="nil"/>
                    <w:tr2bl w:val="nil"/>
                  </w:tcBorders>
                  <w:vAlign w:val="center"/>
                </w:tcPr>
                <w:p w14:paraId="0B60BAAF">
                  <w:pPr>
                    <w:pStyle w:val="55"/>
                    <w:rPr>
                      <w:color w:val="auto"/>
                    </w:rPr>
                  </w:pPr>
                  <w:r>
                    <w:rPr>
                      <w:rFonts w:hint="eastAsia"/>
                      <w:color w:val="auto"/>
                    </w:rPr>
                    <w:t>本项目为双回路线路，设计时因地制宜选择线路型式、架设高度、杆塔塔型、导线参数等，减少电磁环境影响。</w:t>
                  </w:r>
                </w:p>
              </w:tc>
            </w:tr>
            <w:tr w14:paraId="5C344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1" w:type="pct"/>
                  <w:tcBorders>
                    <w:tl2br w:val="nil"/>
                    <w:tr2bl w:val="nil"/>
                  </w:tcBorders>
                  <w:vAlign w:val="center"/>
                </w:tcPr>
                <w:p w14:paraId="600C0BB8">
                  <w:pPr>
                    <w:pStyle w:val="55"/>
                    <w:rPr>
                      <w:color w:val="auto"/>
                    </w:rPr>
                  </w:pPr>
                  <w:r>
                    <w:rPr>
                      <w:rFonts w:hint="eastAsia"/>
                      <w:color w:val="auto"/>
                    </w:rPr>
                    <w:t>6</w:t>
                  </w:r>
                </w:p>
              </w:tc>
              <w:tc>
                <w:tcPr>
                  <w:tcW w:w="2942" w:type="pct"/>
                  <w:tcBorders>
                    <w:tl2br w:val="nil"/>
                    <w:tr2bl w:val="nil"/>
                  </w:tcBorders>
                  <w:vAlign w:val="center"/>
                </w:tcPr>
                <w:p w14:paraId="492A6BAF">
                  <w:pPr>
                    <w:pStyle w:val="55"/>
                    <w:rPr>
                      <w:color w:val="auto"/>
                    </w:rPr>
                  </w:pPr>
                  <w:r>
                    <w:rPr>
                      <w:rFonts w:hint="eastAsia"/>
                      <w:color w:val="auto"/>
                    </w:rPr>
                    <w:t>原则上避免在0类声环境功能区建设变电工程。</w:t>
                  </w:r>
                </w:p>
              </w:tc>
              <w:tc>
                <w:tcPr>
                  <w:tcW w:w="1636" w:type="pct"/>
                  <w:tcBorders>
                    <w:tl2br w:val="nil"/>
                    <w:tr2bl w:val="nil"/>
                  </w:tcBorders>
                  <w:vAlign w:val="center"/>
                </w:tcPr>
                <w:p w14:paraId="7B71EA3E">
                  <w:pPr>
                    <w:pStyle w:val="55"/>
                    <w:rPr>
                      <w:color w:val="auto"/>
                    </w:rPr>
                  </w:pPr>
                  <w:r>
                    <w:rPr>
                      <w:rFonts w:hint="eastAsia"/>
                      <w:color w:val="auto"/>
                    </w:rPr>
                    <w:t>不涉及。</w:t>
                  </w:r>
                </w:p>
              </w:tc>
            </w:tr>
            <w:tr w14:paraId="31AD0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1" w:type="pct"/>
                  <w:tcBorders>
                    <w:tl2br w:val="nil"/>
                    <w:tr2bl w:val="nil"/>
                  </w:tcBorders>
                  <w:vAlign w:val="center"/>
                </w:tcPr>
                <w:p w14:paraId="5D5F0E17">
                  <w:pPr>
                    <w:pStyle w:val="55"/>
                    <w:rPr>
                      <w:color w:val="auto"/>
                    </w:rPr>
                  </w:pPr>
                  <w:r>
                    <w:rPr>
                      <w:rFonts w:hint="eastAsia"/>
                      <w:color w:val="auto"/>
                    </w:rPr>
                    <w:t>7</w:t>
                  </w:r>
                </w:p>
              </w:tc>
              <w:tc>
                <w:tcPr>
                  <w:tcW w:w="2942" w:type="pct"/>
                  <w:tcBorders>
                    <w:tl2br w:val="nil"/>
                    <w:tr2bl w:val="nil"/>
                  </w:tcBorders>
                  <w:vAlign w:val="center"/>
                </w:tcPr>
                <w:p w14:paraId="22AC8171">
                  <w:pPr>
                    <w:pStyle w:val="55"/>
                    <w:rPr>
                      <w:color w:val="auto"/>
                    </w:rPr>
                  </w:pPr>
                  <w:r>
                    <w:rPr>
                      <w:rFonts w:hint="eastAsia"/>
                      <w:color w:val="auto"/>
                    </w:rPr>
                    <w:t>变电工程选址时，应综合考虑减少土地占用、植被砍伐和弃土弃渣等，以减少对生态环境的不利影响。</w:t>
                  </w:r>
                </w:p>
              </w:tc>
              <w:tc>
                <w:tcPr>
                  <w:tcW w:w="1636" w:type="pct"/>
                  <w:tcBorders>
                    <w:tl2br w:val="nil"/>
                    <w:tr2bl w:val="nil"/>
                  </w:tcBorders>
                  <w:vAlign w:val="center"/>
                </w:tcPr>
                <w:p w14:paraId="4EEE93E8">
                  <w:pPr>
                    <w:pStyle w:val="55"/>
                    <w:rPr>
                      <w:color w:val="auto"/>
                    </w:rPr>
                  </w:pPr>
                  <w:r>
                    <w:rPr>
                      <w:rFonts w:hint="eastAsia"/>
                      <w:color w:val="auto"/>
                    </w:rPr>
                    <w:t>已考虑</w:t>
                  </w:r>
                </w:p>
              </w:tc>
            </w:tr>
            <w:tr w14:paraId="77383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1" w:type="pct"/>
                  <w:tcBorders>
                    <w:tl2br w:val="nil"/>
                    <w:tr2bl w:val="nil"/>
                  </w:tcBorders>
                  <w:vAlign w:val="center"/>
                </w:tcPr>
                <w:p w14:paraId="56C6DB21">
                  <w:pPr>
                    <w:pStyle w:val="55"/>
                    <w:rPr>
                      <w:color w:val="auto"/>
                    </w:rPr>
                  </w:pPr>
                  <w:r>
                    <w:rPr>
                      <w:rFonts w:hint="eastAsia"/>
                      <w:color w:val="auto"/>
                    </w:rPr>
                    <w:t>8</w:t>
                  </w:r>
                </w:p>
              </w:tc>
              <w:tc>
                <w:tcPr>
                  <w:tcW w:w="2942" w:type="pct"/>
                  <w:tcBorders>
                    <w:tl2br w:val="nil"/>
                    <w:tr2bl w:val="nil"/>
                  </w:tcBorders>
                  <w:vAlign w:val="center"/>
                </w:tcPr>
                <w:p w14:paraId="25D16864">
                  <w:pPr>
                    <w:pStyle w:val="55"/>
                    <w:rPr>
                      <w:color w:val="auto"/>
                    </w:rPr>
                  </w:pPr>
                  <w:r>
                    <w:rPr>
                      <w:rFonts w:hint="eastAsia"/>
                      <w:color w:val="auto"/>
                    </w:rPr>
                    <w:t>输电线路宜避让集中林区，以减少林木砍伐，保护生态环境。</w:t>
                  </w:r>
                </w:p>
              </w:tc>
              <w:tc>
                <w:tcPr>
                  <w:tcW w:w="1636" w:type="pct"/>
                  <w:tcBorders>
                    <w:tl2br w:val="nil"/>
                    <w:tr2bl w:val="nil"/>
                  </w:tcBorders>
                  <w:vAlign w:val="center"/>
                </w:tcPr>
                <w:p w14:paraId="6D9E9147">
                  <w:pPr>
                    <w:pStyle w:val="55"/>
                    <w:rPr>
                      <w:color w:val="auto"/>
                    </w:rPr>
                  </w:pPr>
                  <w:r>
                    <w:rPr>
                      <w:rFonts w:hint="eastAsia"/>
                      <w:color w:val="auto"/>
                    </w:rPr>
                    <w:t>根据现场调查，本项目架空线路未经过集中林区，符合要求。</w:t>
                  </w:r>
                </w:p>
              </w:tc>
            </w:tr>
            <w:tr w14:paraId="11C00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1" w:type="pct"/>
                  <w:tcBorders>
                    <w:tl2br w:val="nil"/>
                    <w:tr2bl w:val="nil"/>
                  </w:tcBorders>
                  <w:vAlign w:val="center"/>
                </w:tcPr>
                <w:p w14:paraId="43EA5697">
                  <w:pPr>
                    <w:pStyle w:val="55"/>
                    <w:rPr>
                      <w:color w:val="auto"/>
                    </w:rPr>
                  </w:pPr>
                  <w:r>
                    <w:rPr>
                      <w:rFonts w:hint="eastAsia"/>
                      <w:color w:val="auto"/>
                    </w:rPr>
                    <w:t>9</w:t>
                  </w:r>
                </w:p>
              </w:tc>
              <w:tc>
                <w:tcPr>
                  <w:tcW w:w="2942" w:type="pct"/>
                  <w:tcBorders>
                    <w:tl2br w:val="nil"/>
                    <w:tr2bl w:val="nil"/>
                  </w:tcBorders>
                  <w:vAlign w:val="center"/>
                </w:tcPr>
                <w:p w14:paraId="1008C762">
                  <w:pPr>
                    <w:pStyle w:val="55"/>
                    <w:rPr>
                      <w:color w:val="auto"/>
                    </w:rPr>
                  </w:pPr>
                  <w:r>
                    <w:rPr>
                      <w:rFonts w:hint="eastAsia"/>
                      <w:color w:val="auto"/>
                    </w:rPr>
                    <w:t>进入自然保护区的输电线路，应按照 HJ19 的要求开展生态现状调查，避让保护对象的集中分布区。</w:t>
                  </w:r>
                </w:p>
              </w:tc>
              <w:tc>
                <w:tcPr>
                  <w:tcW w:w="1636" w:type="pct"/>
                  <w:tcBorders>
                    <w:tl2br w:val="nil"/>
                    <w:tr2bl w:val="nil"/>
                  </w:tcBorders>
                  <w:vAlign w:val="center"/>
                </w:tcPr>
                <w:p w14:paraId="3BD5BCFD">
                  <w:pPr>
                    <w:pStyle w:val="55"/>
                    <w:rPr>
                      <w:color w:val="auto"/>
                    </w:rPr>
                  </w:pPr>
                  <w:r>
                    <w:rPr>
                      <w:rFonts w:hint="eastAsia"/>
                      <w:color w:val="auto"/>
                    </w:rPr>
                    <w:t>本项目不涉及自然保护区。</w:t>
                  </w:r>
                </w:p>
              </w:tc>
            </w:tr>
          </w:tbl>
          <w:p w14:paraId="0FC74ED2">
            <w:pPr>
              <w:pStyle w:val="51"/>
              <w:rPr>
                <w:color w:val="auto"/>
              </w:rPr>
            </w:pPr>
            <w:r>
              <w:rPr>
                <w:rFonts w:hint="eastAsia"/>
                <w:color w:val="auto"/>
              </w:rPr>
              <w:t>根据表1-3，本工程建设与《输变电建设项目环境保护技术要求》（H1113-2020）是相符的。</w:t>
            </w:r>
          </w:p>
          <w:p w14:paraId="6C279A57">
            <w:pPr>
              <w:pStyle w:val="48"/>
              <w:rPr>
                <w:color w:val="auto"/>
              </w:rPr>
            </w:pPr>
            <w:r>
              <w:rPr>
                <w:rFonts w:hint="eastAsia"/>
                <w:color w:val="auto"/>
              </w:rPr>
              <w:t>（四）项目与安徽省“十四五”生态环境保护规划的符合性</w:t>
            </w:r>
          </w:p>
          <w:p w14:paraId="4658E375">
            <w:pPr>
              <w:pStyle w:val="51"/>
              <w:rPr>
                <w:color w:val="auto"/>
              </w:rPr>
            </w:pPr>
            <w:r>
              <w:rPr>
                <w:rFonts w:hint="eastAsia"/>
                <w:color w:val="auto"/>
              </w:rPr>
              <w:t>本项目位于淮南市凤台县境内。根据《安徽省“十四五”生态环境保护规划》，本项目未进入各类自然保护区、风景名胜区等需要特别保护的生态敏感区域，施工期的主要环境影响为施工扬尘、地表水、噪声、固体废物，运营期主要的环境影响为工频电场、工频磁场及噪声，项目产生的环境影响及环境风险均相对较小，且项目不属于资源开发类以及污染重、风险高、对生态环境具有较大的现实和潜在影响的项目，因此，项目符合《安徽省“十四五”生态环境保护规划》要求。</w:t>
            </w:r>
          </w:p>
          <w:p w14:paraId="5B1AD00D">
            <w:pPr>
              <w:pStyle w:val="48"/>
              <w:rPr>
                <w:color w:val="auto"/>
              </w:rPr>
            </w:pPr>
            <w:r>
              <w:rPr>
                <w:rFonts w:hint="eastAsia"/>
                <w:color w:val="auto"/>
              </w:rPr>
              <w:t>（五）与《自然资源部办公厅关于依据“三区三线”划定成果报批建设项目用地用海有关事宜的函》相符性分析的符合性分析</w:t>
            </w:r>
          </w:p>
          <w:p w14:paraId="2EAC66AE">
            <w:pPr>
              <w:pStyle w:val="51"/>
              <w:rPr>
                <w:color w:val="auto"/>
              </w:rPr>
            </w:pPr>
            <w:r>
              <w:rPr>
                <w:rFonts w:hint="eastAsia"/>
                <w:color w:val="auto"/>
              </w:rPr>
              <w:t>经对照淮南市潘集区“三区三线”划分图，本项目不占用生态保护红线，项目距离最近生态红线（凤台凤凰湖省级湿地自然公园）为5.7km。</w:t>
            </w:r>
          </w:p>
          <w:p w14:paraId="26EBE087">
            <w:pPr>
              <w:pStyle w:val="51"/>
              <w:rPr>
                <w:color w:val="auto"/>
              </w:rPr>
            </w:pPr>
            <w:r>
              <w:rPr>
                <w:rFonts w:hint="eastAsia"/>
                <w:color w:val="auto"/>
              </w:rPr>
              <w:t>《安徽省实施&lt;中华人民共和国土地管理法&gt;办法》（2022年12月1日起施行）第三十六条：因建设需要埋设电线杆、电线塔、电缆、通信铁塔、管道等设施占用少量土地的，按照占用年限补偿青苗等损失，但最高不得超过征地补偿标准；占地较多的，应当依法征收土地。</w:t>
            </w:r>
          </w:p>
          <w:p w14:paraId="4211612D">
            <w:pPr>
              <w:pStyle w:val="51"/>
              <w:rPr>
                <w:color w:val="auto"/>
              </w:rPr>
            </w:pPr>
            <w:r>
              <w:rPr>
                <w:rFonts w:hint="eastAsia"/>
                <w:color w:val="auto"/>
              </w:rPr>
              <w:t>《安徽省人民政府办公厅关于加快全省电网建设有关问题的通知》（皖政办〔2006〕6号）四：输电线路走廊（包括杆、塔基）原则上不征地，只对输电线路塔基用地按征地补偿标准作一次性补偿。</w:t>
            </w:r>
          </w:p>
          <w:p w14:paraId="2FC9D5CA">
            <w:pPr>
              <w:pStyle w:val="51"/>
              <w:rPr>
                <w:color w:val="auto"/>
              </w:rPr>
            </w:pPr>
            <w:r>
              <w:rPr>
                <w:rFonts w:hint="eastAsia"/>
                <w:color w:val="auto"/>
              </w:rPr>
              <w:t>《安徽省实施&lt;中华人民共和国电力法&gt;办法》（2023年3月1日起施行）第十四条：架空电力线路走廊（包括杆、塔基础）、地下电缆通道等占地较少工程建设，可以不实行征地，电力建设单位对杆塔基础、地下电缆工井占用的土地应当依法给予补偿。</w:t>
            </w:r>
          </w:p>
          <w:p w14:paraId="6D1B6313">
            <w:pPr>
              <w:pStyle w:val="51"/>
              <w:rPr>
                <w:color w:val="auto"/>
              </w:rPr>
            </w:pPr>
            <w:r>
              <w:rPr>
                <w:rFonts w:hint="eastAsia"/>
                <w:color w:val="auto"/>
              </w:rPr>
              <w:t>根据以上办法、通知，本工程线路占地部分只涉及输电线路塔基用地，本工程位于城镇开发区边界外，不涉及生态保护红线，塔基涉及基本农田，输电线路塔基原则是只占地不征地。线路在具体塔位选择时，塔基尽量避开基本农田，采取跨越方式。如无法避让，线路建设阶段建设单位应按规定对塔基占地按征地补偿标准作一次性补偿。</w:t>
            </w:r>
          </w:p>
          <w:p w14:paraId="4EB4AEB0">
            <w:pPr>
              <w:pStyle w:val="51"/>
              <w:rPr>
                <w:color w:val="auto"/>
              </w:rPr>
            </w:pPr>
            <w:r>
              <w:rPr>
                <w:rFonts w:hint="eastAsia"/>
                <w:color w:val="auto"/>
              </w:rPr>
              <w:t>因此，与淮南市“三区三线”管理要求是相符的。</w:t>
            </w:r>
          </w:p>
          <w:p w14:paraId="049E673D">
            <w:pPr>
              <w:pStyle w:val="48"/>
              <w:rPr>
                <w:color w:val="auto"/>
              </w:rPr>
            </w:pPr>
            <w:r>
              <w:rPr>
                <w:rFonts w:hint="eastAsia"/>
                <w:color w:val="auto"/>
              </w:rPr>
              <w:t>（六）与《安徽省淮河流域水污染防治条例》相符性分析</w:t>
            </w:r>
          </w:p>
          <w:p w14:paraId="4BEB45B5">
            <w:pPr>
              <w:pStyle w:val="51"/>
              <w:rPr>
                <w:color w:val="auto"/>
              </w:rPr>
            </w:pPr>
            <w:r>
              <w:rPr>
                <w:rFonts w:hint="eastAsia"/>
                <w:color w:val="auto"/>
              </w:rPr>
              <w:t>根据《安徽省淮河流域水污染防治条例》：</w:t>
            </w:r>
          </w:p>
          <w:p w14:paraId="1BDE1396">
            <w:pPr>
              <w:pStyle w:val="51"/>
              <w:rPr>
                <w:color w:val="auto"/>
              </w:rPr>
            </w:pPr>
            <w:r>
              <w:rPr>
                <w:rFonts w:hint="eastAsia"/>
                <w:color w:val="auto"/>
              </w:rPr>
              <w:t>第十三条 禁止在淮河流域新建化学制浆造纸企业和印染、制革、化工、电镀、酿造等污染严重的小型企业。</w:t>
            </w:r>
          </w:p>
          <w:p w14:paraId="31A22B5F">
            <w:pPr>
              <w:pStyle w:val="51"/>
              <w:rPr>
                <w:color w:val="auto"/>
              </w:rPr>
            </w:pPr>
            <w:r>
              <w:rPr>
                <w:rFonts w:hint="eastAsia"/>
                <w:color w:val="auto"/>
              </w:rPr>
              <w:t>严格限制在淮河流域新建印染、制革、化工、电镀、酿造等大中型项目或者其他污染严重的项目；建设该类项目的，应当事前征得省人民政府生态环境行政主管部门的同意，并按照规定办理有关手续。</w:t>
            </w:r>
          </w:p>
          <w:p w14:paraId="3566B919">
            <w:pPr>
              <w:pStyle w:val="51"/>
              <w:rPr>
                <w:color w:val="auto"/>
              </w:rPr>
            </w:pPr>
            <w:r>
              <w:rPr>
                <w:rFonts w:hint="eastAsia"/>
                <w:color w:val="auto"/>
              </w:rPr>
              <w:t>第十四条 新建、改建、扩建直接或者间接向水体排放污染物的建设项目和其他水上设施，应当依法进行环境影响评价。建设项目的水污染防治设施，应当符合经批准或者备案的环境影响评价文件的要求，并与主体工程同时设计、同时施工、同时投入使用。新建、扩建、改建项目除执行前款规定外，还应当遵守下列规定：</w:t>
            </w:r>
          </w:p>
          <w:p w14:paraId="40D7C8E7">
            <w:pPr>
              <w:pStyle w:val="51"/>
              <w:rPr>
                <w:color w:val="auto"/>
              </w:rPr>
            </w:pPr>
            <w:r>
              <w:rPr>
                <w:rFonts w:hint="eastAsia"/>
                <w:color w:val="auto"/>
              </w:rPr>
              <w:t>(一)新建项目的选址应符合城市总体规划，避开饮用水水源地和对环境有特殊要求的功能区；</w:t>
            </w:r>
          </w:p>
          <w:p w14:paraId="31431113">
            <w:pPr>
              <w:pStyle w:val="51"/>
              <w:rPr>
                <w:color w:val="auto"/>
              </w:rPr>
            </w:pPr>
            <w:r>
              <w:rPr>
                <w:rFonts w:hint="eastAsia"/>
                <w:color w:val="auto"/>
              </w:rPr>
              <w:t>(二)采用资源利用率高、污染物排放量少的先进设备和先进工艺；</w:t>
            </w:r>
          </w:p>
          <w:p w14:paraId="74F2C07E">
            <w:pPr>
              <w:pStyle w:val="51"/>
              <w:rPr>
                <w:color w:val="auto"/>
              </w:rPr>
            </w:pPr>
            <w:r>
              <w:rPr>
                <w:rFonts w:hint="eastAsia"/>
                <w:color w:val="auto"/>
              </w:rPr>
              <w:t>(三)改建、扩建项目和技改项目应当把水污染治理纳入项目内容。工程配套建设的水污染防治设施竣工后，建设单位应当按照国务院生态环境行政主管部门规定的标准和程序进行验收。验收合格后，方可投入使用；未经验收或者验收不合格的，不得投入生产或者使用。</w:t>
            </w:r>
          </w:p>
          <w:p w14:paraId="1FCFA3A0">
            <w:pPr>
              <w:pStyle w:val="51"/>
              <w:rPr>
                <w:color w:val="auto"/>
              </w:rPr>
            </w:pPr>
            <w:r>
              <w:rPr>
                <w:rFonts w:hint="eastAsia"/>
                <w:color w:val="auto"/>
              </w:rPr>
              <w:t>第十九条禁止下列行为：</w:t>
            </w:r>
          </w:p>
          <w:p w14:paraId="7BC502B8">
            <w:pPr>
              <w:pStyle w:val="51"/>
              <w:rPr>
                <w:color w:val="auto"/>
              </w:rPr>
            </w:pPr>
            <w:r>
              <w:rPr>
                <w:rFonts w:hint="eastAsia"/>
                <w:color w:val="auto"/>
              </w:rPr>
              <w:t>(一)向水体排放或者倾倒油类、酸液、碱液和其他有毒有害液体；</w:t>
            </w:r>
          </w:p>
          <w:p w14:paraId="500645A1">
            <w:pPr>
              <w:pStyle w:val="51"/>
              <w:rPr>
                <w:color w:val="auto"/>
              </w:rPr>
            </w:pPr>
            <w:r>
              <w:rPr>
                <w:rFonts w:hint="eastAsia"/>
                <w:color w:val="auto"/>
              </w:rPr>
              <w:t>(二)在水体中清洗装贮过有毒有害污染物的车辆、船舶和容器；</w:t>
            </w:r>
          </w:p>
          <w:p w14:paraId="1BAA03D6">
            <w:pPr>
              <w:pStyle w:val="51"/>
              <w:rPr>
                <w:color w:val="auto"/>
              </w:rPr>
            </w:pPr>
            <w:r>
              <w:rPr>
                <w:rFonts w:hint="eastAsia"/>
                <w:color w:val="auto"/>
              </w:rPr>
              <w:t>(三)向水体排放、倾倒含有汞、镉、砷、铬、铅、化物、黄磷等可溶性剧毒废液或者将上述物质直接埋入地下；</w:t>
            </w:r>
          </w:p>
          <w:p w14:paraId="6461F41E">
            <w:pPr>
              <w:pStyle w:val="51"/>
              <w:rPr>
                <w:color w:val="auto"/>
              </w:rPr>
            </w:pPr>
            <w:r>
              <w:rPr>
                <w:rFonts w:hint="eastAsia"/>
                <w:color w:val="auto"/>
              </w:rPr>
              <w:t>(四)向水体排放、倾倒工业废渣、城镇垃圾和其他废弃物；</w:t>
            </w:r>
          </w:p>
          <w:p w14:paraId="1CDF18C3">
            <w:pPr>
              <w:pStyle w:val="51"/>
              <w:rPr>
                <w:color w:val="auto"/>
              </w:rPr>
            </w:pPr>
            <w:r>
              <w:rPr>
                <w:rFonts w:hint="eastAsia"/>
                <w:color w:val="auto"/>
              </w:rPr>
              <w:t>(五)向水体排放、倾倒放射性固体废弃物或者放射性废水；</w:t>
            </w:r>
          </w:p>
          <w:p w14:paraId="35C5BFF7">
            <w:pPr>
              <w:pStyle w:val="51"/>
              <w:rPr>
                <w:color w:val="auto"/>
              </w:rPr>
            </w:pPr>
            <w:r>
              <w:rPr>
                <w:rFonts w:hint="eastAsia"/>
                <w:color w:val="auto"/>
              </w:rPr>
              <w:t>(六)利用渗井、渗坑、裂隙、溶洞、塌陷区和废弃矿坑排放、倾倒或者利用无防渗措施的沟渠、坑塘输送或者存贮含毒污染物或者病原体的废水和其他废弃物；</w:t>
            </w:r>
          </w:p>
          <w:p w14:paraId="7E62395F">
            <w:pPr>
              <w:pStyle w:val="51"/>
              <w:rPr>
                <w:color w:val="auto"/>
              </w:rPr>
            </w:pPr>
            <w:r>
              <w:rPr>
                <w:rFonts w:hint="eastAsia"/>
                <w:color w:val="auto"/>
              </w:rPr>
              <w:t>(七)在河流、湖泊、运河、渠道、水库最高水位线以下的滩地和岸坡堆放、贮存固体废弃物和其他污染物；</w:t>
            </w:r>
          </w:p>
          <w:p w14:paraId="193FFF21">
            <w:pPr>
              <w:pStyle w:val="51"/>
              <w:rPr>
                <w:color w:val="auto"/>
              </w:rPr>
            </w:pPr>
            <w:r>
              <w:rPr>
                <w:rFonts w:hint="eastAsia"/>
                <w:color w:val="auto"/>
              </w:rPr>
              <w:t>(八)围湖和其他破坏水环境生态平衡的活动；</w:t>
            </w:r>
          </w:p>
          <w:p w14:paraId="472B5427">
            <w:pPr>
              <w:pStyle w:val="51"/>
              <w:rPr>
                <w:color w:val="auto"/>
              </w:rPr>
            </w:pPr>
            <w:r>
              <w:rPr>
                <w:rFonts w:hint="eastAsia"/>
                <w:color w:val="auto"/>
              </w:rPr>
              <w:t>(九)引进不符合国家环境保护规定要求的技术和设备；</w:t>
            </w:r>
          </w:p>
          <w:p w14:paraId="64483ABA">
            <w:pPr>
              <w:pStyle w:val="51"/>
              <w:rPr>
                <w:color w:val="auto"/>
              </w:rPr>
            </w:pPr>
            <w:r>
              <w:rPr>
                <w:rFonts w:hint="eastAsia"/>
                <w:color w:val="auto"/>
              </w:rPr>
              <w:t>(十)法律法规禁止的其他行为。</w:t>
            </w:r>
          </w:p>
          <w:p w14:paraId="2135966A">
            <w:pPr>
              <w:pStyle w:val="51"/>
              <w:rPr>
                <w:rFonts w:hint="eastAsia"/>
                <w:color w:val="auto"/>
              </w:rPr>
            </w:pPr>
            <w:r>
              <w:rPr>
                <w:rFonts w:hint="eastAsia"/>
                <w:color w:val="auto"/>
              </w:rPr>
              <w:t>本项目为升压站及输电线路工程，不属于该条例规定的禁止和限制类建设项目，项目运营期无生产废水排放，生活污水接入桂集镇污水处理站，不会对水体产生污染；施工期严格遵守施工规定，不从事该条例禁止的行为，项目与《安徽省淮河流域水污染防治条例》要求相符。</w:t>
            </w:r>
          </w:p>
        </w:tc>
      </w:tr>
    </w:tbl>
    <w:p w14:paraId="4465E3F6">
      <w:pPr>
        <w:spacing w:line="360" w:lineRule="auto"/>
        <w:outlineLvl w:val="0"/>
        <w:rPr>
          <w:rFonts w:eastAsia="黑体"/>
          <w:sz w:val="30"/>
        </w:rPr>
        <w:sectPr>
          <w:footerReference r:id="rId5" w:type="default"/>
          <w:pgSz w:w="11906" w:h="16838"/>
          <w:pgMar w:top="1418" w:right="1418" w:bottom="1418" w:left="1418" w:header="851" w:footer="1077" w:gutter="0"/>
          <w:pgNumType w:start="1"/>
          <w:cols w:space="720" w:num="1"/>
          <w:docGrid w:linePitch="312" w:charSpace="0"/>
        </w:sectPr>
      </w:pPr>
    </w:p>
    <w:p w14:paraId="13E7382D">
      <w:pPr>
        <w:pStyle w:val="2"/>
      </w:pPr>
      <w:r>
        <w:rPr>
          <w:rFonts w:hint="eastAsia"/>
        </w:rPr>
        <w:t>二、建设内容</w:t>
      </w:r>
    </w:p>
    <w:tbl>
      <w:tblPr>
        <w:tblStyle w:val="25"/>
        <w:tblW w:w="928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8185"/>
      </w:tblGrid>
      <w:tr w14:paraId="2E583F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97" w:hRule="atLeast"/>
          <w:jc w:val="center"/>
        </w:trPr>
        <w:tc>
          <w:tcPr>
            <w:tcW w:w="1101" w:type="dxa"/>
            <w:vAlign w:val="center"/>
          </w:tcPr>
          <w:p w14:paraId="2862C7BA">
            <w:pPr>
              <w:adjustRightInd w:val="0"/>
              <w:snapToGrid w:val="0"/>
              <w:jc w:val="center"/>
              <w:rPr>
                <w:rFonts w:hint="eastAsia" w:ascii="宋体" w:hAnsi="宋体" w:cs="宋体"/>
                <w:b/>
                <w:bCs/>
                <w:kern w:val="0"/>
                <w:szCs w:val="21"/>
              </w:rPr>
            </w:pPr>
            <w:r>
              <w:rPr>
                <w:rFonts w:hint="eastAsia" w:ascii="宋体" w:hAnsi="宋体" w:cs="宋体"/>
                <w:b/>
                <w:bCs/>
                <w:kern w:val="0"/>
                <w:szCs w:val="21"/>
              </w:rPr>
              <w:t>地理位置</w:t>
            </w:r>
          </w:p>
        </w:tc>
        <w:tc>
          <w:tcPr>
            <w:tcW w:w="8185" w:type="dxa"/>
            <w:vAlign w:val="center"/>
          </w:tcPr>
          <w:p w14:paraId="7094F8F1">
            <w:pPr>
              <w:pStyle w:val="48"/>
              <w:rPr>
                <w:color w:val="auto"/>
              </w:rPr>
            </w:pPr>
            <w:r>
              <w:rPr>
                <w:rFonts w:hint="eastAsia"/>
                <w:color w:val="auto"/>
              </w:rPr>
              <w:t>（一）地理位置</w:t>
            </w:r>
          </w:p>
          <w:p w14:paraId="1E1F359B">
            <w:pPr>
              <w:pStyle w:val="51"/>
              <w:jc w:val="left"/>
              <w:rPr>
                <w:color w:val="auto"/>
              </w:rPr>
            </w:pPr>
            <w:r>
              <w:rPr>
                <w:rFonts w:hint="eastAsia"/>
                <w:color w:val="auto"/>
              </w:rPr>
              <w:t>本项目升压站及送出线路工程均位于淮南市凤台县桂集镇境内。新建顾桥220kV升压站站址位于淮南市凤台县顾桥镇进矿路和杏花路交口东北角。</w:t>
            </w:r>
          </w:p>
        </w:tc>
      </w:tr>
      <w:tr w14:paraId="1A6DF7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19" w:hRule="atLeast"/>
          <w:jc w:val="center"/>
        </w:trPr>
        <w:tc>
          <w:tcPr>
            <w:tcW w:w="1101" w:type="dxa"/>
            <w:vAlign w:val="center"/>
          </w:tcPr>
          <w:p w14:paraId="0A7A4A80">
            <w:pPr>
              <w:adjustRightInd w:val="0"/>
              <w:snapToGrid w:val="0"/>
              <w:jc w:val="center"/>
              <w:rPr>
                <w:rFonts w:hint="eastAsia" w:ascii="宋体" w:hAnsi="宋体" w:cs="宋体"/>
                <w:b/>
                <w:bCs/>
                <w:kern w:val="0"/>
                <w:szCs w:val="21"/>
              </w:rPr>
            </w:pPr>
            <w:r>
              <w:rPr>
                <w:rFonts w:hint="eastAsia" w:ascii="宋体" w:hAnsi="宋体" w:cs="宋体"/>
                <w:b/>
                <w:bCs/>
                <w:kern w:val="0"/>
                <w:szCs w:val="21"/>
              </w:rPr>
              <w:t>项目组成及规模</w:t>
            </w:r>
          </w:p>
        </w:tc>
        <w:tc>
          <w:tcPr>
            <w:tcW w:w="8185" w:type="dxa"/>
            <w:vAlign w:val="center"/>
          </w:tcPr>
          <w:p w14:paraId="1088D9DC">
            <w:pPr>
              <w:pStyle w:val="48"/>
              <w:rPr>
                <w:color w:val="auto"/>
              </w:rPr>
            </w:pPr>
            <w:r>
              <w:rPr>
                <w:rFonts w:hint="eastAsia"/>
                <w:color w:val="auto"/>
              </w:rPr>
              <w:t>（二）主体工程</w:t>
            </w:r>
          </w:p>
          <w:p w14:paraId="6D1A79BA">
            <w:pPr>
              <w:pStyle w:val="49"/>
              <w:rPr>
                <w:color w:val="auto"/>
              </w:rPr>
            </w:pPr>
            <w:r>
              <w:rPr>
                <w:rFonts w:hint="eastAsia"/>
                <w:color w:val="auto"/>
              </w:rPr>
              <w:t>1</w:t>
            </w:r>
            <w:r>
              <w:rPr>
                <w:color w:val="auto"/>
              </w:rPr>
              <w:t>、工程建设内容</w:t>
            </w:r>
          </w:p>
          <w:p w14:paraId="2BBCC63D">
            <w:pPr>
              <w:pStyle w:val="70"/>
              <w:rPr>
                <w:color w:val="auto"/>
              </w:rPr>
            </w:pPr>
            <w:bookmarkStart w:id="3" w:name="_Hlk72310239"/>
            <w:r>
              <w:rPr>
                <w:color w:val="auto"/>
              </w:rPr>
              <w:t>（</w:t>
            </w:r>
            <w:r>
              <w:rPr>
                <w:rFonts w:hint="eastAsia"/>
                <w:color w:val="auto"/>
              </w:rPr>
              <w:t>1</w:t>
            </w:r>
            <w:r>
              <w:rPr>
                <w:color w:val="auto"/>
              </w:rPr>
              <w:t>）</w:t>
            </w:r>
            <w:r>
              <w:rPr>
                <w:rFonts w:hint="eastAsia"/>
                <w:color w:val="auto"/>
              </w:rPr>
              <w:t>升压站工程</w:t>
            </w:r>
          </w:p>
          <w:p w14:paraId="040DDAC5">
            <w:pPr>
              <w:pStyle w:val="51"/>
              <w:rPr>
                <w:color w:val="auto"/>
              </w:rPr>
            </w:pPr>
            <w:r>
              <w:rPr>
                <w:rFonts w:hint="eastAsia"/>
                <w:color w:val="auto"/>
              </w:rPr>
              <w:t>主变容量：本期新建2×335MVA，终期规模为3×335MVA变压器，主变采用三相分裂绕组有载调压变压器，电压等级：220/35-35kV。出线规模：220kV出线：本期出线3回（华润汇集站2回，尚塘风电1回），终期3回，本期、终期均采用双母线接线；35kV本期24回出线，终期40回出线，本终期均采用单母线扩大单元接线。</w:t>
            </w:r>
          </w:p>
          <w:p w14:paraId="228E6B6B">
            <w:pPr>
              <w:pStyle w:val="51"/>
              <w:rPr>
                <w:b/>
                <w:bCs/>
                <w:color w:val="auto"/>
              </w:rPr>
            </w:pPr>
            <w:r>
              <w:rPr>
                <w:rFonts w:hint="eastAsia"/>
                <w:color w:val="auto"/>
              </w:rPr>
              <w:t>无功补偿：本期安装4组20Mvar电容器组，终期为6组20Mvar电容器组。本期安装2组±33.3Mvar SVG动态无功补偿装置，终期为3组±33.3MvarSVG动态无功补偿装置。</w:t>
            </w:r>
          </w:p>
          <w:p w14:paraId="4CBBB605">
            <w:pPr>
              <w:pStyle w:val="70"/>
              <w:rPr>
                <w:color w:val="auto"/>
              </w:rPr>
            </w:pPr>
            <w:r>
              <w:rPr>
                <w:color w:val="auto"/>
              </w:rPr>
              <w:t>（</w:t>
            </w:r>
            <w:r>
              <w:rPr>
                <w:rFonts w:hint="eastAsia"/>
                <w:color w:val="auto"/>
              </w:rPr>
              <w:t>2</w:t>
            </w:r>
            <w:r>
              <w:rPr>
                <w:color w:val="auto"/>
              </w:rPr>
              <w:t>）</w:t>
            </w:r>
            <w:r>
              <w:rPr>
                <w:rFonts w:hint="eastAsia"/>
                <w:color w:val="auto"/>
              </w:rPr>
              <w:t>送出线路工程</w:t>
            </w:r>
          </w:p>
          <w:p w14:paraId="5842C8F6">
            <w:pPr>
              <w:pStyle w:val="51"/>
              <w:rPr>
                <w:color w:val="auto"/>
              </w:rPr>
            </w:pPr>
            <w:r>
              <w:rPr>
                <w:rFonts w:hint="eastAsia"/>
                <w:color w:val="auto"/>
              </w:rPr>
              <w:t>线路起于拟建顾桥220kV升压站220kV构架，止于500kV华润汇集变220kVGIS终端。线路采用角钢塔、钢管杆和电缆混合架/敷设，路径总长度约5.01km，其中双回架空线路长约4.6km，电缆路径长约0.41km。本工程导线截面2×630mm²，杆塔型式选择国网标准化通用设计220-HB21S、220-HB21GS模块。</w:t>
            </w:r>
          </w:p>
          <w:bookmarkEnd w:id="3"/>
          <w:p w14:paraId="15247BD5">
            <w:pPr>
              <w:pStyle w:val="53"/>
              <w:rPr>
                <w:color w:val="auto"/>
              </w:rPr>
            </w:pPr>
            <w:r>
              <w:rPr>
                <w:color w:val="auto"/>
              </w:rPr>
              <w:t>表2-1</w:t>
            </w:r>
            <w:r>
              <w:rPr>
                <w:rFonts w:hint="eastAsia"/>
                <w:color w:val="auto"/>
              </w:rPr>
              <w:t xml:space="preserve">  220</w:t>
            </w:r>
            <w:r>
              <w:rPr>
                <w:color w:val="auto"/>
              </w:rPr>
              <w:t>kV线路技术参数表</w:t>
            </w:r>
          </w:p>
          <w:tbl>
            <w:tblPr>
              <w:tblStyle w:val="25"/>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6"/>
              <w:gridCol w:w="1361"/>
              <w:gridCol w:w="5290"/>
            </w:tblGrid>
            <w:tr w14:paraId="0AD32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jc w:val="center"/>
              </w:trPr>
              <w:tc>
                <w:tcPr>
                  <w:tcW w:w="1676" w:type="pct"/>
                  <w:gridSpan w:val="2"/>
                  <w:tcBorders>
                    <w:tl2br w:val="nil"/>
                    <w:tr2bl w:val="nil"/>
                  </w:tcBorders>
                  <w:vAlign w:val="center"/>
                </w:tcPr>
                <w:p w14:paraId="33AF5486">
                  <w:pPr>
                    <w:pStyle w:val="55"/>
                    <w:rPr>
                      <w:color w:val="auto"/>
                    </w:rPr>
                  </w:pPr>
                  <w:r>
                    <w:rPr>
                      <w:rFonts w:hint="eastAsia"/>
                      <w:color w:val="auto"/>
                    </w:rPr>
                    <w:t>名称</w:t>
                  </w:r>
                </w:p>
              </w:tc>
              <w:tc>
                <w:tcPr>
                  <w:tcW w:w="3323" w:type="pct"/>
                  <w:tcBorders>
                    <w:tl2br w:val="nil"/>
                    <w:tr2bl w:val="nil"/>
                  </w:tcBorders>
                  <w:vAlign w:val="center"/>
                </w:tcPr>
                <w:p w14:paraId="684A70B8">
                  <w:pPr>
                    <w:pStyle w:val="55"/>
                    <w:rPr>
                      <w:color w:val="auto"/>
                    </w:rPr>
                  </w:pPr>
                  <w:r>
                    <w:rPr>
                      <w:rFonts w:hint="eastAsia"/>
                      <w:color w:val="auto"/>
                    </w:rPr>
                    <w:t>具体内容</w:t>
                  </w:r>
                </w:p>
              </w:tc>
            </w:tr>
            <w:tr w14:paraId="253B1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1676" w:type="pct"/>
                  <w:gridSpan w:val="2"/>
                  <w:tcBorders>
                    <w:tl2br w:val="nil"/>
                    <w:tr2bl w:val="nil"/>
                  </w:tcBorders>
                  <w:vAlign w:val="center"/>
                </w:tcPr>
                <w:p w14:paraId="6275BAEC">
                  <w:pPr>
                    <w:pStyle w:val="55"/>
                    <w:rPr>
                      <w:color w:val="auto"/>
                    </w:rPr>
                  </w:pPr>
                  <w:r>
                    <w:rPr>
                      <w:color w:val="auto"/>
                    </w:rPr>
                    <w:t>线路长度（km）</w:t>
                  </w:r>
                </w:p>
              </w:tc>
              <w:tc>
                <w:tcPr>
                  <w:tcW w:w="3323" w:type="pct"/>
                  <w:tcBorders>
                    <w:tl2br w:val="nil"/>
                    <w:tr2bl w:val="nil"/>
                  </w:tcBorders>
                  <w:vAlign w:val="center"/>
                </w:tcPr>
                <w:p w14:paraId="5990DB55">
                  <w:pPr>
                    <w:pStyle w:val="55"/>
                    <w:rPr>
                      <w:color w:val="auto"/>
                    </w:rPr>
                  </w:pPr>
                  <w:r>
                    <w:rPr>
                      <w:color w:val="auto"/>
                    </w:rPr>
                    <w:t>双回路</w:t>
                  </w:r>
                  <w:r>
                    <w:rPr>
                      <w:rFonts w:hint="eastAsia"/>
                      <w:color w:val="auto"/>
                    </w:rPr>
                    <w:t>5.01（架空4.60+电缆0.41）</w:t>
                  </w:r>
                </w:p>
              </w:tc>
            </w:tr>
            <w:tr w14:paraId="676A6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1676" w:type="pct"/>
                  <w:gridSpan w:val="2"/>
                  <w:tcBorders>
                    <w:tl2br w:val="nil"/>
                    <w:tr2bl w:val="nil"/>
                  </w:tcBorders>
                  <w:vAlign w:val="center"/>
                </w:tcPr>
                <w:p w14:paraId="68316060">
                  <w:pPr>
                    <w:pStyle w:val="55"/>
                    <w:rPr>
                      <w:color w:val="auto"/>
                    </w:rPr>
                  </w:pPr>
                  <w:r>
                    <w:rPr>
                      <w:color w:val="auto"/>
                    </w:rPr>
                    <w:t>航空距离（km）</w:t>
                  </w:r>
                </w:p>
              </w:tc>
              <w:tc>
                <w:tcPr>
                  <w:tcW w:w="3323" w:type="pct"/>
                  <w:tcBorders>
                    <w:tl2br w:val="nil"/>
                    <w:tr2bl w:val="nil"/>
                  </w:tcBorders>
                  <w:vAlign w:val="center"/>
                </w:tcPr>
                <w:p w14:paraId="494B4387">
                  <w:pPr>
                    <w:pStyle w:val="55"/>
                    <w:rPr>
                      <w:color w:val="auto"/>
                    </w:rPr>
                  </w:pPr>
                  <w:r>
                    <w:rPr>
                      <w:rFonts w:hint="eastAsia"/>
                      <w:color w:val="auto"/>
                    </w:rPr>
                    <w:t>4.2</w:t>
                  </w:r>
                </w:p>
              </w:tc>
            </w:tr>
            <w:tr w14:paraId="33082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1676" w:type="pct"/>
                  <w:gridSpan w:val="2"/>
                  <w:tcBorders>
                    <w:tl2br w:val="nil"/>
                    <w:tr2bl w:val="nil"/>
                  </w:tcBorders>
                  <w:vAlign w:val="center"/>
                </w:tcPr>
                <w:p w14:paraId="780476EB">
                  <w:pPr>
                    <w:pStyle w:val="55"/>
                    <w:rPr>
                      <w:color w:val="auto"/>
                    </w:rPr>
                  </w:pPr>
                  <w:r>
                    <w:rPr>
                      <w:color w:val="auto"/>
                    </w:rPr>
                    <w:t>曲折系数</w:t>
                  </w:r>
                </w:p>
              </w:tc>
              <w:tc>
                <w:tcPr>
                  <w:tcW w:w="3323" w:type="pct"/>
                  <w:tcBorders>
                    <w:tl2br w:val="nil"/>
                    <w:tr2bl w:val="nil"/>
                  </w:tcBorders>
                  <w:vAlign w:val="center"/>
                </w:tcPr>
                <w:p w14:paraId="5E530C35">
                  <w:pPr>
                    <w:pStyle w:val="55"/>
                    <w:rPr>
                      <w:color w:val="auto"/>
                    </w:rPr>
                  </w:pPr>
                  <w:r>
                    <w:rPr>
                      <w:rFonts w:hint="eastAsia"/>
                      <w:color w:val="auto"/>
                    </w:rPr>
                    <w:t>1.19</w:t>
                  </w:r>
                </w:p>
              </w:tc>
            </w:tr>
            <w:tr w14:paraId="645BE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1676" w:type="pct"/>
                  <w:gridSpan w:val="2"/>
                  <w:tcBorders>
                    <w:tl2br w:val="nil"/>
                    <w:tr2bl w:val="nil"/>
                  </w:tcBorders>
                  <w:vAlign w:val="center"/>
                </w:tcPr>
                <w:p w14:paraId="5B4F0FB3">
                  <w:pPr>
                    <w:pStyle w:val="55"/>
                    <w:rPr>
                      <w:color w:val="auto"/>
                    </w:rPr>
                  </w:pPr>
                  <w:r>
                    <w:rPr>
                      <w:color w:val="auto"/>
                    </w:rPr>
                    <w:t>杆塔数量</w:t>
                  </w:r>
                </w:p>
              </w:tc>
              <w:tc>
                <w:tcPr>
                  <w:tcW w:w="3323" w:type="pct"/>
                  <w:tcBorders>
                    <w:tl2br w:val="nil"/>
                    <w:tr2bl w:val="nil"/>
                  </w:tcBorders>
                  <w:vAlign w:val="center"/>
                </w:tcPr>
                <w:p w14:paraId="031A29E9">
                  <w:pPr>
                    <w:pStyle w:val="55"/>
                    <w:rPr>
                      <w:color w:val="auto"/>
                    </w:rPr>
                  </w:pPr>
                  <w:r>
                    <w:rPr>
                      <w:rFonts w:hint="eastAsia"/>
                      <w:color w:val="auto"/>
                    </w:rPr>
                    <w:t>18</w:t>
                  </w:r>
                  <w:r>
                    <w:rPr>
                      <w:color w:val="auto"/>
                    </w:rPr>
                    <w:t>基</w:t>
                  </w:r>
                </w:p>
                <w:p w14:paraId="1DC687FE">
                  <w:pPr>
                    <w:pStyle w:val="55"/>
                    <w:rPr>
                      <w:color w:val="auto"/>
                    </w:rPr>
                  </w:pPr>
                  <w:r>
                    <w:rPr>
                      <w:color w:val="auto"/>
                    </w:rPr>
                    <w:t>（耐张塔</w:t>
                  </w:r>
                  <w:r>
                    <w:rPr>
                      <w:rFonts w:hint="eastAsia"/>
                      <w:color w:val="auto"/>
                    </w:rPr>
                    <w:t>12</w:t>
                  </w:r>
                  <w:r>
                    <w:rPr>
                      <w:color w:val="auto"/>
                    </w:rPr>
                    <w:t>基、直线塔</w:t>
                  </w:r>
                  <w:r>
                    <w:rPr>
                      <w:rFonts w:hint="eastAsia"/>
                      <w:color w:val="auto"/>
                    </w:rPr>
                    <w:t>5</w:t>
                  </w:r>
                  <w:r>
                    <w:rPr>
                      <w:color w:val="auto"/>
                    </w:rPr>
                    <w:t>基</w:t>
                  </w:r>
                  <w:r>
                    <w:rPr>
                      <w:rFonts w:hint="eastAsia"/>
                      <w:color w:val="auto"/>
                    </w:rPr>
                    <w:t>、钢管杆电缆终端杆1基</w:t>
                  </w:r>
                  <w:r>
                    <w:rPr>
                      <w:color w:val="auto"/>
                    </w:rPr>
                    <w:t>）</w:t>
                  </w:r>
                </w:p>
              </w:tc>
            </w:tr>
            <w:tr w14:paraId="16CE7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1676" w:type="pct"/>
                  <w:gridSpan w:val="2"/>
                  <w:tcBorders>
                    <w:tl2br w:val="nil"/>
                    <w:tr2bl w:val="nil"/>
                  </w:tcBorders>
                  <w:vAlign w:val="center"/>
                </w:tcPr>
                <w:p w14:paraId="34815D1C">
                  <w:pPr>
                    <w:pStyle w:val="55"/>
                    <w:rPr>
                      <w:color w:val="auto"/>
                    </w:rPr>
                  </w:pPr>
                  <w:r>
                    <w:rPr>
                      <w:color w:val="auto"/>
                    </w:rPr>
                    <w:t>转角比例</w:t>
                  </w:r>
                </w:p>
              </w:tc>
              <w:tc>
                <w:tcPr>
                  <w:tcW w:w="3323" w:type="pct"/>
                  <w:tcBorders>
                    <w:tl2br w:val="nil"/>
                    <w:tr2bl w:val="nil"/>
                  </w:tcBorders>
                  <w:vAlign w:val="center"/>
                </w:tcPr>
                <w:p w14:paraId="61DDD8AE">
                  <w:pPr>
                    <w:pStyle w:val="55"/>
                    <w:rPr>
                      <w:color w:val="auto"/>
                    </w:rPr>
                  </w:pPr>
                  <w:r>
                    <w:rPr>
                      <w:rFonts w:hint="eastAsia"/>
                      <w:color w:val="auto"/>
                    </w:rPr>
                    <w:t>66.67</w:t>
                  </w:r>
                  <w:r>
                    <w:rPr>
                      <w:color w:val="auto"/>
                    </w:rPr>
                    <w:t>%</w:t>
                  </w:r>
                </w:p>
              </w:tc>
            </w:tr>
            <w:tr w14:paraId="75CCA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1676" w:type="pct"/>
                  <w:gridSpan w:val="2"/>
                  <w:tcBorders>
                    <w:tl2br w:val="nil"/>
                    <w:tr2bl w:val="nil"/>
                  </w:tcBorders>
                  <w:vAlign w:val="center"/>
                </w:tcPr>
                <w:p w14:paraId="0AFB47E0">
                  <w:pPr>
                    <w:pStyle w:val="55"/>
                    <w:rPr>
                      <w:color w:val="auto"/>
                    </w:rPr>
                  </w:pPr>
                  <w:r>
                    <w:rPr>
                      <w:color w:val="auto"/>
                    </w:rPr>
                    <w:t>平均档距</w:t>
                  </w:r>
                  <w:r>
                    <w:rPr>
                      <w:rFonts w:hint="eastAsia"/>
                      <w:color w:val="auto"/>
                    </w:rPr>
                    <w:t>（</w:t>
                  </w:r>
                  <w:r>
                    <w:rPr>
                      <w:color w:val="auto"/>
                    </w:rPr>
                    <w:t>m</w:t>
                  </w:r>
                  <w:r>
                    <w:rPr>
                      <w:rFonts w:hint="eastAsia"/>
                      <w:color w:val="auto"/>
                    </w:rPr>
                    <w:t>）</w:t>
                  </w:r>
                </w:p>
              </w:tc>
              <w:tc>
                <w:tcPr>
                  <w:tcW w:w="3323" w:type="pct"/>
                  <w:tcBorders>
                    <w:tl2br w:val="nil"/>
                    <w:tr2bl w:val="nil"/>
                  </w:tcBorders>
                  <w:vAlign w:val="center"/>
                </w:tcPr>
                <w:p w14:paraId="65011698">
                  <w:pPr>
                    <w:pStyle w:val="55"/>
                    <w:rPr>
                      <w:color w:val="auto"/>
                    </w:rPr>
                  </w:pPr>
                  <w:r>
                    <w:rPr>
                      <w:rFonts w:hint="eastAsia"/>
                      <w:color w:val="auto"/>
                    </w:rPr>
                    <w:t>288</w:t>
                  </w:r>
                  <w:r>
                    <w:rPr>
                      <w:color w:val="auto"/>
                    </w:rPr>
                    <w:t>m</w:t>
                  </w:r>
                </w:p>
              </w:tc>
            </w:tr>
            <w:tr w14:paraId="30618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1676" w:type="pct"/>
                  <w:gridSpan w:val="2"/>
                  <w:tcBorders>
                    <w:tl2br w:val="nil"/>
                    <w:tr2bl w:val="nil"/>
                  </w:tcBorders>
                  <w:vAlign w:val="center"/>
                </w:tcPr>
                <w:p w14:paraId="46C52B33">
                  <w:pPr>
                    <w:pStyle w:val="55"/>
                    <w:rPr>
                      <w:color w:val="auto"/>
                    </w:rPr>
                  </w:pPr>
                  <w:r>
                    <w:rPr>
                      <w:color w:val="auto"/>
                    </w:rPr>
                    <w:t>气象条件</w:t>
                  </w:r>
                </w:p>
              </w:tc>
              <w:tc>
                <w:tcPr>
                  <w:tcW w:w="3323" w:type="pct"/>
                  <w:tcBorders>
                    <w:tl2br w:val="nil"/>
                    <w:tr2bl w:val="nil"/>
                  </w:tcBorders>
                  <w:vAlign w:val="center"/>
                </w:tcPr>
                <w:p w14:paraId="15170D2F">
                  <w:pPr>
                    <w:pStyle w:val="55"/>
                    <w:rPr>
                      <w:color w:val="auto"/>
                    </w:rPr>
                  </w:pPr>
                  <w:r>
                    <w:rPr>
                      <w:color w:val="auto"/>
                    </w:rPr>
                    <w:t>设计风速：25m/s；覆冰：10mm</w:t>
                  </w:r>
                </w:p>
              </w:tc>
            </w:tr>
            <w:tr w14:paraId="380E6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1676" w:type="pct"/>
                  <w:gridSpan w:val="2"/>
                  <w:tcBorders>
                    <w:tl2br w:val="nil"/>
                    <w:tr2bl w:val="nil"/>
                  </w:tcBorders>
                  <w:vAlign w:val="center"/>
                </w:tcPr>
                <w:p w14:paraId="2961A94C">
                  <w:pPr>
                    <w:pStyle w:val="55"/>
                    <w:rPr>
                      <w:color w:val="auto"/>
                    </w:rPr>
                  </w:pPr>
                  <w:r>
                    <w:rPr>
                      <w:color w:val="auto"/>
                    </w:rPr>
                    <w:t>海拔高程</w:t>
                  </w:r>
                </w:p>
              </w:tc>
              <w:tc>
                <w:tcPr>
                  <w:tcW w:w="3323" w:type="pct"/>
                  <w:tcBorders>
                    <w:tl2br w:val="nil"/>
                    <w:tr2bl w:val="nil"/>
                  </w:tcBorders>
                  <w:vAlign w:val="center"/>
                </w:tcPr>
                <w:p w14:paraId="22A892A4">
                  <w:pPr>
                    <w:pStyle w:val="55"/>
                    <w:rPr>
                      <w:color w:val="auto"/>
                    </w:rPr>
                  </w:pPr>
                  <w:r>
                    <w:rPr>
                      <w:color w:val="auto"/>
                    </w:rPr>
                    <w:t>0~100m</w:t>
                  </w:r>
                </w:p>
              </w:tc>
            </w:tr>
            <w:tr w14:paraId="1EABB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1676" w:type="pct"/>
                  <w:gridSpan w:val="2"/>
                  <w:tcBorders>
                    <w:tl2br w:val="nil"/>
                    <w:tr2bl w:val="nil"/>
                  </w:tcBorders>
                  <w:vAlign w:val="center"/>
                </w:tcPr>
                <w:p w14:paraId="1AEEB93D">
                  <w:pPr>
                    <w:pStyle w:val="55"/>
                    <w:rPr>
                      <w:color w:val="auto"/>
                    </w:rPr>
                  </w:pPr>
                  <w:r>
                    <w:rPr>
                      <w:color w:val="auto"/>
                    </w:rPr>
                    <w:t>房屋拆迁（m</w:t>
                  </w:r>
                  <w:r>
                    <w:rPr>
                      <w:color w:val="auto"/>
                      <w:vertAlign w:val="superscript"/>
                    </w:rPr>
                    <w:t>2</w:t>
                  </w:r>
                  <w:r>
                    <w:rPr>
                      <w:color w:val="auto"/>
                    </w:rPr>
                    <w:t>）</w:t>
                  </w:r>
                </w:p>
              </w:tc>
              <w:tc>
                <w:tcPr>
                  <w:tcW w:w="3323" w:type="pct"/>
                  <w:tcBorders>
                    <w:tl2br w:val="nil"/>
                    <w:tr2bl w:val="nil"/>
                  </w:tcBorders>
                  <w:vAlign w:val="center"/>
                </w:tcPr>
                <w:p w14:paraId="53452510">
                  <w:pPr>
                    <w:pStyle w:val="55"/>
                    <w:rPr>
                      <w:color w:val="auto"/>
                    </w:rPr>
                  </w:pPr>
                  <w:r>
                    <w:rPr>
                      <w:rFonts w:hint="eastAsia"/>
                      <w:color w:val="auto"/>
                    </w:rPr>
                    <w:t>/</w:t>
                  </w:r>
                </w:p>
              </w:tc>
            </w:tr>
            <w:tr w14:paraId="55938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821" w:type="pct"/>
                  <w:vMerge w:val="restart"/>
                  <w:tcBorders>
                    <w:tl2br w:val="nil"/>
                    <w:tr2bl w:val="nil"/>
                  </w:tcBorders>
                  <w:vAlign w:val="center"/>
                </w:tcPr>
                <w:p w14:paraId="3BA7A836">
                  <w:pPr>
                    <w:pStyle w:val="55"/>
                    <w:rPr>
                      <w:color w:val="auto"/>
                    </w:rPr>
                  </w:pPr>
                  <w:r>
                    <w:rPr>
                      <w:color w:val="auto"/>
                    </w:rPr>
                    <w:t>交叉跨越</w:t>
                  </w:r>
                </w:p>
              </w:tc>
              <w:tc>
                <w:tcPr>
                  <w:tcW w:w="854" w:type="pct"/>
                  <w:tcBorders>
                    <w:tl2br w:val="nil"/>
                    <w:tr2bl w:val="nil"/>
                  </w:tcBorders>
                  <w:vAlign w:val="center"/>
                </w:tcPr>
                <w:p w14:paraId="29ECF4E3">
                  <w:pPr>
                    <w:pStyle w:val="55"/>
                    <w:rPr>
                      <w:color w:val="auto"/>
                    </w:rPr>
                  </w:pPr>
                  <w:r>
                    <w:rPr>
                      <w:color w:val="auto"/>
                    </w:rPr>
                    <w:t>高速公路</w:t>
                  </w:r>
                </w:p>
              </w:tc>
              <w:tc>
                <w:tcPr>
                  <w:tcW w:w="3323" w:type="pct"/>
                  <w:tcBorders>
                    <w:tl2br w:val="nil"/>
                    <w:tr2bl w:val="nil"/>
                  </w:tcBorders>
                  <w:vAlign w:val="center"/>
                </w:tcPr>
                <w:p w14:paraId="027B7712">
                  <w:pPr>
                    <w:pStyle w:val="55"/>
                    <w:rPr>
                      <w:color w:val="auto"/>
                    </w:rPr>
                  </w:pPr>
                  <w:r>
                    <w:rPr>
                      <w:rFonts w:hint="eastAsia"/>
                      <w:color w:val="auto"/>
                    </w:rPr>
                    <w:t>1</w:t>
                  </w:r>
                  <w:r>
                    <w:rPr>
                      <w:color w:val="auto"/>
                    </w:rPr>
                    <w:t>次</w:t>
                  </w:r>
                </w:p>
              </w:tc>
            </w:tr>
            <w:tr w14:paraId="0EEEA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821" w:type="pct"/>
                  <w:vMerge w:val="continue"/>
                  <w:tcBorders>
                    <w:tl2br w:val="nil"/>
                    <w:tr2bl w:val="nil"/>
                  </w:tcBorders>
                  <w:vAlign w:val="center"/>
                </w:tcPr>
                <w:p w14:paraId="18F16686">
                  <w:pPr>
                    <w:pStyle w:val="55"/>
                    <w:rPr>
                      <w:color w:val="auto"/>
                    </w:rPr>
                  </w:pPr>
                </w:p>
              </w:tc>
              <w:tc>
                <w:tcPr>
                  <w:tcW w:w="854" w:type="pct"/>
                  <w:tcBorders>
                    <w:tl2br w:val="nil"/>
                    <w:tr2bl w:val="nil"/>
                  </w:tcBorders>
                  <w:vAlign w:val="center"/>
                </w:tcPr>
                <w:p w14:paraId="7FF6CFB5">
                  <w:pPr>
                    <w:pStyle w:val="55"/>
                    <w:rPr>
                      <w:color w:val="auto"/>
                    </w:rPr>
                  </w:pPr>
                  <w:r>
                    <w:rPr>
                      <w:color w:val="auto"/>
                    </w:rPr>
                    <w:t>县道</w:t>
                  </w:r>
                  <w:r>
                    <w:rPr>
                      <w:rFonts w:hint="eastAsia"/>
                      <w:color w:val="auto"/>
                    </w:rPr>
                    <w:t>、乡道</w:t>
                  </w:r>
                </w:p>
              </w:tc>
              <w:tc>
                <w:tcPr>
                  <w:tcW w:w="3323" w:type="pct"/>
                  <w:tcBorders>
                    <w:tl2br w:val="nil"/>
                    <w:tr2bl w:val="nil"/>
                  </w:tcBorders>
                  <w:vAlign w:val="center"/>
                </w:tcPr>
                <w:p w14:paraId="3A8B5953">
                  <w:pPr>
                    <w:pStyle w:val="55"/>
                    <w:rPr>
                      <w:color w:val="auto"/>
                    </w:rPr>
                  </w:pPr>
                  <w:r>
                    <w:rPr>
                      <w:rFonts w:hint="eastAsia"/>
                      <w:color w:val="auto"/>
                    </w:rPr>
                    <w:t>5</w:t>
                  </w:r>
                  <w:r>
                    <w:rPr>
                      <w:color w:val="auto"/>
                    </w:rPr>
                    <w:t>次</w:t>
                  </w:r>
                </w:p>
              </w:tc>
            </w:tr>
            <w:tr w14:paraId="02C0C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821" w:type="pct"/>
                  <w:vMerge w:val="continue"/>
                  <w:tcBorders>
                    <w:tl2br w:val="nil"/>
                    <w:tr2bl w:val="nil"/>
                  </w:tcBorders>
                  <w:vAlign w:val="center"/>
                </w:tcPr>
                <w:p w14:paraId="74A3B8F1">
                  <w:pPr>
                    <w:pStyle w:val="55"/>
                    <w:rPr>
                      <w:color w:val="auto"/>
                    </w:rPr>
                  </w:pPr>
                </w:p>
              </w:tc>
              <w:tc>
                <w:tcPr>
                  <w:tcW w:w="854" w:type="pct"/>
                  <w:tcBorders>
                    <w:tl2br w:val="nil"/>
                    <w:tr2bl w:val="nil"/>
                  </w:tcBorders>
                  <w:vAlign w:val="center"/>
                </w:tcPr>
                <w:p w14:paraId="47FAE39F">
                  <w:pPr>
                    <w:pStyle w:val="55"/>
                    <w:rPr>
                      <w:color w:val="auto"/>
                    </w:rPr>
                  </w:pPr>
                  <w:r>
                    <w:rPr>
                      <w:rFonts w:hint="eastAsia"/>
                      <w:color w:val="auto"/>
                    </w:rPr>
                    <w:t>石子公路或土公路</w:t>
                  </w:r>
                </w:p>
              </w:tc>
              <w:tc>
                <w:tcPr>
                  <w:tcW w:w="3323" w:type="pct"/>
                  <w:tcBorders>
                    <w:tl2br w:val="nil"/>
                    <w:tr2bl w:val="nil"/>
                  </w:tcBorders>
                  <w:vAlign w:val="center"/>
                </w:tcPr>
                <w:p w14:paraId="7EFB1E27">
                  <w:pPr>
                    <w:pStyle w:val="55"/>
                    <w:rPr>
                      <w:color w:val="auto"/>
                    </w:rPr>
                  </w:pPr>
                  <w:r>
                    <w:rPr>
                      <w:rFonts w:hint="eastAsia"/>
                      <w:color w:val="auto"/>
                    </w:rPr>
                    <w:t>20次</w:t>
                  </w:r>
                </w:p>
              </w:tc>
            </w:tr>
            <w:tr w14:paraId="0681E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821" w:type="pct"/>
                  <w:vMerge w:val="continue"/>
                  <w:tcBorders>
                    <w:tl2br w:val="nil"/>
                    <w:tr2bl w:val="nil"/>
                  </w:tcBorders>
                  <w:vAlign w:val="center"/>
                </w:tcPr>
                <w:p w14:paraId="38486931">
                  <w:pPr>
                    <w:pStyle w:val="55"/>
                    <w:rPr>
                      <w:color w:val="auto"/>
                    </w:rPr>
                  </w:pPr>
                </w:p>
              </w:tc>
              <w:tc>
                <w:tcPr>
                  <w:tcW w:w="854" w:type="pct"/>
                  <w:tcBorders>
                    <w:tl2br w:val="nil"/>
                    <w:tr2bl w:val="nil"/>
                  </w:tcBorders>
                  <w:vAlign w:val="center"/>
                </w:tcPr>
                <w:p w14:paraId="4CF8512C">
                  <w:pPr>
                    <w:pStyle w:val="55"/>
                    <w:rPr>
                      <w:color w:val="auto"/>
                    </w:rPr>
                  </w:pPr>
                  <w:r>
                    <w:rPr>
                      <w:rFonts w:hint="eastAsia"/>
                      <w:color w:val="auto"/>
                    </w:rPr>
                    <w:t>池塘、水沟</w:t>
                  </w:r>
                </w:p>
              </w:tc>
              <w:tc>
                <w:tcPr>
                  <w:tcW w:w="3323" w:type="pct"/>
                  <w:tcBorders>
                    <w:tl2br w:val="nil"/>
                    <w:tr2bl w:val="nil"/>
                  </w:tcBorders>
                  <w:vAlign w:val="center"/>
                </w:tcPr>
                <w:p w14:paraId="6D4EE3B1">
                  <w:pPr>
                    <w:pStyle w:val="55"/>
                    <w:rPr>
                      <w:color w:val="auto"/>
                    </w:rPr>
                  </w:pPr>
                  <w:r>
                    <w:rPr>
                      <w:rFonts w:hint="eastAsia"/>
                      <w:color w:val="auto"/>
                    </w:rPr>
                    <w:t>6次</w:t>
                  </w:r>
                </w:p>
              </w:tc>
            </w:tr>
            <w:tr w14:paraId="66B07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821" w:type="pct"/>
                  <w:vMerge w:val="continue"/>
                  <w:tcBorders>
                    <w:tl2br w:val="nil"/>
                    <w:tr2bl w:val="nil"/>
                  </w:tcBorders>
                  <w:vAlign w:val="center"/>
                </w:tcPr>
                <w:p w14:paraId="41912A83">
                  <w:pPr>
                    <w:pStyle w:val="55"/>
                    <w:rPr>
                      <w:color w:val="auto"/>
                    </w:rPr>
                  </w:pPr>
                </w:p>
              </w:tc>
              <w:tc>
                <w:tcPr>
                  <w:tcW w:w="854" w:type="pct"/>
                  <w:tcBorders>
                    <w:tl2br w:val="nil"/>
                    <w:tr2bl w:val="nil"/>
                  </w:tcBorders>
                  <w:vAlign w:val="center"/>
                </w:tcPr>
                <w:p w14:paraId="7918AAC5">
                  <w:pPr>
                    <w:pStyle w:val="55"/>
                    <w:rPr>
                      <w:color w:val="auto"/>
                    </w:rPr>
                  </w:pPr>
                  <w:r>
                    <w:rPr>
                      <w:rFonts w:hint="eastAsia"/>
                      <w:color w:val="auto"/>
                    </w:rPr>
                    <w:t>养殖场</w:t>
                  </w:r>
                </w:p>
              </w:tc>
              <w:tc>
                <w:tcPr>
                  <w:tcW w:w="3323" w:type="pct"/>
                  <w:tcBorders>
                    <w:tl2br w:val="nil"/>
                    <w:tr2bl w:val="nil"/>
                  </w:tcBorders>
                  <w:vAlign w:val="center"/>
                </w:tcPr>
                <w:p w14:paraId="425C36D6">
                  <w:pPr>
                    <w:pStyle w:val="55"/>
                    <w:rPr>
                      <w:color w:val="auto"/>
                    </w:rPr>
                  </w:pPr>
                  <w:r>
                    <w:rPr>
                      <w:rFonts w:hint="eastAsia"/>
                      <w:color w:val="auto"/>
                    </w:rPr>
                    <w:t>1次</w:t>
                  </w:r>
                </w:p>
              </w:tc>
            </w:tr>
            <w:tr w14:paraId="7ABED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821" w:type="pct"/>
                  <w:vMerge w:val="continue"/>
                  <w:tcBorders>
                    <w:tl2br w:val="nil"/>
                    <w:tr2bl w:val="nil"/>
                  </w:tcBorders>
                  <w:vAlign w:val="center"/>
                </w:tcPr>
                <w:p w14:paraId="1C19BC22">
                  <w:pPr>
                    <w:pStyle w:val="55"/>
                    <w:rPr>
                      <w:color w:val="auto"/>
                    </w:rPr>
                  </w:pPr>
                </w:p>
              </w:tc>
              <w:tc>
                <w:tcPr>
                  <w:tcW w:w="854" w:type="pct"/>
                  <w:tcBorders>
                    <w:tl2br w:val="nil"/>
                    <w:tr2bl w:val="nil"/>
                  </w:tcBorders>
                  <w:vAlign w:val="center"/>
                </w:tcPr>
                <w:p w14:paraId="22532684">
                  <w:pPr>
                    <w:pStyle w:val="55"/>
                    <w:rPr>
                      <w:color w:val="auto"/>
                    </w:rPr>
                  </w:pPr>
                  <w:r>
                    <w:rPr>
                      <w:rFonts w:hint="eastAsia"/>
                      <w:color w:val="auto"/>
                    </w:rPr>
                    <w:t>养鱼塘</w:t>
                  </w:r>
                </w:p>
              </w:tc>
              <w:tc>
                <w:tcPr>
                  <w:tcW w:w="3323" w:type="pct"/>
                  <w:tcBorders>
                    <w:tl2br w:val="nil"/>
                    <w:tr2bl w:val="nil"/>
                  </w:tcBorders>
                  <w:vAlign w:val="center"/>
                </w:tcPr>
                <w:p w14:paraId="6AF95856">
                  <w:pPr>
                    <w:pStyle w:val="55"/>
                    <w:rPr>
                      <w:color w:val="auto"/>
                    </w:rPr>
                  </w:pPr>
                  <w:r>
                    <w:rPr>
                      <w:rFonts w:hint="eastAsia"/>
                      <w:color w:val="auto"/>
                    </w:rPr>
                    <w:t>3次</w:t>
                  </w:r>
                </w:p>
              </w:tc>
            </w:tr>
            <w:tr w14:paraId="07E67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821" w:type="pct"/>
                  <w:vMerge w:val="continue"/>
                  <w:tcBorders>
                    <w:tl2br w:val="nil"/>
                    <w:tr2bl w:val="nil"/>
                  </w:tcBorders>
                  <w:vAlign w:val="center"/>
                </w:tcPr>
                <w:p w14:paraId="0693BA90">
                  <w:pPr>
                    <w:pStyle w:val="55"/>
                    <w:rPr>
                      <w:color w:val="auto"/>
                    </w:rPr>
                  </w:pPr>
                </w:p>
              </w:tc>
              <w:tc>
                <w:tcPr>
                  <w:tcW w:w="854" w:type="pct"/>
                  <w:tcBorders>
                    <w:tl2br w:val="nil"/>
                    <w:tr2bl w:val="nil"/>
                  </w:tcBorders>
                  <w:vAlign w:val="center"/>
                </w:tcPr>
                <w:p w14:paraId="6C68D30B">
                  <w:pPr>
                    <w:pStyle w:val="55"/>
                    <w:rPr>
                      <w:color w:val="auto"/>
                    </w:rPr>
                  </w:pPr>
                  <w:r>
                    <w:rPr>
                      <w:rFonts w:hint="eastAsia"/>
                      <w:color w:val="auto"/>
                    </w:rPr>
                    <w:t>凤台县厚泽家庭农场</w:t>
                  </w:r>
                </w:p>
              </w:tc>
              <w:tc>
                <w:tcPr>
                  <w:tcW w:w="3323" w:type="pct"/>
                  <w:tcBorders>
                    <w:tl2br w:val="nil"/>
                    <w:tr2bl w:val="nil"/>
                  </w:tcBorders>
                  <w:vAlign w:val="center"/>
                </w:tcPr>
                <w:p w14:paraId="0C7537B3">
                  <w:pPr>
                    <w:pStyle w:val="55"/>
                    <w:rPr>
                      <w:color w:val="auto"/>
                    </w:rPr>
                  </w:pPr>
                  <w:r>
                    <w:rPr>
                      <w:rFonts w:hint="eastAsia"/>
                      <w:color w:val="auto"/>
                    </w:rPr>
                    <w:t>1次</w:t>
                  </w:r>
                </w:p>
              </w:tc>
            </w:tr>
            <w:tr w14:paraId="4BAAD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821" w:type="pct"/>
                  <w:vMerge w:val="continue"/>
                  <w:tcBorders>
                    <w:tl2br w:val="nil"/>
                    <w:tr2bl w:val="nil"/>
                  </w:tcBorders>
                  <w:vAlign w:val="center"/>
                </w:tcPr>
                <w:p w14:paraId="2F091A4C">
                  <w:pPr>
                    <w:pStyle w:val="55"/>
                    <w:rPr>
                      <w:color w:val="auto"/>
                    </w:rPr>
                  </w:pPr>
                </w:p>
              </w:tc>
              <w:tc>
                <w:tcPr>
                  <w:tcW w:w="854" w:type="pct"/>
                  <w:tcBorders>
                    <w:tl2br w:val="nil"/>
                    <w:tr2bl w:val="nil"/>
                  </w:tcBorders>
                  <w:vAlign w:val="center"/>
                </w:tcPr>
                <w:p w14:paraId="0B42AB68">
                  <w:pPr>
                    <w:pStyle w:val="55"/>
                    <w:rPr>
                      <w:color w:val="auto"/>
                    </w:rPr>
                  </w:pPr>
                  <w:r>
                    <w:rPr>
                      <w:rFonts w:hint="eastAsia"/>
                      <w:color w:val="auto"/>
                    </w:rPr>
                    <w:t>大棚</w:t>
                  </w:r>
                </w:p>
              </w:tc>
              <w:tc>
                <w:tcPr>
                  <w:tcW w:w="3323" w:type="pct"/>
                  <w:tcBorders>
                    <w:tl2br w:val="nil"/>
                    <w:tr2bl w:val="nil"/>
                  </w:tcBorders>
                  <w:vAlign w:val="center"/>
                </w:tcPr>
                <w:p w14:paraId="17B66770">
                  <w:pPr>
                    <w:pStyle w:val="55"/>
                    <w:rPr>
                      <w:color w:val="auto"/>
                    </w:rPr>
                  </w:pPr>
                  <w:r>
                    <w:rPr>
                      <w:rFonts w:hint="eastAsia"/>
                      <w:color w:val="auto"/>
                    </w:rPr>
                    <w:t>6次</w:t>
                  </w:r>
                </w:p>
              </w:tc>
            </w:tr>
            <w:tr w14:paraId="4844F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821" w:type="pct"/>
                  <w:vMerge w:val="continue"/>
                  <w:tcBorders>
                    <w:tl2br w:val="nil"/>
                    <w:tr2bl w:val="nil"/>
                  </w:tcBorders>
                  <w:vAlign w:val="center"/>
                </w:tcPr>
                <w:p w14:paraId="753C95E5">
                  <w:pPr>
                    <w:pStyle w:val="55"/>
                    <w:rPr>
                      <w:color w:val="auto"/>
                    </w:rPr>
                  </w:pPr>
                </w:p>
              </w:tc>
              <w:tc>
                <w:tcPr>
                  <w:tcW w:w="854" w:type="pct"/>
                  <w:tcBorders>
                    <w:tl2br w:val="nil"/>
                    <w:tr2bl w:val="nil"/>
                  </w:tcBorders>
                  <w:vAlign w:val="center"/>
                </w:tcPr>
                <w:p w14:paraId="304F62A9">
                  <w:pPr>
                    <w:pStyle w:val="55"/>
                    <w:rPr>
                      <w:color w:val="auto"/>
                    </w:rPr>
                  </w:pPr>
                  <w:r>
                    <w:rPr>
                      <w:rFonts w:hint="eastAsia"/>
                      <w:color w:val="auto"/>
                    </w:rPr>
                    <w:t>500</w:t>
                  </w:r>
                  <w:r>
                    <w:rPr>
                      <w:color w:val="auto"/>
                    </w:rPr>
                    <w:t>kV线路</w:t>
                  </w:r>
                </w:p>
              </w:tc>
              <w:tc>
                <w:tcPr>
                  <w:tcW w:w="3323" w:type="pct"/>
                  <w:tcBorders>
                    <w:tl2br w:val="nil"/>
                    <w:tr2bl w:val="nil"/>
                  </w:tcBorders>
                  <w:vAlign w:val="center"/>
                </w:tcPr>
                <w:p w14:paraId="7088B998">
                  <w:pPr>
                    <w:pStyle w:val="55"/>
                    <w:rPr>
                      <w:color w:val="auto"/>
                    </w:rPr>
                  </w:pPr>
                  <w:r>
                    <w:rPr>
                      <w:rFonts w:hint="eastAsia"/>
                      <w:color w:val="auto"/>
                    </w:rPr>
                    <w:t>1</w:t>
                  </w:r>
                  <w:r>
                    <w:rPr>
                      <w:color w:val="auto"/>
                    </w:rPr>
                    <w:t>次</w:t>
                  </w:r>
                  <w:r>
                    <w:rPr>
                      <w:rFonts w:hint="eastAsia"/>
                      <w:color w:val="auto"/>
                    </w:rPr>
                    <w:t>（架空钻越）</w:t>
                  </w:r>
                </w:p>
              </w:tc>
            </w:tr>
            <w:tr w14:paraId="2C60E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821" w:type="pct"/>
                  <w:vMerge w:val="continue"/>
                  <w:tcBorders>
                    <w:tl2br w:val="nil"/>
                    <w:tr2bl w:val="nil"/>
                  </w:tcBorders>
                  <w:vAlign w:val="center"/>
                </w:tcPr>
                <w:p w14:paraId="1804FEE3">
                  <w:pPr>
                    <w:pStyle w:val="55"/>
                    <w:rPr>
                      <w:color w:val="auto"/>
                    </w:rPr>
                  </w:pPr>
                </w:p>
              </w:tc>
              <w:tc>
                <w:tcPr>
                  <w:tcW w:w="854" w:type="pct"/>
                  <w:tcBorders>
                    <w:tl2br w:val="nil"/>
                    <w:tr2bl w:val="nil"/>
                  </w:tcBorders>
                  <w:vAlign w:val="center"/>
                </w:tcPr>
                <w:p w14:paraId="12B2FADF">
                  <w:pPr>
                    <w:pStyle w:val="55"/>
                    <w:rPr>
                      <w:color w:val="auto"/>
                    </w:rPr>
                  </w:pPr>
                  <w:r>
                    <w:rPr>
                      <w:color w:val="auto"/>
                    </w:rPr>
                    <w:t>10kV</w:t>
                  </w:r>
                  <w:r>
                    <w:rPr>
                      <w:rFonts w:hint="eastAsia"/>
                      <w:color w:val="auto"/>
                    </w:rPr>
                    <w:t>线路</w:t>
                  </w:r>
                </w:p>
              </w:tc>
              <w:tc>
                <w:tcPr>
                  <w:tcW w:w="3323" w:type="pct"/>
                  <w:tcBorders>
                    <w:tl2br w:val="nil"/>
                    <w:tr2bl w:val="nil"/>
                  </w:tcBorders>
                  <w:vAlign w:val="center"/>
                </w:tcPr>
                <w:p w14:paraId="774EFD86">
                  <w:pPr>
                    <w:pStyle w:val="55"/>
                    <w:rPr>
                      <w:color w:val="auto"/>
                    </w:rPr>
                  </w:pPr>
                  <w:r>
                    <w:rPr>
                      <w:rFonts w:hint="eastAsia"/>
                      <w:color w:val="auto"/>
                    </w:rPr>
                    <w:t>10次</w:t>
                  </w:r>
                </w:p>
              </w:tc>
            </w:tr>
            <w:tr w14:paraId="3183D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821" w:type="pct"/>
                  <w:vMerge w:val="continue"/>
                  <w:tcBorders>
                    <w:tl2br w:val="nil"/>
                    <w:tr2bl w:val="nil"/>
                  </w:tcBorders>
                  <w:vAlign w:val="center"/>
                </w:tcPr>
                <w:p w14:paraId="1C7AA0FF">
                  <w:pPr>
                    <w:pStyle w:val="55"/>
                    <w:rPr>
                      <w:color w:val="auto"/>
                    </w:rPr>
                  </w:pPr>
                </w:p>
              </w:tc>
              <w:tc>
                <w:tcPr>
                  <w:tcW w:w="854" w:type="pct"/>
                  <w:tcBorders>
                    <w:tl2br w:val="nil"/>
                    <w:tr2bl w:val="nil"/>
                  </w:tcBorders>
                  <w:vAlign w:val="center"/>
                </w:tcPr>
                <w:p w14:paraId="277F1953">
                  <w:pPr>
                    <w:pStyle w:val="55"/>
                    <w:rPr>
                      <w:color w:val="auto"/>
                    </w:rPr>
                  </w:pPr>
                  <w:r>
                    <w:rPr>
                      <w:rFonts w:hint="eastAsia"/>
                      <w:color w:val="auto"/>
                    </w:rPr>
                    <w:t>弱电线路</w:t>
                  </w:r>
                </w:p>
              </w:tc>
              <w:tc>
                <w:tcPr>
                  <w:tcW w:w="3323" w:type="pct"/>
                  <w:tcBorders>
                    <w:tl2br w:val="nil"/>
                    <w:tr2bl w:val="nil"/>
                  </w:tcBorders>
                  <w:vAlign w:val="center"/>
                </w:tcPr>
                <w:p w14:paraId="51FB51F4">
                  <w:pPr>
                    <w:pStyle w:val="55"/>
                    <w:rPr>
                      <w:color w:val="auto"/>
                    </w:rPr>
                  </w:pPr>
                  <w:r>
                    <w:rPr>
                      <w:rFonts w:hint="eastAsia"/>
                      <w:color w:val="auto"/>
                    </w:rPr>
                    <w:t>12次</w:t>
                  </w:r>
                </w:p>
              </w:tc>
            </w:tr>
            <w:tr w14:paraId="35F7F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821" w:type="pct"/>
                  <w:vMerge w:val="continue"/>
                  <w:tcBorders>
                    <w:tl2br w:val="nil"/>
                    <w:tr2bl w:val="nil"/>
                  </w:tcBorders>
                  <w:vAlign w:val="center"/>
                </w:tcPr>
                <w:p w14:paraId="2AF9AF54">
                  <w:pPr>
                    <w:pStyle w:val="55"/>
                    <w:rPr>
                      <w:color w:val="auto"/>
                    </w:rPr>
                  </w:pPr>
                </w:p>
              </w:tc>
              <w:tc>
                <w:tcPr>
                  <w:tcW w:w="854" w:type="pct"/>
                  <w:tcBorders>
                    <w:tl2br w:val="nil"/>
                    <w:tr2bl w:val="nil"/>
                  </w:tcBorders>
                  <w:vAlign w:val="center"/>
                </w:tcPr>
                <w:p w14:paraId="47C80348">
                  <w:pPr>
                    <w:pStyle w:val="55"/>
                    <w:rPr>
                      <w:color w:val="auto"/>
                    </w:rPr>
                  </w:pPr>
                  <w:r>
                    <w:rPr>
                      <w:rFonts w:hint="eastAsia"/>
                      <w:color w:val="auto"/>
                    </w:rPr>
                    <w:t>通信线</w:t>
                  </w:r>
                </w:p>
              </w:tc>
              <w:tc>
                <w:tcPr>
                  <w:tcW w:w="3323" w:type="pct"/>
                  <w:tcBorders>
                    <w:tl2br w:val="nil"/>
                    <w:tr2bl w:val="nil"/>
                  </w:tcBorders>
                  <w:vAlign w:val="center"/>
                </w:tcPr>
                <w:p w14:paraId="5F32ABDC">
                  <w:pPr>
                    <w:pStyle w:val="55"/>
                    <w:rPr>
                      <w:color w:val="auto"/>
                    </w:rPr>
                  </w:pPr>
                  <w:r>
                    <w:rPr>
                      <w:rFonts w:hint="eastAsia"/>
                      <w:color w:val="auto"/>
                    </w:rPr>
                    <w:t>15次</w:t>
                  </w:r>
                </w:p>
              </w:tc>
            </w:tr>
            <w:tr w14:paraId="4E71A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1676" w:type="pct"/>
                  <w:gridSpan w:val="2"/>
                  <w:tcBorders>
                    <w:tl2br w:val="nil"/>
                    <w:tr2bl w:val="nil"/>
                  </w:tcBorders>
                  <w:vAlign w:val="center"/>
                </w:tcPr>
                <w:p w14:paraId="0469142E">
                  <w:pPr>
                    <w:pStyle w:val="55"/>
                    <w:rPr>
                      <w:color w:val="auto"/>
                    </w:rPr>
                  </w:pPr>
                  <w:r>
                    <w:rPr>
                      <w:color w:val="auto"/>
                    </w:rPr>
                    <w:t>交通情况</w:t>
                  </w:r>
                </w:p>
              </w:tc>
              <w:tc>
                <w:tcPr>
                  <w:tcW w:w="3323" w:type="pct"/>
                  <w:tcBorders>
                    <w:tl2br w:val="nil"/>
                    <w:tr2bl w:val="nil"/>
                  </w:tcBorders>
                  <w:vAlign w:val="center"/>
                </w:tcPr>
                <w:p w14:paraId="4E37D19F">
                  <w:pPr>
                    <w:pStyle w:val="55"/>
                    <w:rPr>
                      <w:color w:val="auto"/>
                    </w:rPr>
                  </w:pPr>
                  <w:r>
                    <w:rPr>
                      <w:color w:val="auto"/>
                    </w:rPr>
                    <w:t>一般</w:t>
                  </w:r>
                </w:p>
              </w:tc>
            </w:tr>
          </w:tbl>
          <w:p w14:paraId="78478BFA">
            <w:pPr>
              <w:pStyle w:val="49"/>
              <w:rPr>
                <w:color w:val="auto"/>
              </w:rPr>
            </w:pPr>
          </w:p>
          <w:p w14:paraId="6BD1DBF2">
            <w:pPr>
              <w:pStyle w:val="49"/>
              <w:rPr>
                <w:color w:val="auto"/>
              </w:rPr>
            </w:pPr>
            <w:r>
              <w:rPr>
                <w:color w:val="auto"/>
              </w:rPr>
              <w:t>2</w:t>
            </w:r>
            <w:r>
              <w:rPr>
                <w:rFonts w:hint="eastAsia"/>
                <w:color w:val="auto"/>
              </w:rPr>
              <w:t>、塔型及导线型号</w:t>
            </w:r>
          </w:p>
          <w:p w14:paraId="6CEFC2EE">
            <w:pPr>
              <w:pStyle w:val="51"/>
              <w:rPr>
                <w:color w:val="auto"/>
              </w:rPr>
            </w:pPr>
            <w:r>
              <w:rPr>
                <w:rFonts w:hint="eastAsia"/>
                <w:color w:val="auto"/>
              </w:rPr>
              <w:t>线路自220kV顾桥升压变构架采用架空方式出线，向西南跨越德上高速（G0321）后左转沿德上高速架设，采用电缆方式避让西龚村房屋后，改用架空沿德上高速架设至拐王村北侧，绕过拐王村后，继续沿德上高速向东南走线，钻越华润-汤庄500kV线路后左转，跨越X025县道后采用电缆方式从220kV桂集变与500kV华润汇集变之间敷设至500kV华润汇集变。</w:t>
            </w:r>
          </w:p>
          <w:p w14:paraId="45161394">
            <w:pPr>
              <w:pStyle w:val="51"/>
              <w:rPr>
                <w:color w:val="auto"/>
              </w:rPr>
            </w:pPr>
            <w:r>
              <w:rPr>
                <w:rFonts w:hint="eastAsia"/>
                <w:color w:val="auto"/>
              </w:rPr>
              <w:t>线路路径长约5.01km，其中架空线路长约4.60km。途经凤台县桂集镇。塔型图见附图7。</w:t>
            </w:r>
          </w:p>
          <w:p w14:paraId="7AF9FCFD">
            <w:pPr>
              <w:pStyle w:val="53"/>
              <w:rPr>
                <w:color w:val="auto"/>
              </w:rPr>
            </w:pPr>
            <w:r>
              <w:rPr>
                <w:color w:val="auto"/>
              </w:rPr>
              <w:t>表2</w:t>
            </w:r>
            <w:r>
              <w:rPr>
                <w:rFonts w:hint="eastAsia"/>
                <w:color w:val="auto"/>
              </w:rPr>
              <w:t>-</w:t>
            </w:r>
            <w:r>
              <w:rPr>
                <w:color w:val="auto"/>
              </w:rPr>
              <w:t>2</w:t>
            </w:r>
            <w:r>
              <w:rPr>
                <w:rFonts w:hint="eastAsia"/>
                <w:color w:val="auto"/>
              </w:rPr>
              <w:t xml:space="preserve"> </w:t>
            </w:r>
            <w:r>
              <w:rPr>
                <w:color w:val="auto"/>
              </w:rPr>
              <w:t xml:space="preserve"> 杆塔使用情况一览表</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4"/>
              <w:gridCol w:w="612"/>
              <w:gridCol w:w="644"/>
              <w:gridCol w:w="727"/>
              <w:gridCol w:w="779"/>
              <w:gridCol w:w="974"/>
              <w:gridCol w:w="659"/>
              <w:gridCol w:w="659"/>
              <w:gridCol w:w="680"/>
              <w:gridCol w:w="680"/>
              <w:gridCol w:w="751"/>
            </w:tblGrid>
            <w:tr w14:paraId="6F0B9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blHeader/>
                <w:jc w:val="center"/>
              </w:trPr>
              <w:tc>
                <w:tcPr>
                  <w:tcW w:w="498" w:type="pct"/>
                  <w:vAlign w:val="center"/>
                </w:tcPr>
                <w:p w14:paraId="636B6926">
                  <w:pPr>
                    <w:pStyle w:val="55"/>
                    <w:rPr>
                      <w:color w:val="auto"/>
                    </w:rPr>
                  </w:pPr>
                  <w:r>
                    <w:rPr>
                      <w:color w:val="auto"/>
                    </w:rPr>
                    <w:t>塔型</w:t>
                  </w:r>
                </w:p>
              </w:tc>
              <w:tc>
                <w:tcPr>
                  <w:tcW w:w="384" w:type="pct"/>
                  <w:vAlign w:val="center"/>
                </w:tcPr>
                <w:p w14:paraId="2AADBEBB">
                  <w:pPr>
                    <w:pStyle w:val="55"/>
                    <w:rPr>
                      <w:color w:val="auto"/>
                    </w:rPr>
                  </w:pPr>
                  <w:r>
                    <w:rPr>
                      <w:color w:val="auto"/>
                    </w:rPr>
                    <w:t>呼高</w:t>
                  </w:r>
                </w:p>
                <w:p w14:paraId="667AE34C">
                  <w:pPr>
                    <w:pStyle w:val="55"/>
                    <w:rPr>
                      <w:color w:val="auto"/>
                    </w:rPr>
                  </w:pPr>
                  <w:r>
                    <w:rPr>
                      <w:color w:val="auto"/>
                    </w:rPr>
                    <w:t>（m）</w:t>
                  </w:r>
                </w:p>
              </w:tc>
              <w:tc>
                <w:tcPr>
                  <w:tcW w:w="404" w:type="pct"/>
                  <w:vAlign w:val="center"/>
                </w:tcPr>
                <w:p w14:paraId="136ED2DF">
                  <w:pPr>
                    <w:pStyle w:val="55"/>
                    <w:rPr>
                      <w:color w:val="auto"/>
                    </w:rPr>
                  </w:pPr>
                  <w:r>
                    <w:rPr>
                      <w:color w:val="auto"/>
                    </w:rPr>
                    <w:t>数量（基）</w:t>
                  </w:r>
                </w:p>
              </w:tc>
              <w:tc>
                <w:tcPr>
                  <w:tcW w:w="456" w:type="pct"/>
                  <w:vAlign w:val="center"/>
                </w:tcPr>
                <w:p w14:paraId="1D9C7CF2">
                  <w:pPr>
                    <w:pStyle w:val="55"/>
                    <w:rPr>
                      <w:color w:val="auto"/>
                    </w:rPr>
                  </w:pPr>
                  <w:r>
                    <w:rPr>
                      <w:rFonts w:hint="eastAsia"/>
                      <w:color w:val="auto"/>
                    </w:rPr>
                    <w:t>基础根开（</w:t>
                  </w:r>
                  <w:r>
                    <w:rPr>
                      <w:color w:val="auto"/>
                    </w:rPr>
                    <w:t>mm）</w:t>
                  </w:r>
                </w:p>
              </w:tc>
              <w:tc>
                <w:tcPr>
                  <w:tcW w:w="489" w:type="pct"/>
                  <w:vAlign w:val="center"/>
                </w:tcPr>
                <w:p w14:paraId="177211C7">
                  <w:pPr>
                    <w:pStyle w:val="55"/>
                    <w:rPr>
                      <w:color w:val="auto"/>
                    </w:rPr>
                  </w:pPr>
                  <w:r>
                    <w:rPr>
                      <w:color w:val="auto"/>
                    </w:rPr>
                    <w:t>基础形式</w:t>
                  </w:r>
                </w:p>
              </w:tc>
              <w:tc>
                <w:tcPr>
                  <w:tcW w:w="611" w:type="pct"/>
                  <w:vAlign w:val="center"/>
                </w:tcPr>
                <w:p w14:paraId="0E20CC2C">
                  <w:pPr>
                    <w:pStyle w:val="55"/>
                    <w:rPr>
                      <w:color w:val="auto"/>
                    </w:rPr>
                  </w:pPr>
                  <w:r>
                    <w:rPr>
                      <w:rFonts w:hint="eastAsia"/>
                      <w:color w:val="auto"/>
                    </w:rPr>
                    <w:t>基础尺寸</w:t>
                  </w:r>
                </w:p>
                <w:p w14:paraId="1B457566">
                  <w:pPr>
                    <w:pStyle w:val="55"/>
                    <w:rPr>
                      <w:color w:val="auto"/>
                    </w:rPr>
                  </w:pPr>
                  <w:r>
                    <w:rPr>
                      <w:rFonts w:hint="eastAsia"/>
                      <w:color w:val="auto"/>
                    </w:rPr>
                    <w:t>（长*宽*深）</w:t>
                  </w:r>
                  <w:r>
                    <w:rPr>
                      <w:color w:val="auto"/>
                    </w:rPr>
                    <w:t>mm</w:t>
                  </w:r>
                </w:p>
              </w:tc>
              <w:tc>
                <w:tcPr>
                  <w:tcW w:w="414" w:type="pct"/>
                  <w:vAlign w:val="center"/>
                </w:tcPr>
                <w:p w14:paraId="52B5937C">
                  <w:pPr>
                    <w:pStyle w:val="55"/>
                    <w:rPr>
                      <w:color w:val="auto"/>
                    </w:rPr>
                  </w:pPr>
                  <w:r>
                    <w:rPr>
                      <w:rFonts w:hint="eastAsia"/>
                      <w:color w:val="auto"/>
                    </w:rPr>
                    <w:t>挖方量</w:t>
                  </w:r>
                  <w:r>
                    <w:rPr>
                      <w:color w:val="auto"/>
                    </w:rPr>
                    <w:t>（m</w:t>
                  </w:r>
                  <w:r>
                    <w:rPr>
                      <w:rFonts w:hint="eastAsia"/>
                      <w:color w:val="auto"/>
                      <w:vertAlign w:val="superscript"/>
                    </w:rPr>
                    <w:t>3</w:t>
                  </w:r>
                  <w:r>
                    <w:rPr>
                      <w:color w:val="auto"/>
                    </w:rPr>
                    <w:t>）</w:t>
                  </w:r>
                </w:p>
              </w:tc>
              <w:tc>
                <w:tcPr>
                  <w:tcW w:w="414" w:type="pct"/>
                  <w:vAlign w:val="center"/>
                </w:tcPr>
                <w:p w14:paraId="1AE7D630">
                  <w:pPr>
                    <w:pStyle w:val="55"/>
                    <w:rPr>
                      <w:color w:val="auto"/>
                    </w:rPr>
                  </w:pPr>
                  <w:r>
                    <w:rPr>
                      <w:color w:val="auto"/>
                    </w:rPr>
                    <w:t>单基占地（m</w:t>
                  </w:r>
                  <w:r>
                    <w:rPr>
                      <w:color w:val="auto"/>
                      <w:vertAlign w:val="superscript"/>
                    </w:rPr>
                    <w:t>2</w:t>
                  </w:r>
                  <w:r>
                    <w:rPr>
                      <w:color w:val="auto"/>
                    </w:rPr>
                    <w:t>）</w:t>
                  </w:r>
                </w:p>
              </w:tc>
              <w:tc>
                <w:tcPr>
                  <w:tcW w:w="427" w:type="pct"/>
                  <w:vAlign w:val="center"/>
                </w:tcPr>
                <w:p w14:paraId="4B10B69E">
                  <w:pPr>
                    <w:pStyle w:val="55"/>
                    <w:rPr>
                      <w:color w:val="auto"/>
                    </w:rPr>
                  </w:pPr>
                  <w:r>
                    <w:rPr>
                      <w:color w:val="auto"/>
                    </w:rPr>
                    <w:t>永久占地（m</w:t>
                  </w:r>
                  <w:r>
                    <w:rPr>
                      <w:color w:val="auto"/>
                      <w:vertAlign w:val="superscript"/>
                    </w:rPr>
                    <w:t>2</w:t>
                  </w:r>
                  <w:r>
                    <w:rPr>
                      <w:color w:val="auto"/>
                    </w:rPr>
                    <w:t>）</w:t>
                  </w:r>
                </w:p>
              </w:tc>
              <w:tc>
                <w:tcPr>
                  <w:tcW w:w="427" w:type="pct"/>
                  <w:vAlign w:val="center"/>
                </w:tcPr>
                <w:p w14:paraId="5B3ABAAA">
                  <w:pPr>
                    <w:pStyle w:val="55"/>
                    <w:rPr>
                      <w:color w:val="auto"/>
                    </w:rPr>
                  </w:pPr>
                  <w:r>
                    <w:rPr>
                      <w:color w:val="auto"/>
                    </w:rPr>
                    <w:t>临时占地（m</w:t>
                  </w:r>
                  <w:r>
                    <w:rPr>
                      <w:color w:val="auto"/>
                      <w:vertAlign w:val="superscript"/>
                    </w:rPr>
                    <w:t>2</w:t>
                  </w:r>
                  <w:r>
                    <w:rPr>
                      <w:color w:val="auto"/>
                    </w:rPr>
                    <w:t>）</w:t>
                  </w:r>
                </w:p>
              </w:tc>
              <w:tc>
                <w:tcPr>
                  <w:tcW w:w="472" w:type="pct"/>
                  <w:vAlign w:val="center"/>
                </w:tcPr>
                <w:p w14:paraId="771801D7">
                  <w:pPr>
                    <w:pStyle w:val="55"/>
                    <w:rPr>
                      <w:color w:val="auto"/>
                    </w:rPr>
                  </w:pPr>
                  <w:r>
                    <w:rPr>
                      <w:color w:val="auto"/>
                    </w:rPr>
                    <w:t>总占地（m</w:t>
                  </w:r>
                  <w:r>
                    <w:rPr>
                      <w:color w:val="auto"/>
                      <w:vertAlign w:val="superscript"/>
                    </w:rPr>
                    <w:t>2</w:t>
                  </w:r>
                  <w:r>
                    <w:rPr>
                      <w:color w:val="auto"/>
                    </w:rPr>
                    <w:t>）</w:t>
                  </w:r>
                </w:p>
              </w:tc>
            </w:tr>
            <w:tr w14:paraId="12487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498" w:type="pct"/>
                  <w:vAlign w:val="center"/>
                </w:tcPr>
                <w:p w14:paraId="2BF2B7DC">
                  <w:pPr>
                    <w:pStyle w:val="55"/>
                    <w:rPr>
                      <w:color w:val="auto"/>
                    </w:rPr>
                  </w:pPr>
                  <w:r>
                    <w:rPr>
                      <w:rFonts w:hint="eastAsia"/>
                      <w:color w:val="auto"/>
                    </w:rPr>
                    <w:t>220-HB21S-Z2</w:t>
                  </w:r>
                </w:p>
              </w:tc>
              <w:tc>
                <w:tcPr>
                  <w:tcW w:w="384" w:type="pct"/>
                  <w:vAlign w:val="center"/>
                </w:tcPr>
                <w:p w14:paraId="19843BFB">
                  <w:pPr>
                    <w:pStyle w:val="55"/>
                    <w:rPr>
                      <w:color w:val="auto"/>
                    </w:rPr>
                  </w:pPr>
                  <w:r>
                    <w:rPr>
                      <w:color w:val="auto"/>
                    </w:rPr>
                    <w:t>30</w:t>
                  </w:r>
                </w:p>
              </w:tc>
              <w:tc>
                <w:tcPr>
                  <w:tcW w:w="404" w:type="pct"/>
                  <w:vAlign w:val="center"/>
                </w:tcPr>
                <w:p w14:paraId="00FDC37C">
                  <w:pPr>
                    <w:pStyle w:val="55"/>
                    <w:rPr>
                      <w:color w:val="auto"/>
                    </w:rPr>
                  </w:pPr>
                  <w:r>
                    <w:rPr>
                      <w:color w:val="auto"/>
                    </w:rPr>
                    <w:t>2</w:t>
                  </w:r>
                </w:p>
              </w:tc>
              <w:tc>
                <w:tcPr>
                  <w:tcW w:w="456" w:type="pct"/>
                  <w:vAlign w:val="center"/>
                </w:tcPr>
                <w:p w14:paraId="22412179">
                  <w:pPr>
                    <w:pStyle w:val="55"/>
                    <w:rPr>
                      <w:color w:val="auto"/>
                    </w:rPr>
                  </w:pPr>
                  <w:r>
                    <w:rPr>
                      <w:color w:val="auto"/>
                    </w:rPr>
                    <w:t>7592</w:t>
                  </w:r>
                </w:p>
              </w:tc>
              <w:tc>
                <w:tcPr>
                  <w:tcW w:w="489" w:type="pct"/>
                  <w:vMerge w:val="restart"/>
                  <w:vAlign w:val="center"/>
                </w:tcPr>
                <w:p w14:paraId="37ADE5FE">
                  <w:pPr>
                    <w:pStyle w:val="55"/>
                    <w:rPr>
                      <w:color w:val="auto"/>
                    </w:rPr>
                  </w:pPr>
                  <w:r>
                    <w:rPr>
                      <w:rFonts w:hint="eastAsia"/>
                      <w:color w:val="auto"/>
                    </w:rPr>
                    <w:t>钢筋混凝土板式基础</w:t>
                  </w:r>
                </w:p>
                <w:p w14:paraId="255D07BF">
                  <w:pPr>
                    <w:pStyle w:val="55"/>
                    <w:rPr>
                      <w:color w:val="auto"/>
                    </w:rPr>
                  </w:pPr>
                  <w:r>
                    <w:rPr>
                      <w:rFonts w:hint="eastAsia"/>
                      <w:color w:val="auto"/>
                    </w:rPr>
                    <w:t>（角钢塔）</w:t>
                  </w:r>
                </w:p>
              </w:tc>
              <w:tc>
                <w:tcPr>
                  <w:tcW w:w="611" w:type="pct"/>
                  <w:vAlign w:val="center"/>
                </w:tcPr>
                <w:p w14:paraId="7CFEEAAC">
                  <w:pPr>
                    <w:pStyle w:val="55"/>
                    <w:rPr>
                      <w:color w:val="auto"/>
                    </w:rPr>
                  </w:pPr>
                  <w:r>
                    <w:rPr>
                      <w:color w:val="auto"/>
                    </w:rPr>
                    <w:t>3500×3500×2600</w:t>
                  </w:r>
                </w:p>
              </w:tc>
              <w:tc>
                <w:tcPr>
                  <w:tcW w:w="414" w:type="pct"/>
                  <w:vAlign w:val="center"/>
                </w:tcPr>
                <w:p w14:paraId="5A7DC2D7">
                  <w:pPr>
                    <w:pStyle w:val="55"/>
                    <w:rPr>
                      <w:color w:val="auto"/>
                    </w:rPr>
                  </w:pPr>
                  <w:r>
                    <w:rPr>
                      <w:color w:val="auto"/>
                    </w:rPr>
                    <w:t>31.85</w:t>
                  </w:r>
                </w:p>
              </w:tc>
              <w:tc>
                <w:tcPr>
                  <w:tcW w:w="414" w:type="pct"/>
                  <w:vAlign w:val="center"/>
                </w:tcPr>
                <w:p w14:paraId="25A8A3C6">
                  <w:pPr>
                    <w:pStyle w:val="55"/>
                    <w:rPr>
                      <w:color w:val="auto"/>
                    </w:rPr>
                  </w:pPr>
                  <w:r>
                    <w:rPr>
                      <w:rFonts w:hint="eastAsia"/>
                      <w:color w:val="auto"/>
                    </w:rPr>
                    <w:t xml:space="preserve">115.86 </w:t>
                  </w:r>
                </w:p>
              </w:tc>
              <w:tc>
                <w:tcPr>
                  <w:tcW w:w="427" w:type="pct"/>
                  <w:vAlign w:val="center"/>
                </w:tcPr>
                <w:p w14:paraId="519FAB76">
                  <w:pPr>
                    <w:pStyle w:val="55"/>
                    <w:rPr>
                      <w:color w:val="auto"/>
                    </w:rPr>
                  </w:pPr>
                  <w:r>
                    <w:rPr>
                      <w:rFonts w:hint="eastAsia"/>
                      <w:color w:val="auto"/>
                    </w:rPr>
                    <w:t xml:space="preserve">231.72 </w:t>
                  </w:r>
                </w:p>
              </w:tc>
              <w:tc>
                <w:tcPr>
                  <w:tcW w:w="427" w:type="pct"/>
                  <w:vAlign w:val="center"/>
                </w:tcPr>
                <w:p w14:paraId="7581A11C">
                  <w:pPr>
                    <w:pStyle w:val="55"/>
                    <w:rPr>
                      <w:color w:val="auto"/>
                    </w:rPr>
                  </w:pPr>
                  <w:r>
                    <w:rPr>
                      <w:rFonts w:hint="eastAsia"/>
                      <w:color w:val="auto"/>
                    </w:rPr>
                    <w:t xml:space="preserve">789.08 </w:t>
                  </w:r>
                </w:p>
              </w:tc>
              <w:tc>
                <w:tcPr>
                  <w:tcW w:w="472" w:type="pct"/>
                  <w:vAlign w:val="center"/>
                </w:tcPr>
                <w:p w14:paraId="090EA7CF">
                  <w:pPr>
                    <w:pStyle w:val="55"/>
                    <w:rPr>
                      <w:color w:val="auto"/>
                    </w:rPr>
                  </w:pPr>
                  <w:r>
                    <w:rPr>
                      <w:rFonts w:hint="eastAsia"/>
                      <w:color w:val="auto"/>
                    </w:rPr>
                    <w:t xml:space="preserve">1020.80 </w:t>
                  </w:r>
                </w:p>
              </w:tc>
            </w:tr>
            <w:tr w14:paraId="7D74E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498" w:type="pct"/>
                  <w:vAlign w:val="center"/>
                </w:tcPr>
                <w:p w14:paraId="00B4180A">
                  <w:pPr>
                    <w:pStyle w:val="55"/>
                    <w:rPr>
                      <w:color w:val="auto"/>
                    </w:rPr>
                  </w:pPr>
                  <w:r>
                    <w:rPr>
                      <w:color w:val="auto"/>
                    </w:rPr>
                    <w:t>220-HB21S-Z3</w:t>
                  </w:r>
                </w:p>
              </w:tc>
              <w:tc>
                <w:tcPr>
                  <w:tcW w:w="384" w:type="pct"/>
                  <w:vAlign w:val="center"/>
                </w:tcPr>
                <w:p w14:paraId="180AD7C8">
                  <w:pPr>
                    <w:pStyle w:val="55"/>
                    <w:rPr>
                      <w:color w:val="auto"/>
                    </w:rPr>
                  </w:pPr>
                  <w:r>
                    <w:rPr>
                      <w:color w:val="auto"/>
                    </w:rPr>
                    <w:t>42</w:t>
                  </w:r>
                </w:p>
              </w:tc>
              <w:tc>
                <w:tcPr>
                  <w:tcW w:w="404" w:type="pct"/>
                  <w:vAlign w:val="center"/>
                </w:tcPr>
                <w:p w14:paraId="7304C435">
                  <w:pPr>
                    <w:pStyle w:val="55"/>
                    <w:rPr>
                      <w:color w:val="auto"/>
                    </w:rPr>
                  </w:pPr>
                  <w:r>
                    <w:rPr>
                      <w:color w:val="auto"/>
                    </w:rPr>
                    <w:t>2</w:t>
                  </w:r>
                </w:p>
              </w:tc>
              <w:tc>
                <w:tcPr>
                  <w:tcW w:w="456" w:type="pct"/>
                  <w:vAlign w:val="center"/>
                </w:tcPr>
                <w:p w14:paraId="18E82592">
                  <w:pPr>
                    <w:pStyle w:val="55"/>
                    <w:rPr>
                      <w:color w:val="auto"/>
                    </w:rPr>
                  </w:pPr>
                  <w:r>
                    <w:rPr>
                      <w:color w:val="auto"/>
                    </w:rPr>
                    <w:t>9750</w:t>
                  </w:r>
                </w:p>
              </w:tc>
              <w:tc>
                <w:tcPr>
                  <w:tcW w:w="489" w:type="pct"/>
                  <w:vMerge w:val="continue"/>
                  <w:vAlign w:val="center"/>
                </w:tcPr>
                <w:p w14:paraId="1CF61B19">
                  <w:pPr>
                    <w:pStyle w:val="55"/>
                    <w:rPr>
                      <w:color w:val="auto"/>
                    </w:rPr>
                  </w:pPr>
                </w:p>
              </w:tc>
              <w:tc>
                <w:tcPr>
                  <w:tcW w:w="611" w:type="pct"/>
                  <w:vAlign w:val="center"/>
                </w:tcPr>
                <w:p w14:paraId="287A4562">
                  <w:pPr>
                    <w:pStyle w:val="55"/>
                    <w:rPr>
                      <w:color w:val="auto"/>
                    </w:rPr>
                  </w:pPr>
                  <w:r>
                    <w:rPr>
                      <w:color w:val="auto"/>
                    </w:rPr>
                    <w:t>3900×3900×3000</w:t>
                  </w:r>
                </w:p>
              </w:tc>
              <w:tc>
                <w:tcPr>
                  <w:tcW w:w="414" w:type="pct"/>
                  <w:vAlign w:val="center"/>
                </w:tcPr>
                <w:p w14:paraId="75C47606">
                  <w:pPr>
                    <w:pStyle w:val="55"/>
                    <w:rPr>
                      <w:color w:val="auto"/>
                    </w:rPr>
                  </w:pPr>
                  <w:r>
                    <w:rPr>
                      <w:color w:val="auto"/>
                    </w:rPr>
                    <w:t>45.63</w:t>
                  </w:r>
                </w:p>
              </w:tc>
              <w:tc>
                <w:tcPr>
                  <w:tcW w:w="414" w:type="pct"/>
                  <w:vAlign w:val="center"/>
                </w:tcPr>
                <w:p w14:paraId="0CF0B194">
                  <w:pPr>
                    <w:pStyle w:val="55"/>
                    <w:rPr>
                      <w:color w:val="auto"/>
                    </w:rPr>
                  </w:pPr>
                  <w:r>
                    <w:rPr>
                      <w:rFonts w:hint="eastAsia"/>
                      <w:color w:val="auto"/>
                    </w:rPr>
                    <w:t xml:space="preserve">180.90 </w:t>
                  </w:r>
                </w:p>
              </w:tc>
              <w:tc>
                <w:tcPr>
                  <w:tcW w:w="427" w:type="pct"/>
                  <w:vAlign w:val="center"/>
                </w:tcPr>
                <w:p w14:paraId="08D935BD">
                  <w:pPr>
                    <w:pStyle w:val="55"/>
                    <w:rPr>
                      <w:color w:val="auto"/>
                    </w:rPr>
                  </w:pPr>
                  <w:r>
                    <w:rPr>
                      <w:rFonts w:hint="eastAsia"/>
                      <w:color w:val="auto"/>
                    </w:rPr>
                    <w:t xml:space="preserve">361.80 </w:t>
                  </w:r>
                </w:p>
              </w:tc>
              <w:tc>
                <w:tcPr>
                  <w:tcW w:w="427" w:type="pct"/>
                  <w:vAlign w:val="center"/>
                </w:tcPr>
                <w:p w14:paraId="0FEF4544">
                  <w:pPr>
                    <w:pStyle w:val="55"/>
                    <w:rPr>
                      <w:color w:val="auto"/>
                    </w:rPr>
                  </w:pPr>
                  <w:r>
                    <w:rPr>
                      <w:rFonts w:hint="eastAsia"/>
                      <w:color w:val="auto"/>
                    </w:rPr>
                    <w:t xml:space="preserve">863.33 </w:t>
                  </w:r>
                </w:p>
              </w:tc>
              <w:tc>
                <w:tcPr>
                  <w:tcW w:w="472" w:type="pct"/>
                  <w:vAlign w:val="center"/>
                </w:tcPr>
                <w:p w14:paraId="6940FE9E">
                  <w:pPr>
                    <w:pStyle w:val="55"/>
                    <w:rPr>
                      <w:color w:val="auto"/>
                    </w:rPr>
                  </w:pPr>
                  <w:r>
                    <w:rPr>
                      <w:rFonts w:hint="eastAsia"/>
                      <w:color w:val="auto"/>
                    </w:rPr>
                    <w:t xml:space="preserve">1225.13 </w:t>
                  </w:r>
                </w:p>
              </w:tc>
            </w:tr>
            <w:tr w14:paraId="013A2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498" w:type="pct"/>
                  <w:vAlign w:val="center"/>
                </w:tcPr>
                <w:p w14:paraId="08D22238">
                  <w:pPr>
                    <w:pStyle w:val="55"/>
                    <w:rPr>
                      <w:color w:val="auto"/>
                    </w:rPr>
                  </w:pPr>
                  <w:r>
                    <w:rPr>
                      <w:color w:val="auto"/>
                    </w:rPr>
                    <w:t>220-HB21S-ZK</w:t>
                  </w:r>
                </w:p>
              </w:tc>
              <w:tc>
                <w:tcPr>
                  <w:tcW w:w="384" w:type="pct"/>
                  <w:vAlign w:val="center"/>
                </w:tcPr>
                <w:p w14:paraId="00776F20">
                  <w:pPr>
                    <w:pStyle w:val="55"/>
                    <w:rPr>
                      <w:color w:val="auto"/>
                    </w:rPr>
                  </w:pPr>
                  <w:r>
                    <w:rPr>
                      <w:color w:val="auto"/>
                    </w:rPr>
                    <w:t>51</w:t>
                  </w:r>
                </w:p>
              </w:tc>
              <w:tc>
                <w:tcPr>
                  <w:tcW w:w="404" w:type="pct"/>
                  <w:vAlign w:val="center"/>
                </w:tcPr>
                <w:p w14:paraId="00EEDB9F">
                  <w:pPr>
                    <w:pStyle w:val="55"/>
                    <w:rPr>
                      <w:color w:val="auto"/>
                    </w:rPr>
                  </w:pPr>
                  <w:r>
                    <w:rPr>
                      <w:color w:val="auto"/>
                    </w:rPr>
                    <w:t>1</w:t>
                  </w:r>
                </w:p>
              </w:tc>
              <w:tc>
                <w:tcPr>
                  <w:tcW w:w="456" w:type="pct"/>
                  <w:vAlign w:val="center"/>
                </w:tcPr>
                <w:p w14:paraId="666C10B1">
                  <w:pPr>
                    <w:pStyle w:val="55"/>
                    <w:rPr>
                      <w:color w:val="auto"/>
                    </w:rPr>
                  </w:pPr>
                  <w:r>
                    <w:rPr>
                      <w:color w:val="auto"/>
                    </w:rPr>
                    <w:t>11380</w:t>
                  </w:r>
                </w:p>
              </w:tc>
              <w:tc>
                <w:tcPr>
                  <w:tcW w:w="489" w:type="pct"/>
                  <w:vMerge w:val="restart"/>
                  <w:vAlign w:val="center"/>
                </w:tcPr>
                <w:p w14:paraId="5AC948E6">
                  <w:pPr>
                    <w:pStyle w:val="55"/>
                    <w:rPr>
                      <w:color w:val="auto"/>
                    </w:rPr>
                  </w:pPr>
                  <w:r>
                    <w:rPr>
                      <w:rFonts w:hint="eastAsia"/>
                      <w:color w:val="auto"/>
                    </w:rPr>
                    <w:t>钻孔灌注桩</w:t>
                  </w:r>
                </w:p>
                <w:p w14:paraId="76FE950A">
                  <w:pPr>
                    <w:pStyle w:val="55"/>
                    <w:rPr>
                      <w:color w:val="auto"/>
                    </w:rPr>
                  </w:pPr>
                  <w:r>
                    <w:rPr>
                      <w:rFonts w:hint="eastAsia"/>
                      <w:color w:val="auto"/>
                    </w:rPr>
                    <w:t>（角钢塔）</w:t>
                  </w:r>
                </w:p>
              </w:tc>
              <w:tc>
                <w:tcPr>
                  <w:tcW w:w="611" w:type="pct"/>
                  <w:vAlign w:val="center"/>
                </w:tcPr>
                <w:p w14:paraId="1FA899A5">
                  <w:pPr>
                    <w:pStyle w:val="55"/>
                    <w:rPr>
                      <w:color w:val="auto"/>
                    </w:rPr>
                  </w:pPr>
                  <w:r>
                    <w:rPr>
                      <w:color w:val="auto"/>
                    </w:rPr>
                    <w:t>Φ1000×10000</w:t>
                  </w:r>
                </w:p>
              </w:tc>
              <w:tc>
                <w:tcPr>
                  <w:tcW w:w="414" w:type="pct"/>
                  <w:vAlign w:val="center"/>
                </w:tcPr>
                <w:p w14:paraId="221B0FE8">
                  <w:pPr>
                    <w:pStyle w:val="55"/>
                    <w:rPr>
                      <w:color w:val="auto"/>
                    </w:rPr>
                  </w:pPr>
                  <w:r>
                    <w:rPr>
                      <w:color w:val="auto"/>
                    </w:rPr>
                    <w:t>10</w:t>
                  </w:r>
                </w:p>
              </w:tc>
              <w:tc>
                <w:tcPr>
                  <w:tcW w:w="414" w:type="pct"/>
                  <w:vAlign w:val="center"/>
                </w:tcPr>
                <w:p w14:paraId="033DFD45">
                  <w:pPr>
                    <w:pStyle w:val="55"/>
                    <w:rPr>
                      <w:color w:val="auto"/>
                    </w:rPr>
                  </w:pPr>
                  <w:r>
                    <w:rPr>
                      <w:rFonts w:hint="eastAsia"/>
                      <w:color w:val="auto"/>
                    </w:rPr>
                    <w:t xml:space="preserve">189.89 </w:t>
                  </w:r>
                </w:p>
              </w:tc>
              <w:tc>
                <w:tcPr>
                  <w:tcW w:w="427" w:type="pct"/>
                  <w:vAlign w:val="center"/>
                </w:tcPr>
                <w:p w14:paraId="7C29E634">
                  <w:pPr>
                    <w:pStyle w:val="55"/>
                    <w:rPr>
                      <w:color w:val="auto"/>
                    </w:rPr>
                  </w:pPr>
                  <w:r>
                    <w:rPr>
                      <w:rFonts w:hint="eastAsia"/>
                      <w:color w:val="auto"/>
                    </w:rPr>
                    <w:t xml:space="preserve">189.89 </w:t>
                  </w:r>
                </w:p>
              </w:tc>
              <w:tc>
                <w:tcPr>
                  <w:tcW w:w="427" w:type="pct"/>
                  <w:vAlign w:val="center"/>
                </w:tcPr>
                <w:p w14:paraId="6E714430">
                  <w:pPr>
                    <w:pStyle w:val="55"/>
                    <w:rPr>
                      <w:color w:val="auto"/>
                    </w:rPr>
                  </w:pPr>
                  <w:r>
                    <w:rPr>
                      <w:rFonts w:hint="eastAsia"/>
                      <w:color w:val="auto"/>
                    </w:rPr>
                    <w:t xml:space="preserve">506.02 </w:t>
                  </w:r>
                </w:p>
              </w:tc>
              <w:tc>
                <w:tcPr>
                  <w:tcW w:w="472" w:type="pct"/>
                  <w:vAlign w:val="center"/>
                </w:tcPr>
                <w:p w14:paraId="0A51DA8E">
                  <w:pPr>
                    <w:pStyle w:val="55"/>
                    <w:rPr>
                      <w:color w:val="auto"/>
                    </w:rPr>
                  </w:pPr>
                  <w:r>
                    <w:rPr>
                      <w:rFonts w:hint="eastAsia"/>
                      <w:color w:val="auto"/>
                    </w:rPr>
                    <w:t xml:space="preserve">695.90 </w:t>
                  </w:r>
                </w:p>
              </w:tc>
            </w:tr>
            <w:tr w14:paraId="70109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498" w:type="pct"/>
                  <w:vAlign w:val="center"/>
                </w:tcPr>
                <w:p w14:paraId="2F5596B1">
                  <w:pPr>
                    <w:pStyle w:val="55"/>
                    <w:rPr>
                      <w:color w:val="auto"/>
                    </w:rPr>
                  </w:pPr>
                  <w:r>
                    <w:rPr>
                      <w:color w:val="auto"/>
                    </w:rPr>
                    <w:t>220-HB21S-J1</w:t>
                  </w:r>
                </w:p>
              </w:tc>
              <w:tc>
                <w:tcPr>
                  <w:tcW w:w="384" w:type="pct"/>
                  <w:vAlign w:val="center"/>
                </w:tcPr>
                <w:p w14:paraId="0182E3B1">
                  <w:pPr>
                    <w:pStyle w:val="55"/>
                    <w:rPr>
                      <w:color w:val="auto"/>
                    </w:rPr>
                  </w:pPr>
                  <w:r>
                    <w:rPr>
                      <w:color w:val="auto"/>
                    </w:rPr>
                    <w:t>27</w:t>
                  </w:r>
                </w:p>
              </w:tc>
              <w:tc>
                <w:tcPr>
                  <w:tcW w:w="404" w:type="pct"/>
                  <w:vAlign w:val="center"/>
                </w:tcPr>
                <w:p w14:paraId="15659EAF">
                  <w:pPr>
                    <w:pStyle w:val="55"/>
                    <w:rPr>
                      <w:color w:val="auto"/>
                    </w:rPr>
                  </w:pPr>
                  <w:r>
                    <w:rPr>
                      <w:color w:val="auto"/>
                    </w:rPr>
                    <w:t>2</w:t>
                  </w:r>
                </w:p>
              </w:tc>
              <w:tc>
                <w:tcPr>
                  <w:tcW w:w="456" w:type="pct"/>
                  <w:vAlign w:val="center"/>
                </w:tcPr>
                <w:p w14:paraId="76856332">
                  <w:pPr>
                    <w:pStyle w:val="55"/>
                    <w:rPr>
                      <w:color w:val="auto"/>
                    </w:rPr>
                  </w:pPr>
                  <w:r>
                    <w:rPr>
                      <w:color w:val="auto"/>
                    </w:rPr>
                    <w:t>10616</w:t>
                  </w:r>
                </w:p>
              </w:tc>
              <w:tc>
                <w:tcPr>
                  <w:tcW w:w="489" w:type="pct"/>
                  <w:vMerge w:val="continue"/>
                  <w:vAlign w:val="center"/>
                </w:tcPr>
                <w:p w14:paraId="763B6B06">
                  <w:pPr>
                    <w:pStyle w:val="55"/>
                    <w:rPr>
                      <w:color w:val="auto"/>
                    </w:rPr>
                  </w:pPr>
                </w:p>
              </w:tc>
              <w:tc>
                <w:tcPr>
                  <w:tcW w:w="611" w:type="pct"/>
                  <w:vAlign w:val="center"/>
                </w:tcPr>
                <w:p w14:paraId="6085BABE">
                  <w:pPr>
                    <w:pStyle w:val="55"/>
                    <w:rPr>
                      <w:color w:val="auto"/>
                    </w:rPr>
                  </w:pPr>
                  <w:r>
                    <w:rPr>
                      <w:color w:val="auto"/>
                    </w:rPr>
                    <w:t>Φ1400×16000</w:t>
                  </w:r>
                </w:p>
              </w:tc>
              <w:tc>
                <w:tcPr>
                  <w:tcW w:w="414" w:type="pct"/>
                  <w:vAlign w:val="center"/>
                </w:tcPr>
                <w:p w14:paraId="0559E4B7">
                  <w:pPr>
                    <w:pStyle w:val="55"/>
                    <w:rPr>
                      <w:color w:val="auto"/>
                    </w:rPr>
                  </w:pPr>
                  <w:r>
                    <w:rPr>
                      <w:color w:val="auto"/>
                    </w:rPr>
                    <w:t>22.4</w:t>
                  </w:r>
                </w:p>
              </w:tc>
              <w:tc>
                <w:tcPr>
                  <w:tcW w:w="414" w:type="pct"/>
                  <w:vAlign w:val="center"/>
                </w:tcPr>
                <w:p w14:paraId="64A80437">
                  <w:pPr>
                    <w:pStyle w:val="55"/>
                    <w:rPr>
                      <w:color w:val="auto"/>
                    </w:rPr>
                  </w:pPr>
                  <w:r>
                    <w:rPr>
                      <w:rFonts w:hint="eastAsia"/>
                      <w:color w:val="auto"/>
                    </w:rPr>
                    <w:t xml:space="preserve">169.42 </w:t>
                  </w:r>
                </w:p>
              </w:tc>
              <w:tc>
                <w:tcPr>
                  <w:tcW w:w="427" w:type="pct"/>
                  <w:vAlign w:val="center"/>
                </w:tcPr>
                <w:p w14:paraId="1CB6939D">
                  <w:pPr>
                    <w:pStyle w:val="55"/>
                    <w:rPr>
                      <w:color w:val="auto"/>
                    </w:rPr>
                  </w:pPr>
                  <w:r>
                    <w:rPr>
                      <w:rFonts w:hint="eastAsia"/>
                      <w:color w:val="auto"/>
                    </w:rPr>
                    <w:t xml:space="preserve">338.83 </w:t>
                  </w:r>
                </w:p>
              </w:tc>
              <w:tc>
                <w:tcPr>
                  <w:tcW w:w="427" w:type="pct"/>
                  <w:vAlign w:val="center"/>
                </w:tcPr>
                <w:p w14:paraId="2349BB83">
                  <w:pPr>
                    <w:pStyle w:val="55"/>
                    <w:rPr>
                      <w:color w:val="auto"/>
                    </w:rPr>
                  </w:pPr>
                  <w:r>
                    <w:rPr>
                      <w:rFonts w:hint="eastAsia"/>
                      <w:color w:val="auto"/>
                    </w:rPr>
                    <w:t xml:space="preserve">973.53 </w:t>
                  </w:r>
                </w:p>
              </w:tc>
              <w:tc>
                <w:tcPr>
                  <w:tcW w:w="472" w:type="pct"/>
                  <w:vAlign w:val="center"/>
                </w:tcPr>
                <w:p w14:paraId="5EAB6362">
                  <w:pPr>
                    <w:pStyle w:val="55"/>
                    <w:rPr>
                      <w:color w:val="auto"/>
                    </w:rPr>
                  </w:pPr>
                  <w:r>
                    <w:rPr>
                      <w:rFonts w:hint="eastAsia"/>
                      <w:color w:val="auto"/>
                    </w:rPr>
                    <w:t xml:space="preserve">1312.36 </w:t>
                  </w:r>
                </w:p>
              </w:tc>
            </w:tr>
            <w:tr w14:paraId="590AF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498" w:type="pct"/>
                  <w:vAlign w:val="center"/>
                </w:tcPr>
                <w:p w14:paraId="48357185">
                  <w:pPr>
                    <w:pStyle w:val="55"/>
                    <w:rPr>
                      <w:color w:val="auto"/>
                    </w:rPr>
                  </w:pPr>
                  <w:r>
                    <w:rPr>
                      <w:color w:val="auto"/>
                    </w:rPr>
                    <w:t>220-HB21S-J2</w:t>
                  </w:r>
                </w:p>
              </w:tc>
              <w:tc>
                <w:tcPr>
                  <w:tcW w:w="384" w:type="pct"/>
                  <w:vAlign w:val="center"/>
                </w:tcPr>
                <w:p w14:paraId="4550CCC3">
                  <w:pPr>
                    <w:pStyle w:val="55"/>
                    <w:rPr>
                      <w:color w:val="auto"/>
                    </w:rPr>
                  </w:pPr>
                  <w:r>
                    <w:rPr>
                      <w:color w:val="auto"/>
                    </w:rPr>
                    <w:t>27</w:t>
                  </w:r>
                </w:p>
              </w:tc>
              <w:tc>
                <w:tcPr>
                  <w:tcW w:w="404" w:type="pct"/>
                  <w:vAlign w:val="center"/>
                </w:tcPr>
                <w:p w14:paraId="47CC3FB0">
                  <w:pPr>
                    <w:pStyle w:val="55"/>
                    <w:rPr>
                      <w:color w:val="auto"/>
                    </w:rPr>
                  </w:pPr>
                  <w:r>
                    <w:rPr>
                      <w:color w:val="auto"/>
                    </w:rPr>
                    <w:t>1</w:t>
                  </w:r>
                </w:p>
              </w:tc>
              <w:tc>
                <w:tcPr>
                  <w:tcW w:w="456" w:type="pct"/>
                  <w:vAlign w:val="center"/>
                </w:tcPr>
                <w:p w14:paraId="01B41D88">
                  <w:pPr>
                    <w:pStyle w:val="55"/>
                    <w:rPr>
                      <w:color w:val="auto"/>
                    </w:rPr>
                  </w:pPr>
                  <w:r>
                    <w:rPr>
                      <w:color w:val="auto"/>
                    </w:rPr>
                    <w:t>11100</w:t>
                  </w:r>
                </w:p>
              </w:tc>
              <w:tc>
                <w:tcPr>
                  <w:tcW w:w="489" w:type="pct"/>
                  <w:vMerge w:val="continue"/>
                  <w:vAlign w:val="center"/>
                </w:tcPr>
                <w:p w14:paraId="75DD8EAB">
                  <w:pPr>
                    <w:pStyle w:val="55"/>
                    <w:rPr>
                      <w:color w:val="auto"/>
                    </w:rPr>
                  </w:pPr>
                </w:p>
              </w:tc>
              <w:tc>
                <w:tcPr>
                  <w:tcW w:w="611" w:type="pct"/>
                  <w:vAlign w:val="center"/>
                </w:tcPr>
                <w:p w14:paraId="4FB73307">
                  <w:pPr>
                    <w:pStyle w:val="55"/>
                    <w:rPr>
                      <w:color w:val="auto"/>
                    </w:rPr>
                  </w:pPr>
                  <w:r>
                    <w:rPr>
                      <w:color w:val="auto"/>
                    </w:rPr>
                    <w:t>Φ1400×18000</w:t>
                  </w:r>
                </w:p>
              </w:tc>
              <w:tc>
                <w:tcPr>
                  <w:tcW w:w="414" w:type="pct"/>
                  <w:vAlign w:val="center"/>
                </w:tcPr>
                <w:p w14:paraId="422D7C85">
                  <w:pPr>
                    <w:pStyle w:val="55"/>
                    <w:rPr>
                      <w:color w:val="auto"/>
                    </w:rPr>
                  </w:pPr>
                  <w:r>
                    <w:rPr>
                      <w:color w:val="auto"/>
                    </w:rPr>
                    <w:t>25.2</w:t>
                  </w:r>
                </w:p>
              </w:tc>
              <w:tc>
                <w:tcPr>
                  <w:tcW w:w="414" w:type="pct"/>
                  <w:vAlign w:val="center"/>
                </w:tcPr>
                <w:p w14:paraId="660EC026">
                  <w:pPr>
                    <w:pStyle w:val="55"/>
                    <w:rPr>
                      <w:color w:val="auto"/>
                    </w:rPr>
                  </w:pPr>
                  <w:r>
                    <w:rPr>
                      <w:rFonts w:hint="eastAsia"/>
                      <w:color w:val="auto"/>
                    </w:rPr>
                    <w:t xml:space="preserve">182.25 </w:t>
                  </w:r>
                </w:p>
              </w:tc>
              <w:tc>
                <w:tcPr>
                  <w:tcW w:w="427" w:type="pct"/>
                  <w:vAlign w:val="center"/>
                </w:tcPr>
                <w:p w14:paraId="5EEE56BB">
                  <w:pPr>
                    <w:pStyle w:val="55"/>
                    <w:rPr>
                      <w:color w:val="auto"/>
                    </w:rPr>
                  </w:pPr>
                  <w:r>
                    <w:rPr>
                      <w:rFonts w:hint="eastAsia"/>
                      <w:color w:val="auto"/>
                    </w:rPr>
                    <w:t xml:space="preserve">182.25 </w:t>
                  </w:r>
                </w:p>
              </w:tc>
              <w:tc>
                <w:tcPr>
                  <w:tcW w:w="427" w:type="pct"/>
                  <w:vAlign w:val="center"/>
                </w:tcPr>
                <w:p w14:paraId="78823778">
                  <w:pPr>
                    <w:pStyle w:val="55"/>
                    <w:rPr>
                      <w:color w:val="auto"/>
                    </w:rPr>
                  </w:pPr>
                  <w:r>
                    <w:rPr>
                      <w:rFonts w:hint="eastAsia"/>
                      <w:color w:val="auto"/>
                    </w:rPr>
                    <w:t xml:space="preserve">498.96 </w:t>
                  </w:r>
                </w:p>
              </w:tc>
              <w:tc>
                <w:tcPr>
                  <w:tcW w:w="472" w:type="pct"/>
                  <w:vAlign w:val="center"/>
                </w:tcPr>
                <w:p w14:paraId="3696FA3E">
                  <w:pPr>
                    <w:pStyle w:val="55"/>
                    <w:rPr>
                      <w:color w:val="auto"/>
                    </w:rPr>
                  </w:pPr>
                  <w:r>
                    <w:rPr>
                      <w:rFonts w:hint="eastAsia"/>
                      <w:color w:val="auto"/>
                    </w:rPr>
                    <w:t xml:space="preserve">681.21 </w:t>
                  </w:r>
                </w:p>
              </w:tc>
            </w:tr>
            <w:tr w14:paraId="703A8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498" w:type="pct"/>
                  <w:vAlign w:val="center"/>
                </w:tcPr>
                <w:p w14:paraId="156ED5E4">
                  <w:pPr>
                    <w:pStyle w:val="55"/>
                    <w:rPr>
                      <w:color w:val="auto"/>
                    </w:rPr>
                  </w:pPr>
                  <w:r>
                    <w:rPr>
                      <w:color w:val="auto"/>
                    </w:rPr>
                    <w:t>220-HB21S-J4</w:t>
                  </w:r>
                </w:p>
              </w:tc>
              <w:tc>
                <w:tcPr>
                  <w:tcW w:w="384" w:type="pct"/>
                  <w:vAlign w:val="center"/>
                </w:tcPr>
                <w:p w14:paraId="581040CD">
                  <w:pPr>
                    <w:pStyle w:val="55"/>
                    <w:rPr>
                      <w:color w:val="auto"/>
                    </w:rPr>
                  </w:pPr>
                  <w:r>
                    <w:rPr>
                      <w:color w:val="auto"/>
                    </w:rPr>
                    <w:t>27</w:t>
                  </w:r>
                </w:p>
              </w:tc>
              <w:tc>
                <w:tcPr>
                  <w:tcW w:w="404" w:type="pct"/>
                  <w:vAlign w:val="center"/>
                </w:tcPr>
                <w:p w14:paraId="0292E26D">
                  <w:pPr>
                    <w:pStyle w:val="55"/>
                    <w:rPr>
                      <w:color w:val="auto"/>
                    </w:rPr>
                  </w:pPr>
                  <w:r>
                    <w:rPr>
                      <w:color w:val="auto"/>
                    </w:rPr>
                    <w:t>2</w:t>
                  </w:r>
                </w:p>
              </w:tc>
              <w:tc>
                <w:tcPr>
                  <w:tcW w:w="456" w:type="pct"/>
                  <w:vAlign w:val="center"/>
                </w:tcPr>
                <w:p w14:paraId="58051CEE">
                  <w:pPr>
                    <w:pStyle w:val="55"/>
                    <w:rPr>
                      <w:color w:val="auto"/>
                    </w:rPr>
                  </w:pPr>
                  <w:r>
                    <w:rPr>
                      <w:color w:val="auto"/>
                    </w:rPr>
                    <w:t>12962</w:t>
                  </w:r>
                </w:p>
              </w:tc>
              <w:tc>
                <w:tcPr>
                  <w:tcW w:w="489" w:type="pct"/>
                  <w:vMerge w:val="continue"/>
                  <w:vAlign w:val="center"/>
                </w:tcPr>
                <w:p w14:paraId="5733AC2E">
                  <w:pPr>
                    <w:pStyle w:val="55"/>
                    <w:rPr>
                      <w:color w:val="auto"/>
                    </w:rPr>
                  </w:pPr>
                </w:p>
              </w:tc>
              <w:tc>
                <w:tcPr>
                  <w:tcW w:w="611" w:type="pct"/>
                  <w:vAlign w:val="center"/>
                </w:tcPr>
                <w:p w14:paraId="746149C2">
                  <w:pPr>
                    <w:pStyle w:val="55"/>
                    <w:rPr>
                      <w:color w:val="auto"/>
                    </w:rPr>
                  </w:pPr>
                  <w:r>
                    <w:rPr>
                      <w:color w:val="auto"/>
                    </w:rPr>
                    <w:t>Φ2000×20000</w:t>
                  </w:r>
                </w:p>
              </w:tc>
              <w:tc>
                <w:tcPr>
                  <w:tcW w:w="414" w:type="pct"/>
                  <w:vAlign w:val="center"/>
                </w:tcPr>
                <w:p w14:paraId="53578AA4">
                  <w:pPr>
                    <w:pStyle w:val="55"/>
                    <w:rPr>
                      <w:color w:val="auto"/>
                    </w:rPr>
                  </w:pPr>
                  <w:r>
                    <w:rPr>
                      <w:color w:val="auto"/>
                    </w:rPr>
                    <w:t>40</w:t>
                  </w:r>
                </w:p>
              </w:tc>
              <w:tc>
                <w:tcPr>
                  <w:tcW w:w="414" w:type="pct"/>
                  <w:vAlign w:val="center"/>
                </w:tcPr>
                <w:p w14:paraId="606E9675">
                  <w:pPr>
                    <w:pStyle w:val="55"/>
                    <w:rPr>
                      <w:color w:val="auto"/>
                    </w:rPr>
                  </w:pPr>
                  <w:r>
                    <w:rPr>
                      <w:rFonts w:hint="eastAsia"/>
                      <w:color w:val="auto"/>
                    </w:rPr>
                    <w:t xml:space="preserve">235.99 </w:t>
                  </w:r>
                </w:p>
              </w:tc>
              <w:tc>
                <w:tcPr>
                  <w:tcW w:w="427" w:type="pct"/>
                  <w:vAlign w:val="center"/>
                </w:tcPr>
                <w:p w14:paraId="0D8F0164">
                  <w:pPr>
                    <w:pStyle w:val="55"/>
                    <w:rPr>
                      <w:color w:val="auto"/>
                    </w:rPr>
                  </w:pPr>
                  <w:r>
                    <w:rPr>
                      <w:rFonts w:hint="eastAsia"/>
                      <w:color w:val="auto"/>
                    </w:rPr>
                    <w:t xml:space="preserve">471.98 </w:t>
                  </w:r>
                </w:p>
              </w:tc>
              <w:tc>
                <w:tcPr>
                  <w:tcW w:w="427" w:type="pct"/>
                  <w:vAlign w:val="center"/>
                </w:tcPr>
                <w:p w14:paraId="4235089C">
                  <w:pPr>
                    <w:pStyle w:val="55"/>
                    <w:rPr>
                      <w:color w:val="auto"/>
                    </w:rPr>
                  </w:pPr>
                  <w:r>
                    <w:rPr>
                      <w:rFonts w:hint="eastAsia"/>
                      <w:color w:val="auto"/>
                    </w:rPr>
                    <w:t xml:space="preserve">1091.76 </w:t>
                  </w:r>
                </w:p>
              </w:tc>
              <w:tc>
                <w:tcPr>
                  <w:tcW w:w="472" w:type="pct"/>
                  <w:vAlign w:val="center"/>
                </w:tcPr>
                <w:p w14:paraId="079813C1">
                  <w:pPr>
                    <w:pStyle w:val="55"/>
                    <w:rPr>
                      <w:color w:val="auto"/>
                    </w:rPr>
                  </w:pPr>
                  <w:r>
                    <w:rPr>
                      <w:rFonts w:hint="eastAsia"/>
                      <w:color w:val="auto"/>
                    </w:rPr>
                    <w:t xml:space="preserve">1563.75 </w:t>
                  </w:r>
                </w:p>
              </w:tc>
            </w:tr>
            <w:tr w14:paraId="26399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498" w:type="pct"/>
                  <w:vAlign w:val="center"/>
                </w:tcPr>
                <w:p w14:paraId="104FE046">
                  <w:pPr>
                    <w:pStyle w:val="55"/>
                    <w:rPr>
                      <w:color w:val="auto"/>
                    </w:rPr>
                  </w:pPr>
                  <w:r>
                    <w:rPr>
                      <w:color w:val="auto"/>
                    </w:rPr>
                    <w:t>220-HB21S-J4K</w:t>
                  </w:r>
                </w:p>
              </w:tc>
              <w:tc>
                <w:tcPr>
                  <w:tcW w:w="384" w:type="pct"/>
                  <w:vAlign w:val="center"/>
                </w:tcPr>
                <w:p w14:paraId="635B8836">
                  <w:pPr>
                    <w:pStyle w:val="55"/>
                    <w:rPr>
                      <w:color w:val="auto"/>
                    </w:rPr>
                  </w:pPr>
                  <w:r>
                    <w:rPr>
                      <w:color w:val="auto"/>
                    </w:rPr>
                    <w:t>30</w:t>
                  </w:r>
                </w:p>
              </w:tc>
              <w:tc>
                <w:tcPr>
                  <w:tcW w:w="404" w:type="pct"/>
                  <w:vAlign w:val="center"/>
                </w:tcPr>
                <w:p w14:paraId="498574F4">
                  <w:pPr>
                    <w:pStyle w:val="55"/>
                    <w:rPr>
                      <w:color w:val="auto"/>
                    </w:rPr>
                  </w:pPr>
                  <w:r>
                    <w:rPr>
                      <w:color w:val="auto"/>
                    </w:rPr>
                    <w:t>1</w:t>
                  </w:r>
                </w:p>
              </w:tc>
              <w:tc>
                <w:tcPr>
                  <w:tcW w:w="456" w:type="pct"/>
                  <w:vAlign w:val="center"/>
                </w:tcPr>
                <w:p w14:paraId="1FE49FB7">
                  <w:pPr>
                    <w:pStyle w:val="55"/>
                    <w:rPr>
                      <w:color w:val="auto"/>
                    </w:rPr>
                  </w:pPr>
                  <w:r>
                    <w:rPr>
                      <w:color w:val="auto"/>
                    </w:rPr>
                    <w:t>14042</w:t>
                  </w:r>
                </w:p>
              </w:tc>
              <w:tc>
                <w:tcPr>
                  <w:tcW w:w="489" w:type="pct"/>
                  <w:vMerge w:val="continue"/>
                  <w:vAlign w:val="center"/>
                </w:tcPr>
                <w:p w14:paraId="20CFF89D">
                  <w:pPr>
                    <w:pStyle w:val="55"/>
                    <w:rPr>
                      <w:color w:val="auto"/>
                    </w:rPr>
                  </w:pPr>
                </w:p>
              </w:tc>
              <w:tc>
                <w:tcPr>
                  <w:tcW w:w="611" w:type="pct"/>
                  <w:vAlign w:val="center"/>
                </w:tcPr>
                <w:p w14:paraId="65815D4C">
                  <w:pPr>
                    <w:pStyle w:val="55"/>
                    <w:rPr>
                      <w:color w:val="auto"/>
                    </w:rPr>
                  </w:pPr>
                  <w:r>
                    <w:rPr>
                      <w:color w:val="auto"/>
                    </w:rPr>
                    <w:t>Φ1400×16000</w:t>
                  </w:r>
                </w:p>
              </w:tc>
              <w:tc>
                <w:tcPr>
                  <w:tcW w:w="414" w:type="pct"/>
                  <w:vAlign w:val="center"/>
                </w:tcPr>
                <w:p w14:paraId="2EE52AA4">
                  <w:pPr>
                    <w:pStyle w:val="55"/>
                    <w:rPr>
                      <w:color w:val="auto"/>
                    </w:rPr>
                  </w:pPr>
                  <w:r>
                    <w:rPr>
                      <w:color w:val="auto"/>
                    </w:rPr>
                    <w:t>22.4</w:t>
                  </w:r>
                </w:p>
              </w:tc>
              <w:tc>
                <w:tcPr>
                  <w:tcW w:w="414" w:type="pct"/>
                  <w:vAlign w:val="center"/>
                </w:tcPr>
                <w:p w14:paraId="28A19CFD">
                  <w:pPr>
                    <w:pStyle w:val="55"/>
                    <w:rPr>
                      <w:color w:val="auto"/>
                    </w:rPr>
                  </w:pPr>
                  <w:r>
                    <w:rPr>
                      <w:rFonts w:hint="eastAsia"/>
                      <w:color w:val="auto"/>
                    </w:rPr>
                    <w:t xml:space="preserve">270.34 </w:t>
                  </w:r>
                </w:p>
              </w:tc>
              <w:tc>
                <w:tcPr>
                  <w:tcW w:w="427" w:type="pct"/>
                  <w:vAlign w:val="center"/>
                </w:tcPr>
                <w:p w14:paraId="5B104D5B">
                  <w:pPr>
                    <w:pStyle w:val="55"/>
                    <w:rPr>
                      <w:color w:val="auto"/>
                    </w:rPr>
                  </w:pPr>
                  <w:r>
                    <w:rPr>
                      <w:rFonts w:hint="eastAsia"/>
                      <w:color w:val="auto"/>
                    </w:rPr>
                    <w:t xml:space="preserve">270.34 </w:t>
                  </w:r>
                </w:p>
              </w:tc>
              <w:tc>
                <w:tcPr>
                  <w:tcW w:w="427" w:type="pct"/>
                  <w:vAlign w:val="center"/>
                </w:tcPr>
                <w:p w14:paraId="1B7485C9">
                  <w:pPr>
                    <w:pStyle w:val="55"/>
                    <w:rPr>
                      <w:color w:val="auto"/>
                    </w:rPr>
                  </w:pPr>
                  <w:r>
                    <w:rPr>
                      <w:rFonts w:hint="eastAsia"/>
                      <w:color w:val="auto"/>
                    </w:rPr>
                    <w:t xml:space="preserve">573.10 </w:t>
                  </w:r>
                </w:p>
              </w:tc>
              <w:tc>
                <w:tcPr>
                  <w:tcW w:w="472" w:type="pct"/>
                  <w:vAlign w:val="center"/>
                </w:tcPr>
                <w:p w14:paraId="603D2ECF">
                  <w:pPr>
                    <w:pStyle w:val="55"/>
                    <w:rPr>
                      <w:color w:val="auto"/>
                    </w:rPr>
                  </w:pPr>
                  <w:r>
                    <w:rPr>
                      <w:rFonts w:hint="eastAsia"/>
                      <w:color w:val="auto"/>
                    </w:rPr>
                    <w:t xml:space="preserve">843.44 </w:t>
                  </w:r>
                </w:p>
              </w:tc>
            </w:tr>
            <w:tr w14:paraId="24F05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498" w:type="pct"/>
                  <w:vAlign w:val="center"/>
                </w:tcPr>
                <w:p w14:paraId="0B53A415">
                  <w:pPr>
                    <w:pStyle w:val="55"/>
                    <w:rPr>
                      <w:color w:val="auto"/>
                    </w:rPr>
                  </w:pPr>
                  <w:r>
                    <w:rPr>
                      <w:color w:val="auto"/>
                    </w:rPr>
                    <w:t>220-HB21S-DL</w:t>
                  </w:r>
                </w:p>
              </w:tc>
              <w:tc>
                <w:tcPr>
                  <w:tcW w:w="384" w:type="pct"/>
                  <w:vAlign w:val="center"/>
                </w:tcPr>
                <w:p w14:paraId="22CA73B3">
                  <w:pPr>
                    <w:pStyle w:val="55"/>
                    <w:rPr>
                      <w:color w:val="auto"/>
                    </w:rPr>
                  </w:pPr>
                  <w:r>
                    <w:rPr>
                      <w:color w:val="auto"/>
                    </w:rPr>
                    <w:t>27</w:t>
                  </w:r>
                </w:p>
              </w:tc>
              <w:tc>
                <w:tcPr>
                  <w:tcW w:w="404" w:type="pct"/>
                  <w:vAlign w:val="center"/>
                </w:tcPr>
                <w:p w14:paraId="4BC56B19">
                  <w:pPr>
                    <w:pStyle w:val="55"/>
                    <w:rPr>
                      <w:color w:val="auto"/>
                    </w:rPr>
                  </w:pPr>
                  <w:r>
                    <w:rPr>
                      <w:color w:val="auto"/>
                    </w:rPr>
                    <w:t>2</w:t>
                  </w:r>
                </w:p>
              </w:tc>
              <w:tc>
                <w:tcPr>
                  <w:tcW w:w="456" w:type="pct"/>
                  <w:vAlign w:val="center"/>
                </w:tcPr>
                <w:p w14:paraId="6FAA8C73">
                  <w:pPr>
                    <w:pStyle w:val="55"/>
                    <w:rPr>
                      <w:color w:val="auto"/>
                    </w:rPr>
                  </w:pPr>
                  <w:r>
                    <w:rPr>
                      <w:color w:val="auto"/>
                    </w:rPr>
                    <w:t>12962</w:t>
                  </w:r>
                </w:p>
              </w:tc>
              <w:tc>
                <w:tcPr>
                  <w:tcW w:w="489" w:type="pct"/>
                  <w:vMerge w:val="continue"/>
                  <w:vAlign w:val="center"/>
                </w:tcPr>
                <w:p w14:paraId="7CDB06F8">
                  <w:pPr>
                    <w:pStyle w:val="55"/>
                    <w:rPr>
                      <w:color w:val="auto"/>
                    </w:rPr>
                  </w:pPr>
                </w:p>
              </w:tc>
              <w:tc>
                <w:tcPr>
                  <w:tcW w:w="611" w:type="pct"/>
                  <w:vAlign w:val="center"/>
                </w:tcPr>
                <w:p w14:paraId="79A74736">
                  <w:pPr>
                    <w:pStyle w:val="55"/>
                    <w:rPr>
                      <w:color w:val="auto"/>
                    </w:rPr>
                  </w:pPr>
                  <w:r>
                    <w:rPr>
                      <w:color w:val="auto"/>
                    </w:rPr>
                    <w:t>Φ2000×20000</w:t>
                  </w:r>
                </w:p>
              </w:tc>
              <w:tc>
                <w:tcPr>
                  <w:tcW w:w="414" w:type="pct"/>
                  <w:vAlign w:val="center"/>
                </w:tcPr>
                <w:p w14:paraId="2163CAD8">
                  <w:pPr>
                    <w:pStyle w:val="55"/>
                    <w:rPr>
                      <w:color w:val="auto"/>
                    </w:rPr>
                  </w:pPr>
                  <w:r>
                    <w:rPr>
                      <w:color w:val="auto"/>
                    </w:rPr>
                    <w:t>40</w:t>
                  </w:r>
                </w:p>
              </w:tc>
              <w:tc>
                <w:tcPr>
                  <w:tcW w:w="414" w:type="pct"/>
                  <w:vAlign w:val="center"/>
                </w:tcPr>
                <w:p w14:paraId="0C698D6C">
                  <w:pPr>
                    <w:pStyle w:val="55"/>
                    <w:rPr>
                      <w:color w:val="auto"/>
                    </w:rPr>
                  </w:pPr>
                  <w:r>
                    <w:rPr>
                      <w:rFonts w:hint="eastAsia"/>
                      <w:color w:val="auto"/>
                    </w:rPr>
                    <w:t xml:space="preserve">235.99 </w:t>
                  </w:r>
                </w:p>
              </w:tc>
              <w:tc>
                <w:tcPr>
                  <w:tcW w:w="427" w:type="pct"/>
                  <w:vAlign w:val="center"/>
                </w:tcPr>
                <w:p w14:paraId="4863309D">
                  <w:pPr>
                    <w:pStyle w:val="55"/>
                    <w:rPr>
                      <w:color w:val="auto"/>
                    </w:rPr>
                  </w:pPr>
                  <w:r>
                    <w:rPr>
                      <w:rFonts w:hint="eastAsia"/>
                      <w:color w:val="auto"/>
                    </w:rPr>
                    <w:t xml:space="preserve">471.98 </w:t>
                  </w:r>
                </w:p>
              </w:tc>
              <w:tc>
                <w:tcPr>
                  <w:tcW w:w="427" w:type="pct"/>
                  <w:vAlign w:val="center"/>
                </w:tcPr>
                <w:p w14:paraId="204CE2B6">
                  <w:pPr>
                    <w:pStyle w:val="55"/>
                    <w:rPr>
                      <w:color w:val="auto"/>
                    </w:rPr>
                  </w:pPr>
                  <w:r>
                    <w:rPr>
                      <w:rFonts w:hint="eastAsia"/>
                      <w:color w:val="auto"/>
                    </w:rPr>
                    <w:t xml:space="preserve">1091.76 </w:t>
                  </w:r>
                </w:p>
              </w:tc>
              <w:tc>
                <w:tcPr>
                  <w:tcW w:w="472" w:type="pct"/>
                  <w:vAlign w:val="center"/>
                </w:tcPr>
                <w:p w14:paraId="40A21444">
                  <w:pPr>
                    <w:pStyle w:val="55"/>
                    <w:rPr>
                      <w:color w:val="auto"/>
                    </w:rPr>
                  </w:pPr>
                  <w:r>
                    <w:rPr>
                      <w:rFonts w:hint="eastAsia"/>
                      <w:color w:val="auto"/>
                    </w:rPr>
                    <w:t xml:space="preserve">1563.75 </w:t>
                  </w:r>
                </w:p>
              </w:tc>
            </w:tr>
            <w:tr w14:paraId="0AA69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498" w:type="pct"/>
                  <w:vAlign w:val="center"/>
                </w:tcPr>
                <w:p w14:paraId="346EE03C">
                  <w:pPr>
                    <w:pStyle w:val="55"/>
                    <w:rPr>
                      <w:color w:val="auto"/>
                    </w:rPr>
                  </w:pPr>
                  <w:r>
                    <w:rPr>
                      <w:color w:val="auto"/>
                    </w:rPr>
                    <w:t>220-HB21S-DJ</w:t>
                  </w:r>
                </w:p>
              </w:tc>
              <w:tc>
                <w:tcPr>
                  <w:tcW w:w="384" w:type="pct"/>
                  <w:vAlign w:val="center"/>
                </w:tcPr>
                <w:p w14:paraId="1C9D2F65">
                  <w:pPr>
                    <w:pStyle w:val="55"/>
                    <w:rPr>
                      <w:color w:val="auto"/>
                    </w:rPr>
                  </w:pPr>
                  <w:r>
                    <w:rPr>
                      <w:color w:val="auto"/>
                    </w:rPr>
                    <w:t>30</w:t>
                  </w:r>
                </w:p>
              </w:tc>
              <w:tc>
                <w:tcPr>
                  <w:tcW w:w="404" w:type="pct"/>
                  <w:vAlign w:val="center"/>
                </w:tcPr>
                <w:p w14:paraId="5530081D">
                  <w:pPr>
                    <w:pStyle w:val="55"/>
                    <w:rPr>
                      <w:color w:val="auto"/>
                    </w:rPr>
                  </w:pPr>
                  <w:r>
                    <w:rPr>
                      <w:color w:val="auto"/>
                    </w:rPr>
                    <w:t>1</w:t>
                  </w:r>
                </w:p>
              </w:tc>
              <w:tc>
                <w:tcPr>
                  <w:tcW w:w="456" w:type="pct"/>
                  <w:vAlign w:val="center"/>
                </w:tcPr>
                <w:p w14:paraId="2EB412E2">
                  <w:pPr>
                    <w:pStyle w:val="55"/>
                    <w:rPr>
                      <w:color w:val="auto"/>
                    </w:rPr>
                  </w:pPr>
                  <w:r>
                    <w:rPr>
                      <w:color w:val="auto"/>
                    </w:rPr>
                    <w:t>14042</w:t>
                  </w:r>
                </w:p>
              </w:tc>
              <w:tc>
                <w:tcPr>
                  <w:tcW w:w="489" w:type="pct"/>
                  <w:vMerge w:val="continue"/>
                  <w:vAlign w:val="center"/>
                </w:tcPr>
                <w:p w14:paraId="4D45337B">
                  <w:pPr>
                    <w:pStyle w:val="55"/>
                    <w:rPr>
                      <w:color w:val="auto"/>
                    </w:rPr>
                  </w:pPr>
                </w:p>
              </w:tc>
              <w:tc>
                <w:tcPr>
                  <w:tcW w:w="611" w:type="pct"/>
                  <w:vAlign w:val="center"/>
                </w:tcPr>
                <w:p w14:paraId="72D4C52E">
                  <w:pPr>
                    <w:pStyle w:val="55"/>
                    <w:rPr>
                      <w:color w:val="auto"/>
                    </w:rPr>
                  </w:pPr>
                  <w:r>
                    <w:rPr>
                      <w:color w:val="auto"/>
                    </w:rPr>
                    <w:t>Φ1400×21000</w:t>
                  </w:r>
                </w:p>
              </w:tc>
              <w:tc>
                <w:tcPr>
                  <w:tcW w:w="414" w:type="pct"/>
                  <w:vAlign w:val="center"/>
                </w:tcPr>
                <w:p w14:paraId="679D6B32">
                  <w:pPr>
                    <w:pStyle w:val="55"/>
                    <w:rPr>
                      <w:color w:val="auto"/>
                    </w:rPr>
                  </w:pPr>
                  <w:r>
                    <w:rPr>
                      <w:color w:val="auto"/>
                    </w:rPr>
                    <w:t>29.4</w:t>
                  </w:r>
                </w:p>
              </w:tc>
              <w:tc>
                <w:tcPr>
                  <w:tcW w:w="414" w:type="pct"/>
                  <w:vAlign w:val="center"/>
                </w:tcPr>
                <w:p w14:paraId="1D26562D">
                  <w:pPr>
                    <w:pStyle w:val="55"/>
                    <w:rPr>
                      <w:color w:val="auto"/>
                    </w:rPr>
                  </w:pPr>
                  <w:r>
                    <w:rPr>
                      <w:rFonts w:hint="eastAsia"/>
                      <w:color w:val="auto"/>
                    </w:rPr>
                    <w:t xml:space="preserve">270.34 </w:t>
                  </w:r>
                </w:p>
              </w:tc>
              <w:tc>
                <w:tcPr>
                  <w:tcW w:w="427" w:type="pct"/>
                  <w:vAlign w:val="center"/>
                </w:tcPr>
                <w:p w14:paraId="62C4BD3C">
                  <w:pPr>
                    <w:pStyle w:val="55"/>
                    <w:rPr>
                      <w:color w:val="auto"/>
                    </w:rPr>
                  </w:pPr>
                  <w:r>
                    <w:rPr>
                      <w:rFonts w:hint="eastAsia"/>
                      <w:color w:val="auto"/>
                    </w:rPr>
                    <w:t xml:space="preserve">270.34 </w:t>
                  </w:r>
                </w:p>
              </w:tc>
              <w:tc>
                <w:tcPr>
                  <w:tcW w:w="427" w:type="pct"/>
                  <w:vAlign w:val="center"/>
                </w:tcPr>
                <w:p w14:paraId="309C8C2D">
                  <w:pPr>
                    <w:pStyle w:val="55"/>
                    <w:rPr>
                      <w:color w:val="auto"/>
                    </w:rPr>
                  </w:pPr>
                  <w:r>
                    <w:rPr>
                      <w:rFonts w:hint="eastAsia"/>
                      <w:color w:val="auto"/>
                    </w:rPr>
                    <w:t xml:space="preserve">573.10 </w:t>
                  </w:r>
                </w:p>
              </w:tc>
              <w:tc>
                <w:tcPr>
                  <w:tcW w:w="472" w:type="pct"/>
                  <w:vAlign w:val="center"/>
                </w:tcPr>
                <w:p w14:paraId="00BA6AFA">
                  <w:pPr>
                    <w:pStyle w:val="55"/>
                    <w:rPr>
                      <w:color w:val="auto"/>
                    </w:rPr>
                  </w:pPr>
                  <w:r>
                    <w:rPr>
                      <w:rFonts w:hint="eastAsia"/>
                      <w:color w:val="auto"/>
                    </w:rPr>
                    <w:t xml:space="preserve">843.44 </w:t>
                  </w:r>
                </w:p>
              </w:tc>
            </w:tr>
            <w:tr w14:paraId="7D071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498" w:type="pct"/>
                  <w:vAlign w:val="center"/>
                </w:tcPr>
                <w:p w14:paraId="33FC5603">
                  <w:pPr>
                    <w:pStyle w:val="55"/>
                    <w:rPr>
                      <w:color w:val="auto"/>
                    </w:rPr>
                  </w:pPr>
                  <w:r>
                    <w:rPr>
                      <w:color w:val="auto"/>
                    </w:rPr>
                    <w:t>220-HB21S-DJK</w:t>
                  </w:r>
                </w:p>
              </w:tc>
              <w:tc>
                <w:tcPr>
                  <w:tcW w:w="384" w:type="pct"/>
                  <w:vAlign w:val="center"/>
                </w:tcPr>
                <w:p w14:paraId="727C8319">
                  <w:pPr>
                    <w:pStyle w:val="55"/>
                    <w:rPr>
                      <w:color w:val="auto"/>
                    </w:rPr>
                  </w:pPr>
                  <w:r>
                    <w:rPr>
                      <w:color w:val="auto"/>
                    </w:rPr>
                    <w:t>30</w:t>
                  </w:r>
                </w:p>
              </w:tc>
              <w:tc>
                <w:tcPr>
                  <w:tcW w:w="404" w:type="pct"/>
                  <w:vAlign w:val="center"/>
                </w:tcPr>
                <w:p w14:paraId="2DBE3BA6">
                  <w:pPr>
                    <w:pStyle w:val="55"/>
                    <w:rPr>
                      <w:color w:val="auto"/>
                    </w:rPr>
                  </w:pPr>
                  <w:r>
                    <w:rPr>
                      <w:color w:val="auto"/>
                    </w:rPr>
                    <w:t>1</w:t>
                  </w:r>
                </w:p>
              </w:tc>
              <w:tc>
                <w:tcPr>
                  <w:tcW w:w="456" w:type="pct"/>
                  <w:vAlign w:val="center"/>
                </w:tcPr>
                <w:p w14:paraId="76031E34">
                  <w:pPr>
                    <w:pStyle w:val="55"/>
                    <w:rPr>
                      <w:color w:val="auto"/>
                    </w:rPr>
                  </w:pPr>
                  <w:r>
                    <w:rPr>
                      <w:color w:val="auto"/>
                    </w:rPr>
                    <w:t>14042</w:t>
                  </w:r>
                </w:p>
              </w:tc>
              <w:tc>
                <w:tcPr>
                  <w:tcW w:w="489" w:type="pct"/>
                  <w:vMerge w:val="continue"/>
                  <w:vAlign w:val="center"/>
                </w:tcPr>
                <w:p w14:paraId="70AA94FE">
                  <w:pPr>
                    <w:pStyle w:val="55"/>
                    <w:rPr>
                      <w:color w:val="auto"/>
                    </w:rPr>
                  </w:pPr>
                </w:p>
              </w:tc>
              <w:tc>
                <w:tcPr>
                  <w:tcW w:w="611" w:type="pct"/>
                  <w:vAlign w:val="center"/>
                </w:tcPr>
                <w:p w14:paraId="5B22C7E3">
                  <w:pPr>
                    <w:pStyle w:val="55"/>
                    <w:rPr>
                      <w:color w:val="auto"/>
                    </w:rPr>
                  </w:pPr>
                  <w:r>
                    <w:rPr>
                      <w:color w:val="auto"/>
                    </w:rPr>
                    <w:t>Φ1400×16000</w:t>
                  </w:r>
                </w:p>
              </w:tc>
              <w:tc>
                <w:tcPr>
                  <w:tcW w:w="414" w:type="pct"/>
                  <w:vAlign w:val="center"/>
                </w:tcPr>
                <w:p w14:paraId="605B33CB">
                  <w:pPr>
                    <w:pStyle w:val="55"/>
                    <w:rPr>
                      <w:color w:val="auto"/>
                    </w:rPr>
                  </w:pPr>
                  <w:r>
                    <w:rPr>
                      <w:color w:val="auto"/>
                    </w:rPr>
                    <w:t>22.4</w:t>
                  </w:r>
                </w:p>
              </w:tc>
              <w:tc>
                <w:tcPr>
                  <w:tcW w:w="414" w:type="pct"/>
                  <w:vAlign w:val="center"/>
                </w:tcPr>
                <w:p w14:paraId="25DED4E7">
                  <w:pPr>
                    <w:pStyle w:val="55"/>
                    <w:rPr>
                      <w:color w:val="auto"/>
                    </w:rPr>
                  </w:pPr>
                  <w:r>
                    <w:rPr>
                      <w:rFonts w:hint="eastAsia"/>
                      <w:color w:val="auto"/>
                    </w:rPr>
                    <w:t xml:space="preserve">270.34 </w:t>
                  </w:r>
                </w:p>
              </w:tc>
              <w:tc>
                <w:tcPr>
                  <w:tcW w:w="427" w:type="pct"/>
                  <w:vAlign w:val="center"/>
                </w:tcPr>
                <w:p w14:paraId="709A79CE">
                  <w:pPr>
                    <w:pStyle w:val="55"/>
                    <w:rPr>
                      <w:color w:val="auto"/>
                    </w:rPr>
                  </w:pPr>
                  <w:r>
                    <w:rPr>
                      <w:rFonts w:hint="eastAsia"/>
                      <w:color w:val="auto"/>
                    </w:rPr>
                    <w:t xml:space="preserve">270.34 </w:t>
                  </w:r>
                </w:p>
              </w:tc>
              <w:tc>
                <w:tcPr>
                  <w:tcW w:w="427" w:type="pct"/>
                  <w:vAlign w:val="center"/>
                </w:tcPr>
                <w:p w14:paraId="713FD682">
                  <w:pPr>
                    <w:pStyle w:val="55"/>
                    <w:rPr>
                      <w:color w:val="auto"/>
                    </w:rPr>
                  </w:pPr>
                  <w:r>
                    <w:rPr>
                      <w:rFonts w:hint="eastAsia"/>
                      <w:color w:val="auto"/>
                    </w:rPr>
                    <w:t xml:space="preserve">573.10 </w:t>
                  </w:r>
                </w:p>
              </w:tc>
              <w:tc>
                <w:tcPr>
                  <w:tcW w:w="472" w:type="pct"/>
                  <w:vAlign w:val="center"/>
                </w:tcPr>
                <w:p w14:paraId="3915310A">
                  <w:pPr>
                    <w:pStyle w:val="55"/>
                    <w:rPr>
                      <w:color w:val="auto"/>
                    </w:rPr>
                  </w:pPr>
                  <w:r>
                    <w:rPr>
                      <w:rFonts w:hint="eastAsia"/>
                      <w:color w:val="auto"/>
                    </w:rPr>
                    <w:t xml:space="preserve">843.44 </w:t>
                  </w:r>
                </w:p>
              </w:tc>
            </w:tr>
            <w:tr w14:paraId="54960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498" w:type="pct"/>
                  <w:vAlign w:val="center"/>
                </w:tcPr>
                <w:p w14:paraId="132B665C">
                  <w:pPr>
                    <w:pStyle w:val="55"/>
                    <w:rPr>
                      <w:color w:val="auto"/>
                    </w:rPr>
                  </w:pPr>
                  <w:r>
                    <w:rPr>
                      <w:color w:val="auto"/>
                    </w:rPr>
                    <w:t>220-HB21GS-DJ</w:t>
                  </w:r>
                </w:p>
              </w:tc>
              <w:tc>
                <w:tcPr>
                  <w:tcW w:w="384" w:type="pct"/>
                  <w:vAlign w:val="center"/>
                </w:tcPr>
                <w:p w14:paraId="03029E15">
                  <w:pPr>
                    <w:pStyle w:val="55"/>
                    <w:rPr>
                      <w:color w:val="auto"/>
                    </w:rPr>
                  </w:pPr>
                  <w:r>
                    <w:rPr>
                      <w:color w:val="auto"/>
                    </w:rPr>
                    <w:t>27</w:t>
                  </w:r>
                </w:p>
              </w:tc>
              <w:tc>
                <w:tcPr>
                  <w:tcW w:w="404" w:type="pct"/>
                  <w:vAlign w:val="center"/>
                </w:tcPr>
                <w:p w14:paraId="16774A1F">
                  <w:pPr>
                    <w:pStyle w:val="55"/>
                    <w:rPr>
                      <w:color w:val="auto"/>
                    </w:rPr>
                  </w:pPr>
                  <w:r>
                    <w:rPr>
                      <w:color w:val="auto"/>
                    </w:rPr>
                    <w:t>1</w:t>
                  </w:r>
                </w:p>
              </w:tc>
              <w:tc>
                <w:tcPr>
                  <w:tcW w:w="456" w:type="pct"/>
                  <w:vAlign w:val="center"/>
                </w:tcPr>
                <w:p w14:paraId="79634D78">
                  <w:pPr>
                    <w:pStyle w:val="55"/>
                    <w:rPr>
                      <w:color w:val="auto"/>
                    </w:rPr>
                  </w:pPr>
                  <w:r>
                    <w:rPr>
                      <w:color w:val="auto"/>
                    </w:rPr>
                    <w:t>2120</w:t>
                  </w:r>
                </w:p>
              </w:tc>
              <w:tc>
                <w:tcPr>
                  <w:tcW w:w="489" w:type="pct"/>
                  <w:vAlign w:val="center"/>
                </w:tcPr>
                <w:p w14:paraId="719FED00">
                  <w:pPr>
                    <w:pStyle w:val="55"/>
                    <w:rPr>
                      <w:color w:val="auto"/>
                    </w:rPr>
                  </w:pPr>
                  <w:r>
                    <w:rPr>
                      <w:rFonts w:hint="eastAsia"/>
                      <w:color w:val="auto"/>
                    </w:rPr>
                    <w:t>4桩承台（钢管杆）</w:t>
                  </w:r>
                </w:p>
              </w:tc>
              <w:tc>
                <w:tcPr>
                  <w:tcW w:w="611" w:type="pct"/>
                  <w:vAlign w:val="center"/>
                </w:tcPr>
                <w:p w14:paraId="1F54154F">
                  <w:pPr>
                    <w:pStyle w:val="55"/>
                    <w:rPr>
                      <w:color w:val="auto"/>
                    </w:rPr>
                  </w:pPr>
                  <w:r>
                    <w:rPr>
                      <w:color w:val="auto"/>
                    </w:rPr>
                    <w:t>Φ1400×18000</w:t>
                  </w:r>
                </w:p>
              </w:tc>
              <w:tc>
                <w:tcPr>
                  <w:tcW w:w="414" w:type="pct"/>
                  <w:vAlign w:val="center"/>
                </w:tcPr>
                <w:p w14:paraId="77C2385C">
                  <w:pPr>
                    <w:pStyle w:val="55"/>
                    <w:rPr>
                      <w:color w:val="auto"/>
                    </w:rPr>
                  </w:pPr>
                  <w:r>
                    <w:rPr>
                      <w:color w:val="auto"/>
                    </w:rPr>
                    <w:t>25.2</w:t>
                  </w:r>
                </w:p>
              </w:tc>
              <w:tc>
                <w:tcPr>
                  <w:tcW w:w="414" w:type="pct"/>
                  <w:vAlign w:val="center"/>
                </w:tcPr>
                <w:p w14:paraId="70F91841">
                  <w:pPr>
                    <w:pStyle w:val="55"/>
                    <w:rPr>
                      <w:color w:val="auto"/>
                    </w:rPr>
                  </w:pPr>
                  <w:r>
                    <w:rPr>
                      <w:rFonts w:hint="eastAsia"/>
                      <w:color w:val="auto"/>
                    </w:rPr>
                    <w:t xml:space="preserve">9.00 </w:t>
                  </w:r>
                </w:p>
              </w:tc>
              <w:tc>
                <w:tcPr>
                  <w:tcW w:w="427" w:type="pct"/>
                  <w:vAlign w:val="center"/>
                </w:tcPr>
                <w:p w14:paraId="1F24791D">
                  <w:pPr>
                    <w:pStyle w:val="55"/>
                    <w:rPr>
                      <w:color w:val="auto"/>
                    </w:rPr>
                  </w:pPr>
                  <w:r>
                    <w:rPr>
                      <w:rFonts w:hint="eastAsia"/>
                      <w:color w:val="auto"/>
                    </w:rPr>
                    <w:t xml:space="preserve">9.00 </w:t>
                  </w:r>
                </w:p>
              </w:tc>
              <w:tc>
                <w:tcPr>
                  <w:tcW w:w="427" w:type="pct"/>
                  <w:vAlign w:val="center"/>
                </w:tcPr>
                <w:p w14:paraId="55471EFB">
                  <w:pPr>
                    <w:pStyle w:val="55"/>
                    <w:rPr>
                      <w:color w:val="auto"/>
                    </w:rPr>
                  </w:pPr>
                  <w:r>
                    <w:rPr>
                      <w:rFonts w:hint="eastAsia"/>
                      <w:color w:val="auto"/>
                    </w:rPr>
                    <w:t xml:space="preserve">100.00 </w:t>
                  </w:r>
                </w:p>
              </w:tc>
              <w:tc>
                <w:tcPr>
                  <w:tcW w:w="472" w:type="pct"/>
                  <w:vAlign w:val="center"/>
                </w:tcPr>
                <w:p w14:paraId="247C6E09">
                  <w:pPr>
                    <w:pStyle w:val="55"/>
                    <w:rPr>
                      <w:color w:val="auto"/>
                    </w:rPr>
                  </w:pPr>
                  <w:r>
                    <w:rPr>
                      <w:rFonts w:hint="eastAsia"/>
                      <w:color w:val="auto"/>
                    </w:rPr>
                    <w:t xml:space="preserve">109.00 </w:t>
                  </w:r>
                </w:p>
              </w:tc>
            </w:tr>
            <w:tr w14:paraId="2E5AE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498" w:type="pct"/>
                  <w:vAlign w:val="center"/>
                </w:tcPr>
                <w:p w14:paraId="1A10E9C5">
                  <w:pPr>
                    <w:pStyle w:val="55"/>
                    <w:rPr>
                      <w:color w:val="auto"/>
                    </w:rPr>
                  </w:pPr>
                  <w:r>
                    <w:rPr>
                      <w:color w:val="auto"/>
                    </w:rPr>
                    <w:t>220-HB21S-JZ</w:t>
                  </w:r>
                </w:p>
              </w:tc>
              <w:tc>
                <w:tcPr>
                  <w:tcW w:w="384" w:type="pct"/>
                  <w:vAlign w:val="center"/>
                </w:tcPr>
                <w:p w14:paraId="15E4DAC0">
                  <w:pPr>
                    <w:pStyle w:val="55"/>
                    <w:rPr>
                      <w:color w:val="auto"/>
                    </w:rPr>
                  </w:pPr>
                  <w:r>
                    <w:rPr>
                      <w:color w:val="auto"/>
                    </w:rPr>
                    <w:t>15</w:t>
                  </w:r>
                </w:p>
              </w:tc>
              <w:tc>
                <w:tcPr>
                  <w:tcW w:w="404" w:type="pct"/>
                  <w:vAlign w:val="center"/>
                </w:tcPr>
                <w:p w14:paraId="07A8A35D">
                  <w:pPr>
                    <w:pStyle w:val="55"/>
                    <w:rPr>
                      <w:color w:val="auto"/>
                    </w:rPr>
                  </w:pPr>
                  <w:r>
                    <w:rPr>
                      <w:color w:val="auto"/>
                    </w:rPr>
                    <w:t>2</w:t>
                  </w:r>
                </w:p>
              </w:tc>
              <w:tc>
                <w:tcPr>
                  <w:tcW w:w="456" w:type="pct"/>
                  <w:vAlign w:val="center"/>
                </w:tcPr>
                <w:p w14:paraId="6B8FCF52">
                  <w:pPr>
                    <w:pStyle w:val="55"/>
                    <w:rPr>
                      <w:color w:val="auto"/>
                    </w:rPr>
                  </w:pPr>
                  <w:r>
                    <w:rPr>
                      <w:color w:val="auto"/>
                    </w:rPr>
                    <w:t>7790</w:t>
                  </w:r>
                </w:p>
              </w:tc>
              <w:tc>
                <w:tcPr>
                  <w:tcW w:w="489" w:type="pct"/>
                  <w:vAlign w:val="center"/>
                </w:tcPr>
                <w:p w14:paraId="071160E6">
                  <w:pPr>
                    <w:pStyle w:val="55"/>
                    <w:rPr>
                      <w:color w:val="auto"/>
                    </w:rPr>
                  </w:pPr>
                  <w:r>
                    <w:rPr>
                      <w:rFonts w:hint="eastAsia"/>
                      <w:color w:val="auto"/>
                    </w:rPr>
                    <w:t>钻孔灌注桩</w:t>
                  </w:r>
                </w:p>
                <w:p w14:paraId="40BEFE71">
                  <w:pPr>
                    <w:pStyle w:val="55"/>
                    <w:rPr>
                      <w:color w:val="auto"/>
                    </w:rPr>
                  </w:pPr>
                  <w:r>
                    <w:rPr>
                      <w:rFonts w:hint="eastAsia"/>
                      <w:color w:val="auto"/>
                    </w:rPr>
                    <w:t>（角钢塔）</w:t>
                  </w:r>
                </w:p>
              </w:tc>
              <w:tc>
                <w:tcPr>
                  <w:tcW w:w="611" w:type="pct"/>
                  <w:vAlign w:val="center"/>
                </w:tcPr>
                <w:p w14:paraId="7A34194D">
                  <w:pPr>
                    <w:pStyle w:val="55"/>
                    <w:rPr>
                      <w:color w:val="auto"/>
                    </w:rPr>
                  </w:pPr>
                  <w:r>
                    <w:rPr>
                      <w:color w:val="auto"/>
                    </w:rPr>
                    <w:t>Φ1600×17000</w:t>
                  </w:r>
                </w:p>
              </w:tc>
              <w:tc>
                <w:tcPr>
                  <w:tcW w:w="414" w:type="pct"/>
                  <w:vAlign w:val="center"/>
                </w:tcPr>
                <w:p w14:paraId="3BBBA086">
                  <w:pPr>
                    <w:pStyle w:val="55"/>
                    <w:rPr>
                      <w:color w:val="auto"/>
                    </w:rPr>
                  </w:pPr>
                  <w:r>
                    <w:rPr>
                      <w:rFonts w:hint="eastAsia"/>
                      <w:color w:val="auto"/>
                    </w:rPr>
                    <w:t>27.20</w:t>
                  </w:r>
                </w:p>
              </w:tc>
              <w:tc>
                <w:tcPr>
                  <w:tcW w:w="414" w:type="pct"/>
                  <w:vAlign w:val="center"/>
                </w:tcPr>
                <w:p w14:paraId="280A10C5">
                  <w:pPr>
                    <w:pStyle w:val="55"/>
                    <w:rPr>
                      <w:color w:val="auto"/>
                    </w:rPr>
                  </w:pPr>
                  <w:r>
                    <w:rPr>
                      <w:rFonts w:hint="eastAsia"/>
                      <w:color w:val="auto"/>
                    </w:rPr>
                    <w:t xml:space="preserve">103.84 </w:t>
                  </w:r>
                </w:p>
              </w:tc>
              <w:tc>
                <w:tcPr>
                  <w:tcW w:w="427" w:type="pct"/>
                  <w:vAlign w:val="center"/>
                </w:tcPr>
                <w:p w14:paraId="2532121C">
                  <w:pPr>
                    <w:pStyle w:val="55"/>
                    <w:rPr>
                      <w:color w:val="auto"/>
                    </w:rPr>
                  </w:pPr>
                  <w:r>
                    <w:rPr>
                      <w:rFonts w:hint="eastAsia"/>
                      <w:color w:val="auto"/>
                    </w:rPr>
                    <w:t xml:space="preserve">207.67 </w:t>
                  </w:r>
                </w:p>
              </w:tc>
              <w:tc>
                <w:tcPr>
                  <w:tcW w:w="427" w:type="pct"/>
                  <w:vAlign w:val="center"/>
                </w:tcPr>
                <w:p w14:paraId="0CED8D06">
                  <w:pPr>
                    <w:pStyle w:val="55"/>
                    <w:rPr>
                      <w:color w:val="auto"/>
                    </w:rPr>
                  </w:pPr>
                  <w:r>
                    <w:rPr>
                      <w:rFonts w:hint="eastAsia"/>
                      <w:color w:val="auto"/>
                    </w:rPr>
                    <w:t xml:space="preserve">831.10 </w:t>
                  </w:r>
                </w:p>
              </w:tc>
              <w:tc>
                <w:tcPr>
                  <w:tcW w:w="472" w:type="pct"/>
                  <w:vAlign w:val="center"/>
                </w:tcPr>
                <w:p w14:paraId="1047D249">
                  <w:pPr>
                    <w:pStyle w:val="55"/>
                    <w:rPr>
                      <w:color w:val="auto"/>
                    </w:rPr>
                  </w:pPr>
                  <w:r>
                    <w:rPr>
                      <w:rFonts w:hint="eastAsia"/>
                      <w:color w:val="auto"/>
                    </w:rPr>
                    <w:t xml:space="preserve">1038.77 </w:t>
                  </w:r>
                </w:p>
              </w:tc>
            </w:tr>
            <w:tr w14:paraId="67ACA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498" w:type="pct"/>
                  <w:vAlign w:val="center"/>
                </w:tcPr>
                <w:p w14:paraId="70B6E953">
                  <w:pPr>
                    <w:pStyle w:val="55"/>
                    <w:rPr>
                      <w:color w:val="auto"/>
                    </w:rPr>
                  </w:pPr>
                  <w:r>
                    <w:rPr>
                      <w:color w:val="auto"/>
                    </w:rPr>
                    <w:t>合计</w:t>
                  </w:r>
                </w:p>
              </w:tc>
              <w:tc>
                <w:tcPr>
                  <w:tcW w:w="384" w:type="pct"/>
                  <w:vAlign w:val="center"/>
                </w:tcPr>
                <w:p w14:paraId="342207DE">
                  <w:pPr>
                    <w:pStyle w:val="55"/>
                    <w:rPr>
                      <w:color w:val="auto"/>
                    </w:rPr>
                  </w:pPr>
                </w:p>
              </w:tc>
              <w:tc>
                <w:tcPr>
                  <w:tcW w:w="404" w:type="pct"/>
                  <w:vAlign w:val="center"/>
                </w:tcPr>
                <w:p w14:paraId="1894AD16">
                  <w:pPr>
                    <w:pStyle w:val="55"/>
                    <w:rPr>
                      <w:color w:val="auto"/>
                    </w:rPr>
                  </w:pPr>
                  <w:r>
                    <w:rPr>
                      <w:rFonts w:hint="eastAsia"/>
                      <w:color w:val="auto"/>
                    </w:rPr>
                    <w:t>18</w:t>
                  </w:r>
                </w:p>
              </w:tc>
              <w:tc>
                <w:tcPr>
                  <w:tcW w:w="456" w:type="pct"/>
                  <w:vAlign w:val="center"/>
                </w:tcPr>
                <w:p w14:paraId="1AC0EBE0">
                  <w:pPr>
                    <w:pStyle w:val="55"/>
                    <w:rPr>
                      <w:color w:val="auto"/>
                    </w:rPr>
                  </w:pPr>
                </w:p>
              </w:tc>
              <w:tc>
                <w:tcPr>
                  <w:tcW w:w="489" w:type="pct"/>
                  <w:vAlign w:val="center"/>
                </w:tcPr>
                <w:p w14:paraId="7625C3C4">
                  <w:pPr>
                    <w:pStyle w:val="55"/>
                    <w:rPr>
                      <w:color w:val="auto"/>
                    </w:rPr>
                  </w:pPr>
                </w:p>
              </w:tc>
              <w:tc>
                <w:tcPr>
                  <w:tcW w:w="611" w:type="pct"/>
                  <w:vAlign w:val="center"/>
                </w:tcPr>
                <w:p w14:paraId="21D43CC7">
                  <w:pPr>
                    <w:pStyle w:val="55"/>
                    <w:rPr>
                      <w:color w:val="auto"/>
                    </w:rPr>
                  </w:pPr>
                </w:p>
              </w:tc>
              <w:tc>
                <w:tcPr>
                  <w:tcW w:w="414" w:type="pct"/>
                  <w:vAlign w:val="center"/>
                </w:tcPr>
                <w:p w14:paraId="662C5A75">
                  <w:pPr>
                    <w:pStyle w:val="55"/>
                    <w:rPr>
                      <w:color w:val="auto"/>
                    </w:rPr>
                  </w:pPr>
                  <w:r>
                    <w:rPr>
                      <w:rFonts w:hint="eastAsia"/>
                      <w:color w:val="auto"/>
                    </w:rPr>
                    <w:t>341.68</w:t>
                  </w:r>
                </w:p>
              </w:tc>
              <w:tc>
                <w:tcPr>
                  <w:tcW w:w="414" w:type="pct"/>
                  <w:vAlign w:val="center"/>
                </w:tcPr>
                <w:p w14:paraId="4E97353C">
                  <w:pPr>
                    <w:pStyle w:val="55"/>
                    <w:rPr>
                      <w:color w:val="auto"/>
                    </w:rPr>
                  </w:pPr>
                </w:p>
              </w:tc>
              <w:tc>
                <w:tcPr>
                  <w:tcW w:w="427" w:type="pct"/>
                  <w:vAlign w:val="center"/>
                </w:tcPr>
                <w:p w14:paraId="19E22CDF">
                  <w:pPr>
                    <w:pStyle w:val="55"/>
                    <w:rPr>
                      <w:color w:val="auto"/>
                    </w:rPr>
                  </w:pPr>
                  <w:r>
                    <w:rPr>
                      <w:rFonts w:hint="eastAsia"/>
                      <w:color w:val="auto"/>
                    </w:rPr>
                    <w:t xml:space="preserve">3276.15 </w:t>
                  </w:r>
                </w:p>
              </w:tc>
              <w:tc>
                <w:tcPr>
                  <w:tcW w:w="427" w:type="pct"/>
                  <w:vAlign w:val="center"/>
                </w:tcPr>
                <w:p w14:paraId="14E013F9">
                  <w:pPr>
                    <w:pStyle w:val="55"/>
                    <w:rPr>
                      <w:color w:val="auto"/>
                    </w:rPr>
                  </w:pPr>
                  <w:r>
                    <w:rPr>
                      <w:rFonts w:hint="eastAsia"/>
                      <w:color w:val="auto"/>
                    </w:rPr>
                    <w:t xml:space="preserve">8464.83 </w:t>
                  </w:r>
                </w:p>
              </w:tc>
              <w:tc>
                <w:tcPr>
                  <w:tcW w:w="472" w:type="pct"/>
                  <w:vAlign w:val="center"/>
                </w:tcPr>
                <w:p w14:paraId="736AEA55">
                  <w:pPr>
                    <w:pStyle w:val="55"/>
                    <w:rPr>
                      <w:color w:val="auto"/>
                    </w:rPr>
                  </w:pPr>
                  <w:r>
                    <w:rPr>
                      <w:rFonts w:hint="eastAsia"/>
                      <w:color w:val="auto"/>
                    </w:rPr>
                    <w:t xml:space="preserve">11740.97 </w:t>
                  </w:r>
                </w:p>
              </w:tc>
            </w:tr>
          </w:tbl>
          <w:p w14:paraId="6557268C">
            <w:pPr>
              <w:pStyle w:val="51"/>
              <w:ind w:firstLine="0" w:firstLineChars="0"/>
              <w:rPr>
                <w:color w:val="auto"/>
                <w:sz w:val="18"/>
                <w:szCs w:val="18"/>
              </w:rPr>
            </w:pPr>
          </w:p>
          <w:p w14:paraId="5B6EC863">
            <w:pPr>
              <w:pStyle w:val="51"/>
              <w:rPr>
                <w:color w:val="auto"/>
              </w:rPr>
            </w:pPr>
            <w:bookmarkStart w:id="4" w:name="_Hlk85702234"/>
            <w:r>
              <w:rPr>
                <w:rFonts w:hint="eastAsia"/>
                <w:color w:val="auto"/>
              </w:rPr>
              <w:t>根据《220kV~</w:t>
            </w:r>
            <w:r>
              <w:rPr>
                <w:color w:val="auto"/>
              </w:rPr>
              <w:t>750</w:t>
            </w:r>
            <w:r>
              <w:rPr>
                <w:rFonts w:hint="eastAsia"/>
                <w:color w:val="auto"/>
              </w:rPr>
              <w:t>kV架空输电线路设计规范》（GB</w:t>
            </w:r>
            <w:r>
              <w:rPr>
                <w:color w:val="auto"/>
              </w:rPr>
              <w:t>50545-2010</w:t>
            </w:r>
            <w:r>
              <w:rPr>
                <w:rFonts w:hint="eastAsia"/>
                <w:color w:val="auto"/>
              </w:rPr>
              <w:t>）的规定，</w:t>
            </w:r>
            <w:bookmarkEnd w:id="4"/>
            <w:r>
              <w:rPr>
                <w:rFonts w:hint="eastAsia"/>
                <w:color w:val="auto"/>
              </w:rPr>
              <w:t>本项目22</w:t>
            </w:r>
            <w:r>
              <w:rPr>
                <w:color w:val="auto"/>
              </w:rPr>
              <w:t>0</w:t>
            </w:r>
            <w:r>
              <w:rPr>
                <w:rFonts w:hint="eastAsia"/>
                <w:color w:val="auto"/>
              </w:rPr>
              <w:t>kV架空线路导线对地及跨越建筑物的最小距离见表2</w:t>
            </w:r>
            <w:r>
              <w:rPr>
                <w:color w:val="auto"/>
              </w:rPr>
              <w:t>-3</w:t>
            </w:r>
            <w:r>
              <w:rPr>
                <w:rFonts w:hint="eastAsia"/>
                <w:color w:val="auto"/>
              </w:rPr>
              <w:t>。</w:t>
            </w:r>
          </w:p>
          <w:p w14:paraId="440A5DA6">
            <w:pPr>
              <w:pStyle w:val="53"/>
              <w:rPr>
                <w:color w:val="auto"/>
              </w:rPr>
            </w:pPr>
            <w:r>
              <w:rPr>
                <w:rFonts w:hint="eastAsia"/>
                <w:color w:val="auto"/>
              </w:rPr>
              <w:t>表2</w:t>
            </w:r>
            <w:r>
              <w:rPr>
                <w:color w:val="auto"/>
              </w:rPr>
              <w:t xml:space="preserve">-3  </w:t>
            </w:r>
            <w:r>
              <w:rPr>
                <w:rFonts w:hint="eastAsia"/>
                <w:color w:val="auto"/>
              </w:rPr>
              <w:t>本项目22</w:t>
            </w:r>
            <w:r>
              <w:rPr>
                <w:color w:val="auto"/>
              </w:rPr>
              <w:t>0</w:t>
            </w:r>
            <w:r>
              <w:rPr>
                <w:rFonts w:hint="eastAsia"/>
                <w:color w:val="auto"/>
              </w:rPr>
              <w:t>kV导线对地及跨越建筑物的最小距离一览表</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0"/>
              <w:gridCol w:w="1542"/>
              <w:gridCol w:w="2063"/>
              <w:gridCol w:w="2364"/>
            </w:tblGrid>
            <w:tr w14:paraId="0BDB7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19" w:type="pct"/>
                  <w:gridSpan w:val="2"/>
                  <w:vAlign w:val="center"/>
                </w:tcPr>
                <w:p w14:paraId="5CB7816B">
                  <w:pPr>
                    <w:pStyle w:val="55"/>
                    <w:rPr>
                      <w:color w:val="auto"/>
                    </w:rPr>
                  </w:pPr>
                  <w:r>
                    <w:rPr>
                      <w:rFonts w:hint="eastAsia"/>
                      <w:color w:val="auto"/>
                    </w:rPr>
                    <w:t>项目</w:t>
                  </w:r>
                </w:p>
              </w:tc>
              <w:tc>
                <w:tcPr>
                  <w:tcW w:w="1296" w:type="pct"/>
                  <w:vAlign w:val="center"/>
                </w:tcPr>
                <w:p w14:paraId="06ECD717">
                  <w:pPr>
                    <w:pStyle w:val="55"/>
                    <w:rPr>
                      <w:color w:val="auto"/>
                    </w:rPr>
                  </w:pPr>
                  <w:r>
                    <w:rPr>
                      <w:rFonts w:hint="eastAsia"/>
                      <w:color w:val="auto"/>
                    </w:rPr>
                    <w:t>设计规范要求（m）</w:t>
                  </w:r>
                </w:p>
              </w:tc>
              <w:tc>
                <w:tcPr>
                  <w:tcW w:w="1485" w:type="pct"/>
                  <w:vAlign w:val="center"/>
                </w:tcPr>
                <w:p w14:paraId="47045270">
                  <w:pPr>
                    <w:pStyle w:val="55"/>
                    <w:rPr>
                      <w:color w:val="auto"/>
                    </w:rPr>
                  </w:pPr>
                  <w:r>
                    <w:rPr>
                      <w:rFonts w:hint="eastAsia"/>
                      <w:color w:val="auto"/>
                    </w:rPr>
                    <w:t>本项目设计距离（m）</w:t>
                  </w:r>
                </w:p>
              </w:tc>
            </w:tr>
            <w:tr w14:paraId="64E91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vMerge w:val="restart"/>
                  <w:vAlign w:val="center"/>
                </w:tcPr>
                <w:p w14:paraId="7E96E96A">
                  <w:pPr>
                    <w:pStyle w:val="55"/>
                    <w:rPr>
                      <w:color w:val="auto"/>
                    </w:rPr>
                  </w:pPr>
                  <w:r>
                    <w:rPr>
                      <w:rFonts w:hint="eastAsia"/>
                      <w:color w:val="auto"/>
                    </w:rPr>
                    <w:t>对地面最小距离</w:t>
                  </w:r>
                </w:p>
              </w:tc>
              <w:tc>
                <w:tcPr>
                  <w:tcW w:w="969" w:type="pct"/>
                  <w:vAlign w:val="center"/>
                </w:tcPr>
                <w:p w14:paraId="7E858768">
                  <w:pPr>
                    <w:pStyle w:val="55"/>
                    <w:rPr>
                      <w:color w:val="auto"/>
                    </w:rPr>
                  </w:pPr>
                  <w:r>
                    <w:rPr>
                      <w:rFonts w:hint="eastAsia"/>
                      <w:color w:val="auto"/>
                    </w:rPr>
                    <w:t>居民区</w:t>
                  </w:r>
                </w:p>
              </w:tc>
              <w:tc>
                <w:tcPr>
                  <w:tcW w:w="1296" w:type="pct"/>
                  <w:vAlign w:val="center"/>
                </w:tcPr>
                <w:p w14:paraId="63A8A361">
                  <w:pPr>
                    <w:pStyle w:val="55"/>
                    <w:rPr>
                      <w:color w:val="auto"/>
                    </w:rPr>
                  </w:pPr>
                  <w:r>
                    <w:rPr>
                      <w:rFonts w:hint="eastAsia"/>
                      <w:color w:val="auto"/>
                    </w:rPr>
                    <w:t>7</w:t>
                  </w:r>
                  <w:r>
                    <w:rPr>
                      <w:color w:val="auto"/>
                    </w:rPr>
                    <w:t>.</w:t>
                  </w:r>
                  <w:r>
                    <w:rPr>
                      <w:rFonts w:hint="eastAsia"/>
                      <w:color w:val="auto"/>
                    </w:rPr>
                    <w:t>5</w:t>
                  </w:r>
                </w:p>
              </w:tc>
              <w:tc>
                <w:tcPr>
                  <w:tcW w:w="1485" w:type="pct"/>
                  <w:vAlign w:val="center"/>
                </w:tcPr>
                <w:p w14:paraId="5790B127">
                  <w:pPr>
                    <w:pStyle w:val="55"/>
                    <w:rPr>
                      <w:color w:val="auto"/>
                    </w:rPr>
                  </w:pPr>
                  <w:r>
                    <w:rPr>
                      <w:rFonts w:hint="eastAsia"/>
                      <w:color w:val="auto"/>
                    </w:rPr>
                    <w:t>≥7</w:t>
                  </w:r>
                  <w:r>
                    <w:rPr>
                      <w:color w:val="auto"/>
                    </w:rPr>
                    <w:t>.</w:t>
                  </w:r>
                  <w:r>
                    <w:rPr>
                      <w:rFonts w:hint="eastAsia"/>
                      <w:color w:val="auto"/>
                    </w:rPr>
                    <w:t>5</w:t>
                  </w:r>
                </w:p>
              </w:tc>
            </w:tr>
            <w:tr w14:paraId="477D8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vMerge w:val="continue"/>
                  <w:vAlign w:val="center"/>
                </w:tcPr>
                <w:p w14:paraId="5DC1B0E6">
                  <w:pPr>
                    <w:pStyle w:val="55"/>
                    <w:rPr>
                      <w:color w:val="auto"/>
                    </w:rPr>
                  </w:pPr>
                </w:p>
              </w:tc>
              <w:tc>
                <w:tcPr>
                  <w:tcW w:w="969" w:type="pct"/>
                  <w:vAlign w:val="center"/>
                </w:tcPr>
                <w:p w14:paraId="6AAC5C71">
                  <w:pPr>
                    <w:pStyle w:val="55"/>
                    <w:rPr>
                      <w:color w:val="auto"/>
                    </w:rPr>
                  </w:pPr>
                  <w:r>
                    <w:rPr>
                      <w:rFonts w:hint="eastAsia"/>
                      <w:color w:val="auto"/>
                    </w:rPr>
                    <w:t>非居民区</w:t>
                  </w:r>
                </w:p>
              </w:tc>
              <w:tc>
                <w:tcPr>
                  <w:tcW w:w="1296" w:type="pct"/>
                  <w:vAlign w:val="center"/>
                </w:tcPr>
                <w:p w14:paraId="716342AD">
                  <w:pPr>
                    <w:pStyle w:val="55"/>
                    <w:rPr>
                      <w:color w:val="auto"/>
                    </w:rPr>
                  </w:pPr>
                  <w:r>
                    <w:rPr>
                      <w:rFonts w:hint="eastAsia"/>
                      <w:color w:val="auto"/>
                    </w:rPr>
                    <w:t>6</w:t>
                  </w:r>
                  <w:r>
                    <w:rPr>
                      <w:color w:val="auto"/>
                    </w:rPr>
                    <w:t>.</w:t>
                  </w:r>
                  <w:r>
                    <w:rPr>
                      <w:rFonts w:hint="eastAsia"/>
                      <w:color w:val="auto"/>
                    </w:rPr>
                    <w:t>5</w:t>
                  </w:r>
                </w:p>
              </w:tc>
              <w:tc>
                <w:tcPr>
                  <w:tcW w:w="1485" w:type="pct"/>
                  <w:vAlign w:val="center"/>
                </w:tcPr>
                <w:p w14:paraId="0801C8B5">
                  <w:pPr>
                    <w:pStyle w:val="55"/>
                    <w:rPr>
                      <w:color w:val="auto"/>
                    </w:rPr>
                  </w:pPr>
                  <w:r>
                    <w:rPr>
                      <w:rFonts w:hint="eastAsia"/>
                      <w:color w:val="auto"/>
                    </w:rPr>
                    <w:t>≥</w:t>
                  </w:r>
                  <w:r>
                    <w:rPr>
                      <w:color w:val="auto"/>
                    </w:rPr>
                    <w:t>6.</w:t>
                  </w:r>
                  <w:r>
                    <w:rPr>
                      <w:rFonts w:hint="eastAsia"/>
                      <w:color w:val="auto"/>
                    </w:rPr>
                    <w:t>5</w:t>
                  </w:r>
                </w:p>
              </w:tc>
            </w:tr>
            <w:tr w14:paraId="081C3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19" w:type="pct"/>
                  <w:gridSpan w:val="2"/>
                  <w:vAlign w:val="center"/>
                </w:tcPr>
                <w:p w14:paraId="353AC91B">
                  <w:pPr>
                    <w:pStyle w:val="55"/>
                    <w:rPr>
                      <w:color w:val="auto"/>
                    </w:rPr>
                  </w:pPr>
                  <w:r>
                    <w:rPr>
                      <w:rFonts w:hint="eastAsia"/>
                      <w:color w:val="auto"/>
                    </w:rPr>
                    <w:t>与建筑物之间的最小垂直距离</w:t>
                  </w:r>
                </w:p>
              </w:tc>
              <w:tc>
                <w:tcPr>
                  <w:tcW w:w="1296" w:type="pct"/>
                  <w:vAlign w:val="center"/>
                </w:tcPr>
                <w:p w14:paraId="2B41D884">
                  <w:pPr>
                    <w:pStyle w:val="55"/>
                    <w:rPr>
                      <w:color w:val="auto"/>
                    </w:rPr>
                  </w:pPr>
                  <w:r>
                    <w:rPr>
                      <w:rFonts w:hint="eastAsia"/>
                      <w:color w:val="auto"/>
                    </w:rPr>
                    <w:t>6</w:t>
                  </w:r>
                  <w:r>
                    <w:rPr>
                      <w:color w:val="auto"/>
                    </w:rPr>
                    <w:t>.0</w:t>
                  </w:r>
                </w:p>
              </w:tc>
              <w:tc>
                <w:tcPr>
                  <w:tcW w:w="1485" w:type="pct"/>
                  <w:vAlign w:val="center"/>
                </w:tcPr>
                <w:p w14:paraId="181C1347">
                  <w:pPr>
                    <w:pStyle w:val="55"/>
                    <w:rPr>
                      <w:color w:val="auto"/>
                    </w:rPr>
                  </w:pPr>
                  <w:r>
                    <w:rPr>
                      <w:rFonts w:hint="eastAsia"/>
                      <w:color w:val="auto"/>
                    </w:rPr>
                    <w:t>≥6</w:t>
                  </w:r>
                  <w:r>
                    <w:rPr>
                      <w:color w:val="auto"/>
                    </w:rPr>
                    <w:t>.0</w:t>
                  </w:r>
                </w:p>
              </w:tc>
            </w:tr>
          </w:tbl>
          <w:p w14:paraId="3E76AFC6">
            <w:pPr>
              <w:pStyle w:val="48"/>
              <w:rPr>
                <w:color w:val="auto"/>
              </w:rPr>
            </w:pPr>
            <w:r>
              <w:rPr>
                <w:rFonts w:hint="eastAsia"/>
                <w:color w:val="auto"/>
              </w:rPr>
              <w:t>（三）临时工程</w:t>
            </w:r>
          </w:p>
          <w:p w14:paraId="6A4212EC">
            <w:pPr>
              <w:pStyle w:val="51"/>
              <w:rPr>
                <w:color w:val="auto"/>
              </w:rPr>
            </w:pPr>
            <w:r>
              <w:rPr>
                <w:color w:val="auto"/>
              </w:rPr>
              <w:t>施工场地：</w:t>
            </w:r>
            <w:r>
              <w:rPr>
                <w:rFonts w:hint="eastAsia"/>
                <w:color w:val="auto"/>
              </w:rPr>
              <w:t>塔基区中角钢塔以塔基根开和立柱宽基础上外扩1m作为塔基永久占地，220kV输电线路的双回路角钢塔塔基施工临时用地是以塔基根开和立柱宽基础上外扩15m扣除永久占地部分计列，钢管杆塔基以单杆立柱宽或直径基础上外扩1m作为塔基永久占地，钢管杆塔基施工区临时占地按100m</w:t>
            </w:r>
            <w:r>
              <w:rPr>
                <w:rFonts w:hint="eastAsia"/>
                <w:color w:val="auto"/>
                <w:vertAlign w:val="superscript"/>
              </w:rPr>
              <w:t>2</w:t>
            </w:r>
            <w:r>
              <w:rPr>
                <w:rFonts w:hint="eastAsia"/>
                <w:color w:val="auto"/>
              </w:rPr>
              <w:t>估算。施工区作为塔基区建设期间施工操作以及临时机械放置的场地，临时占地面积为0.85hm</w:t>
            </w:r>
            <w:r>
              <w:rPr>
                <w:rFonts w:hint="eastAsia"/>
                <w:color w:val="auto"/>
                <w:vertAlign w:val="superscript"/>
              </w:rPr>
              <w:t>2</w:t>
            </w:r>
            <w:r>
              <w:rPr>
                <w:rFonts w:hint="eastAsia"/>
                <w:color w:val="auto"/>
              </w:rPr>
              <w:t>，塔基区建成后将施工机械撤离，土石方妥善安置，对临时占用的土地进行原貌恢复。</w:t>
            </w:r>
          </w:p>
          <w:p w14:paraId="03DCD954">
            <w:pPr>
              <w:pStyle w:val="51"/>
              <w:rPr>
                <w:color w:val="auto"/>
              </w:rPr>
            </w:pPr>
            <w:r>
              <w:rPr>
                <w:rFonts w:hint="eastAsia"/>
                <w:color w:val="auto"/>
              </w:rPr>
              <w:t>电缆施工区在电缆开挖沟道两侧各外扩2.5m用于电缆施工操作以及临时机械的放置，本项目新建电缆沟0.41km，临时占地面积0.21hm</w:t>
            </w:r>
            <w:r>
              <w:rPr>
                <w:rFonts w:hint="eastAsia"/>
                <w:color w:val="auto"/>
                <w:vertAlign w:val="superscript"/>
              </w:rPr>
              <w:t>2</w:t>
            </w:r>
            <w:r>
              <w:rPr>
                <w:rFonts w:hint="eastAsia"/>
                <w:color w:val="auto"/>
              </w:rPr>
              <w:t>，电缆施工区建成后及时将施工机械撤离，土石方妥善安置，对临时占用的土地进行原貌恢复。</w:t>
            </w:r>
          </w:p>
          <w:p w14:paraId="4A8A2D14">
            <w:pPr>
              <w:pStyle w:val="51"/>
              <w:rPr>
                <w:color w:val="auto"/>
              </w:rPr>
            </w:pPr>
            <w:r>
              <w:rPr>
                <w:rFonts w:hint="eastAsia"/>
                <w:color w:val="auto"/>
              </w:rPr>
              <w:t>线路架设时需要布置牵张场及跨越场，根据工程路线走向及地形条件，工程共布设牵张场2处，每处占地布设面积约0.06hm</w:t>
            </w:r>
            <w:r>
              <w:rPr>
                <w:rFonts w:hint="eastAsia"/>
                <w:color w:val="auto"/>
                <w:vertAlign w:val="superscript"/>
              </w:rPr>
              <w:t>2</w:t>
            </w:r>
            <w:r>
              <w:rPr>
                <w:rFonts w:hint="eastAsia"/>
                <w:color w:val="auto"/>
              </w:rPr>
              <w:t>，共计占地0.12hm</w:t>
            </w:r>
            <w:r>
              <w:rPr>
                <w:rFonts w:hint="eastAsia"/>
                <w:color w:val="auto"/>
                <w:vertAlign w:val="superscript"/>
              </w:rPr>
              <w:t>2</w:t>
            </w:r>
            <w:r>
              <w:rPr>
                <w:rFonts w:hint="eastAsia"/>
                <w:color w:val="auto"/>
              </w:rPr>
              <w:t>。共布设跨越场3处，每处占地0.01hm</w:t>
            </w:r>
            <w:r>
              <w:rPr>
                <w:rFonts w:hint="eastAsia"/>
                <w:color w:val="auto"/>
                <w:vertAlign w:val="superscript"/>
              </w:rPr>
              <w:t>2</w:t>
            </w:r>
            <w:r>
              <w:rPr>
                <w:rFonts w:hint="eastAsia"/>
                <w:color w:val="auto"/>
              </w:rPr>
              <w:t>，共计占地0.03hm</w:t>
            </w:r>
            <w:r>
              <w:rPr>
                <w:rFonts w:hint="eastAsia"/>
                <w:color w:val="auto"/>
                <w:vertAlign w:val="superscript"/>
              </w:rPr>
              <w:t>2</w:t>
            </w:r>
            <w:r>
              <w:rPr>
                <w:rFonts w:hint="eastAsia"/>
                <w:color w:val="auto"/>
              </w:rPr>
              <w:t>。因此本工程牵张场及跨越场区共计占地0.15hm</w:t>
            </w:r>
            <w:r>
              <w:rPr>
                <w:rFonts w:hint="eastAsia"/>
                <w:color w:val="auto"/>
                <w:vertAlign w:val="superscript"/>
              </w:rPr>
              <w:t>2</w:t>
            </w:r>
            <w:r>
              <w:rPr>
                <w:rFonts w:hint="eastAsia"/>
                <w:color w:val="auto"/>
              </w:rPr>
              <w:t>。</w:t>
            </w:r>
          </w:p>
          <w:p w14:paraId="31F02FA2">
            <w:pPr>
              <w:pStyle w:val="51"/>
              <w:rPr>
                <w:color w:val="auto"/>
              </w:rPr>
            </w:pPr>
            <w:r>
              <w:rPr>
                <w:color w:val="auto"/>
              </w:rPr>
              <w:t>施工生产生活区：</w:t>
            </w:r>
            <w:r>
              <w:rPr>
                <w:rFonts w:hint="eastAsia"/>
                <w:color w:val="auto"/>
              </w:rPr>
              <w:t>根据现场调查和主体施工资料，项目部和施工队驻地租用当地民房，不另行征占土地。本工程在升压站红线内布设1处临时施工场地，占地面积约0.05hm</w:t>
            </w:r>
            <w:r>
              <w:rPr>
                <w:rFonts w:hint="eastAsia"/>
                <w:color w:val="auto"/>
                <w:vertAlign w:val="superscript"/>
              </w:rPr>
              <w:t>2</w:t>
            </w:r>
            <w:r>
              <w:rPr>
                <w:rFonts w:hint="eastAsia"/>
                <w:color w:val="auto"/>
              </w:rPr>
              <w:t>，主要用于工程建设期间临时办公及材料机械放置，纳入升压站区内，不再单独分区。</w:t>
            </w:r>
          </w:p>
          <w:p w14:paraId="66602BBF">
            <w:pPr>
              <w:pStyle w:val="51"/>
              <w:rPr>
                <w:color w:val="auto"/>
              </w:rPr>
            </w:pPr>
            <w:r>
              <w:rPr>
                <w:rFonts w:hint="eastAsia"/>
                <w:color w:val="auto"/>
              </w:rPr>
              <w:t>施工临时道路区：塔基区施工临时道路大部分利用周边已有市政道路及机耕小路，在部分无法直接到达塔基处需新开辟部分施工便道，根据主体设计资料估算需新开辟机械施工便道约950m，宽度3.0m，共计占地面积约0.29hm</w:t>
            </w:r>
            <w:r>
              <w:rPr>
                <w:rFonts w:hint="eastAsia"/>
                <w:color w:val="auto"/>
                <w:vertAlign w:val="superscript"/>
              </w:rPr>
              <w:t>2</w:t>
            </w:r>
            <w:r>
              <w:rPr>
                <w:rFonts w:hint="eastAsia"/>
                <w:color w:val="auto"/>
              </w:rPr>
              <w:t>。因此，施工临时道路共计占地0.29hm</w:t>
            </w:r>
            <w:r>
              <w:rPr>
                <w:rFonts w:hint="eastAsia"/>
                <w:color w:val="auto"/>
                <w:vertAlign w:val="superscript"/>
              </w:rPr>
              <w:t>2</w:t>
            </w:r>
            <w:r>
              <w:rPr>
                <w:rFonts w:hint="eastAsia"/>
                <w:color w:val="auto"/>
              </w:rPr>
              <w:t>。</w:t>
            </w:r>
          </w:p>
          <w:p w14:paraId="127B2CAF">
            <w:pPr>
              <w:pStyle w:val="51"/>
              <w:rPr>
                <w:rFonts w:hint="eastAsia" w:ascii="宋体" w:hAnsi="宋体" w:cs="宋体"/>
                <w:color w:val="auto"/>
                <w:kern w:val="0"/>
                <w:szCs w:val="21"/>
              </w:rPr>
            </w:pPr>
            <w:r>
              <w:rPr>
                <w:color w:val="auto"/>
              </w:rPr>
              <w:t>临时堆场：</w:t>
            </w:r>
            <w:r>
              <w:rPr>
                <w:rFonts w:hint="eastAsia"/>
                <w:color w:val="auto"/>
              </w:rPr>
              <w:t>本方案对升压站建设区、塔基及塔基施工区进行表土剥离。升压站建设区剥离的表土堆置在升压站红线范围内，塔基及塔基施工区剥离的表土分别堆放在各塔基四周临时占地范围内。由于临时堆土均堆放在各区临时占地范围内，故不计列入工程总占地面积。</w:t>
            </w:r>
          </w:p>
        </w:tc>
      </w:tr>
      <w:tr w14:paraId="5D10CF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19" w:hRule="atLeast"/>
          <w:jc w:val="center"/>
        </w:trPr>
        <w:tc>
          <w:tcPr>
            <w:tcW w:w="1101" w:type="dxa"/>
            <w:vAlign w:val="center"/>
          </w:tcPr>
          <w:p w14:paraId="07BA5091">
            <w:pPr>
              <w:adjustRightInd w:val="0"/>
              <w:snapToGrid w:val="0"/>
              <w:jc w:val="center"/>
              <w:rPr>
                <w:rFonts w:hint="eastAsia" w:ascii="宋体" w:hAnsi="宋体" w:cs="宋体"/>
                <w:b/>
                <w:bCs/>
                <w:kern w:val="0"/>
                <w:szCs w:val="21"/>
              </w:rPr>
            </w:pPr>
            <w:r>
              <w:rPr>
                <w:rFonts w:hint="eastAsia" w:ascii="宋体" w:hAnsi="宋体" w:cs="宋体"/>
                <w:b/>
                <w:bCs/>
                <w:kern w:val="0"/>
                <w:szCs w:val="21"/>
              </w:rPr>
              <w:t>总平面及现场布置</w:t>
            </w:r>
          </w:p>
        </w:tc>
        <w:tc>
          <w:tcPr>
            <w:tcW w:w="8185" w:type="dxa"/>
            <w:vAlign w:val="center"/>
          </w:tcPr>
          <w:p w14:paraId="11B18C17">
            <w:pPr>
              <w:pStyle w:val="48"/>
              <w:rPr>
                <w:color w:val="auto"/>
              </w:rPr>
            </w:pPr>
            <w:r>
              <w:rPr>
                <w:rFonts w:hint="eastAsia"/>
                <w:color w:val="auto"/>
              </w:rPr>
              <w:t>（四）升压站平面布置</w:t>
            </w:r>
          </w:p>
          <w:p w14:paraId="635817C9">
            <w:pPr>
              <w:pStyle w:val="51"/>
              <w:rPr>
                <w:color w:val="auto"/>
              </w:rPr>
            </w:pPr>
            <w:r>
              <w:rPr>
                <w:rFonts w:hint="eastAsia"/>
                <w:color w:val="auto"/>
              </w:rPr>
              <w:t>站址总体方位为北偏东41.45°方向布置。站区围墙东西方向长88m，南北方向长123.5m，升压站总征地面积1.5469hm</w:t>
            </w:r>
            <w:r>
              <w:rPr>
                <w:rFonts w:hint="eastAsia"/>
                <w:color w:val="auto"/>
                <w:vertAlign w:val="superscript"/>
              </w:rPr>
              <w:t>2</w:t>
            </w:r>
            <w:r>
              <w:rPr>
                <w:rFonts w:hint="eastAsia"/>
                <w:color w:val="auto"/>
              </w:rPr>
              <w:t>，围墙内占地0.9999hm</w:t>
            </w:r>
            <w:r>
              <w:rPr>
                <w:rFonts w:hint="eastAsia"/>
                <w:color w:val="auto"/>
                <w:vertAlign w:val="superscript"/>
              </w:rPr>
              <w:t>2</w:t>
            </w:r>
            <w:r>
              <w:rPr>
                <w:rFonts w:hint="eastAsia"/>
                <w:color w:val="auto"/>
              </w:rPr>
              <w:t>。</w:t>
            </w:r>
          </w:p>
          <w:p w14:paraId="45955429">
            <w:pPr>
              <w:pStyle w:val="51"/>
              <w:rPr>
                <w:color w:val="auto"/>
              </w:rPr>
            </w:pPr>
            <w:r>
              <w:rPr>
                <w:rFonts w:hint="eastAsia"/>
                <w:color w:val="auto"/>
              </w:rPr>
              <w:t>站区平面根据地块布置，为台阶形，进站道路直接接入站区北侧的村村通道路，新建道路约14m。220kV配电装置布置在站区西南侧，向西南出线。站内道路采用环形道路，变电站大门及道路的设置满足主变压器、GIS等设备整体运输的要求。站内主变压器运输道路宽度为4.5m、消防道路宽度为4m、转弯半径为9m。</w:t>
            </w:r>
          </w:p>
          <w:p w14:paraId="0CCA7014">
            <w:pPr>
              <w:pStyle w:val="51"/>
              <w:rPr>
                <w:color w:val="auto"/>
              </w:rPr>
            </w:pPr>
            <w:r>
              <w:rPr>
                <w:rFonts w:hint="eastAsia"/>
                <w:color w:val="auto"/>
              </w:rPr>
              <w:t>站址不受百年一遇洪水影响，站址内涝水位24.70m，站址北侧村村通道路路面高程为24.35m，站址现状场地高程为23.60~24.50m，场地设计标高为24.80m。</w:t>
            </w:r>
          </w:p>
          <w:p w14:paraId="4D3A782C">
            <w:pPr>
              <w:pStyle w:val="51"/>
              <w:rPr>
                <w:color w:val="auto"/>
              </w:rPr>
            </w:pPr>
            <w:r>
              <w:rPr>
                <w:rFonts w:hint="eastAsia"/>
                <w:color w:val="auto"/>
              </w:rPr>
              <w:t>站区内各建筑物的室内标高，均高于场地标高0.60m，道路标高高于场地标高0.15m。变电站建筑有消防泵房及雨淋阀室，本期一次建成，总建筑面积为155m</w:t>
            </w:r>
            <w:r>
              <w:rPr>
                <w:rFonts w:hint="eastAsia"/>
                <w:color w:val="auto"/>
                <w:vertAlign w:val="superscript"/>
              </w:rPr>
              <w:t>2</w:t>
            </w:r>
            <w:r>
              <w:rPr>
                <w:rFonts w:hint="eastAsia"/>
                <w:color w:val="auto"/>
              </w:rPr>
              <w:t>，具体见表2-4。</w:t>
            </w:r>
          </w:p>
          <w:p w14:paraId="5720FFB5">
            <w:pPr>
              <w:pStyle w:val="51"/>
              <w:rPr>
                <w:color w:val="auto"/>
              </w:rPr>
            </w:pPr>
            <w:r>
              <w:rPr>
                <w:rFonts w:hint="eastAsia"/>
                <w:color w:val="auto"/>
              </w:rPr>
              <w:t>站址位于凤台县桂集镇进矿路与村村通道路交叉口南侧，交通较为便利，进站道路从村村通道路接引。进站道路采用了公路型沥青混凝土路面，新建进站道路14m，路宽为4.5m，占地0.0063hm</w:t>
            </w:r>
            <w:r>
              <w:rPr>
                <w:rFonts w:hint="eastAsia"/>
                <w:color w:val="auto"/>
                <w:vertAlign w:val="superscript"/>
              </w:rPr>
              <w:t>2</w:t>
            </w:r>
            <w:r>
              <w:rPr>
                <w:rFonts w:hint="eastAsia"/>
                <w:color w:val="auto"/>
              </w:rPr>
              <w:t>，为红线外永久占地。站内道路采用公路型沥青混凝土道路，路宽为4.5m、4.0m。</w:t>
            </w:r>
          </w:p>
          <w:p w14:paraId="27FEA6C9">
            <w:pPr>
              <w:pStyle w:val="53"/>
              <w:rPr>
                <w:color w:val="auto"/>
              </w:rPr>
            </w:pPr>
            <w:r>
              <w:rPr>
                <w:rFonts w:hint="eastAsia"/>
                <w:color w:val="auto"/>
              </w:rPr>
              <w:t>表2-4  升压站站主要建筑物一览表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2"/>
              <w:gridCol w:w="988"/>
              <w:gridCol w:w="1270"/>
              <w:gridCol w:w="1001"/>
              <w:gridCol w:w="684"/>
              <w:gridCol w:w="826"/>
              <w:gridCol w:w="1148"/>
            </w:tblGrid>
            <w:tr w14:paraId="1A905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jc w:val="center"/>
              </w:trPr>
              <w:tc>
                <w:tcPr>
                  <w:tcW w:w="1281" w:type="pct"/>
                  <w:tcBorders>
                    <w:tl2br w:val="nil"/>
                    <w:tr2bl w:val="nil"/>
                  </w:tcBorders>
                  <w:vAlign w:val="center"/>
                </w:tcPr>
                <w:p w14:paraId="6F51334D">
                  <w:pPr>
                    <w:pStyle w:val="55"/>
                    <w:rPr>
                      <w:color w:val="auto"/>
                    </w:rPr>
                  </w:pPr>
                  <w:r>
                    <w:rPr>
                      <w:rFonts w:hint="eastAsia"/>
                      <w:color w:val="auto"/>
                    </w:rPr>
                    <w:t>建筑物名称</w:t>
                  </w:r>
                </w:p>
              </w:tc>
              <w:tc>
                <w:tcPr>
                  <w:tcW w:w="620" w:type="pct"/>
                  <w:tcBorders>
                    <w:tl2br w:val="nil"/>
                    <w:tr2bl w:val="nil"/>
                  </w:tcBorders>
                  <w:vAlign w:val="center"/>
                </w:tcPr>
                <w:p w14:paraId="1929F95A">
                  <w:pPr>
                    <w:pStyle w:val="55"/>
                    <w:rPr>
                      <w:color w:val="auto"/>
                    </w:rPr>
                  </w:pPr>
                  <w:r>
                    <w:rPr>
                      <w:rFonts w:hint="eastAsia"/>
                      <w:color w:val="auto"/>
                    </w:rPr>
                    <w:t>建筑面积</w:t>
                  </w:r>
                </w:p>
                <w:p w14:paraId="7A4FA638">
                  <w:pPr>
                    <w:pStyle w:val="55"/>
                    <w:rPr>
                      <w:color w:val="auto"/>
                    </w:rPr>
                  </w:pPr>
                  <w:r>
                    <w:rPr>
                      <w:rFonts w:hint="eastAsia"/>
                      <w:color w:val="auto"/>
                    </w:rPr>
                    <w:t>(m2)</w:t>
                  </w:r>
                </w:p>
              </w:tc>
              <w:tc>
                <w:tcPr>
                  <w:tcW w:w="798" w:type="pct"/>
                  <w:tcBorders>
                    <w:tl2br w:val="nil"/>
                    <w:tr2bl w:val="nil"/>
                  </w:tcBorders>
                  <w:vAlign w:val="center"/>
                </w:tcPr>
                <w:p w14:paraId="5CA898D8">
                  <w:pPr>
                    <w:pStyle w:val="55"/>
                    <w:rPr>
                      <w:color w:val="auto"/>
                    </w:rPr>
                  </w:pPr>
                  <w:r>
                    <w:rPr>
                      <w:rFonts w:hint="eastAsia"/>
                      <w:color w:val="auto"/>
                    </w:rPr>
                    <w:t>层数</w:t>
                  </w:r>
                </w:p>
                <w:p w14:paraId="4AFC82E4">
                  <w:pPr>
                    <w:pStyle w:val="55"/>
                    <w:rPr>
                      <w:color w:val="auto"/>
                    </w:rPr>
                  </w:pPr>
                  <w:r>
                    <w:rPr>
                      <w:rFonts w:hint="eastAsia"/>
                      <w:color w:val="auto"/>
                    </w:rPr>
                    <w:t>(层)</w:t>
                  </w:r>
                </w:p>
              </w:tc>
              <w:tc>
                <w:tcPr>
                  <w:tcW w:w="629" w:type="pct"/>
                  <w:tcBorders>
                    <w:tl2br w:val="nil"/>
                    <w:tr2bl w:val="nil"/>
                  </w:tcBorders>
                  <w:vAlign w:val="center"/>
                </w:tcPr>
                <w:p w14:paraId="5436384C">
                  <w:pPr>
                    <w:pStyle w:val="55"/>
                    <w:rPr>
                      <w:color w:val="auto"/>
                    </w:rPr>
                  </w:pPr>
                  <w:r>
                    <w:rPr>
                      <w:rFonts w:hint="eastAsia"/>
                      <w:color w:val="auto"/>
                    </w:rPr>
                    <w:t>层高</w:t>
                  </w:r>
                </w:p>
                <w:p w14:paraId="3F1AA2C9">
                  <w:pPr>
                    <w:pStyle w:val="55"/>
                    <w:rPr>
                      <w:color w:val="auto"/>
                    </w:rPr>
                  </w:pPr>
                  <w:r>
                    <w:rPr>
                      <w:rFonts w:hint="eastAsia"/>
                      <w:color w:val="auto"/>
                    </w:rPr>
                    <w:t>(m)</w:t>
                  </w:r>
                </w:p>
              </w:tc>
              <w:tc>
                <w:tcPr>
                  <w:tcW w:w="430" w:type="pct"/>
                  <w:tcBorders>
                    <w:tl2br w:val="nil"/>
                    <w:tr2bl w:val="nil"/>
                  </w:tcBorders>
                  <w:vAlign w:val="center"/>
                </w:tcPr>
                <w:p w14:paraId="7BE3D76D">
                  <w:pPr>
                    <w:pStyle w:val="55"/>
                    <w:rPr>
                      <w:color w:val="auto"/>
                    </w:rPr>
                  </w:pPr>
                  <w:r>
                    <w:rPr>
                      <w:rFonts w:hint="eastAsia"/>
                      <w:color w:val="auto"/>
                    </w:rPr>
                    <w:t>高度</w:t>
                  </w:r>
                </w:p>
                <w:p w14:paraId="6ECC6BB4">
                  <w:pPr>
                    <w:pStyle w:val="55"/>
                    <w:rPr>
                      <w:color w:val="auto"/>
                    </w:rPr>
                  </w:pPr>
                  <w:r>
                    <w:rPr>
                      <w:rFonts w:hint="eastAsia"/>
                      <w:color w:val="auto"/>
                    </w:rPr>
                    <w:t>(m)</w:t>
                  </w:r>
                </w:p>
              </w:tc>
              <w:tc>
                <w:tcPr>
                  <w:tcW w:w="519" w:type="pct"/>
                  <w:tcBorders>
                    <w:tl2br w:val="nil"/>
                    <w:tr2bl w:val="nil"/>
                  </w:tcBorders>
                  <w:vAlign w:val="center"/>
                </w:tcPr>
                <w:p w14:paraId="334CC304">
                  <w:pPr>
                    <w:pStyle w:val="55"/>
                    <w:rPr>
                      <w:color w:val="auto"/>
                    </w:rPr>
                  </w:pPr>
                  <w:r>
                    <w:rPr>
                      <w:rFonts w:hint="eastAsia"/>
                      <w:color w:val="auto"/>
                    </w:rPr>
                    <w:t>耐火</w:t>
                  </w:r>
                </w:p>
                <w:p w14:paraId="22E23637">
                  <w:pPr>
                    <w:pStyle w:val="55"/>
                    <w:rPr>
                      <w:color w:val="auto"/>
                    </w:rPr>
                  </w:pPr>
                  <w:r>
                    <w:rPr>
                      <w:rFonts w:hint="eastAsia"/>
                      <w:color w:val="auto"/>
                    </w:rPr>
                    <w:t>等级</w:t>
                  </w:r>
                </w:p>
              </w:tc>
              <w:tc>
                <w:tcPr>
                  <w:tcW w:w="721" w:type="pct"/>
                  <w:tcBorders>
                    <w:tl2br w:val="nil"/>
                    <w:tr2bl w:val="nil"/>
                  </w:tcBorders>
                  <w:vAlign w:val="center"/>
                </w:tcPr>
                <w:p w14:paraId="5B469393">
                  <w:pPr>
                    <w:pStyle w:val="55"/>
                    <w:rPr>
                      <w:color w:val="auto"/>
                    </w:rPr>
                  </w:pPr>
                  <w:r>
                    <w:rPr>
                      <w:rFonts w:hint="eastAsia"/>
                      <w:color w:val="auto"/>
                    </w:rPr>
                    <w:t>结构</w:t>
                  </w:r>
                </w:p>
                <w:p w14:paraId="3D986610">
                  <w:pPr>
                    <w:pStyle w:val="55"/>
                    <w:rPr>
                      <w:color w:val="auto"/>
                    </w:rPr>
                  </w:pPr>
                  <w:r>
                    <w:rPr>
                      <w:rFonts w:hint="eastAsia"/>
                      <w:color w:val="auto"/>
                    </w:rPr>
                    <w:t>形式</w:t>
                  </w:r>
                </w:p>
              </w:tc>
            </w:tr>
            <w:tr w14:paraId="03405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1281" w:type="pct"/>
                  <w:tcBorders>
                    <w:tl2br w:val="nil"/>
                    <w:tr2bl w:val="nil"/>
                  </w:tcBorders>
                  <w:vAlign w:val="center"/>
                </w:tcPr>
                <w:p w14:paraId="2D75AC0A">
                  <w:pPr>
                    <w:pStyle w:val="55"/>
                    <w:rPr>
                      <w:color w:val="auto"/>
                    </w:rPr>
                  </w:pPr>
                  <w:r>
                    <w:rPr>
                      <w:rFonts w:hint="eastAsia"/>
                      <w:color w:val="auto"/>
                    </w:rPr>
                    <w:t>消防泵房及雨淋阀室</w:t>
                  </w:r>
                </w:p>
              </w:tc>
              <w:tc>
                <w:tcPr>
                  <w:tcW w:w="620" w:type="pct"/>
                  <w:tcBorders>
                    <w:tl2br w:val="nil"/>
                    <w:tr2bl w:val="nil"/>
                  </w:tcBorders>
                  <w:vAlign w:val="center"/>
                </w:tcPr>
                <w:p w14:paraId="1655C584">
                  <w:pPr>
                    <w:pStyle w:val="55"/>
                    <w:rPr>
                      <w:color w:val="auto"/>
                    </w:rPr>
                  </w:pPr>
                  <w:r>
                    <w:rPr>
                      <w:rFonts w:hint="eastAsia"/>
                      <w:color w:val="auto"/>
                    </w:rPr>
                    <w:t>155</w:t>
                  </w:r>
                </w:p>
              </w:tc>
              <w:tc>
                <w:tcPr>
                  <w:tcW w:w="798" w:type="pct"/>
                  <w:tcBorders>
                    <w:tl2br w:val="nil"/>
                    <w:tr2bl w:val="nil"/>
                  </w:tcBorders>
                  <w:vAlign w:val="center"/>
                </w:tcPr>
                <w:p w14:paraId="7387102C">
                  <w:pPr>
                    <w:pStyle w:val="55"/>
                    <w:rPr>
                      <w:color w:val="auto"/>
                    </w:rPr>
                  </w:pPr>
                  <w:r>
                    <w:rPr>
                      <w:rFonts w:hint="eastAsia"/>
                      <w:color w:val="auto"/>
                    </w:rPr>
                    <w:t>地上1层/地下1层</w:t>
                  </w:r>
                </w:p>
              </w:tc>
              <w:tc>
                <w:tcPr>
                  <w:tcW w:w="629" w:type="pct"/>
                  <w:tcBorders>
                    <w:tl2br w:val="nil"/>
                    <w:tr2bl w:val="nil"/>
                  </w:tcBorders>
                  <w:vAlign w:val="center"/>
                </w:tcPr>
                <w:p w14:paraId="1F84632B">
                  <w:pPr>
                    <w:pStyle w:val="55"/>
                    <w:rPr>
                      <w:color w:val="auto"/>
                    </w:rPr>
                  </w:pPr>
                  <w:r>
                    <w:rPr>
                      <w:rFonts w:hint="eastAsia"/>
                      <w:color w:val="auto"/>
                    </w:rPr>
                    <w:t>3.6/4.6</w:t>
                  </w:r>
                </w:p>
              </w:tc>
              <w:tc>
                <w:tcPr>
                  <w:tcW w:w="430" w:type="pct"/>
                  <w:tcBorders>
                    <w:tl2br w:val="nil"/>
                    <w:tr2bl w:val="nil"/>
                  </w:tcBorders>
                  <w:vAlign w:val="center"/>
                </w:tcPr>
                <w:p w14:paraId="34DD33C6">
                  <w:pPr>
                    <w:pStyle w:val="55"/>
                    <w:rPr>
                      <w:color w:val="auto"/>
                    </w:rPr>
                  </w:pPr>
                  <w:r>
                    <w:rPr>
                      <w:rFonts w:hint="eastAsia"/>
                      <w:color w:val="auto"/>
                    </w:rPr>
                    <w:t>5.1</w:t>
                  </w:r>
                </w:p>
              </w:tc>
              <w:tc>
                <w:tcPr>
                  <w:tcW w:w="519" w:type="pct"/>
                  <w:tcBorders>
                    <w:tl2br w:val="nil"/>
                    <w:tr2bl w:val="nil"/>
                  </w:tcBorders>
                  <w:vAlign w:val="center"/>
                </w:tcPr>
                <w:p w14:paraId="251813E4">
                  <w:pPr>
                    <w:pStyle w:val="55"/>
                    <w:rPr>
                      <w:color w:val="auto"/>
                    </w:rPr>
                  </w:pPr>
                  <w:r>
                    <w:rPr>
                      <w:rFonts w:hint="eastAsia"/>
                      <w:color w:val="auto"/>
                    </w:rPr>
                    <w:t>二级</w:t>
                  </w:r>
                </w:p>
              </w:tc>
              <w:tc>
                <w:tcPr>
                  <w:tcW w:w="721" w:type="pct"/>
                  <w:tcBorders>
                    <w:tl2br w:val="nil"/>
                    <w:tr2bl w:val="nil"/>
                  </w:tcBorders>
                  <w:vAlign w:val="center"/>
                </w:tcPr>
                <w:p w14:paraId="27BFC6F4">
                  <w:pPr>
                    <w:pStyle w:val="55"/>
                    <w:rPr>
                      <w:color w:val="auto"/>
                    </w:rPr>
                  </w:pPr>
                  <w:r>
                    <w:rPr>
                      <w:rFonts w:hint="eastAsia"/>
                      <w:color w:val="auto"/>
                    </w:rPr>
                    <w:t>钢框架结构</w:t>
                  </w:r>
                </w:p>
              </w:tc>
            </w:tr>
          </w:tbl>
          <w:p w14:paraId="555026B6">
            <w:pPr>
              <w:pStyle w:val="53"/>
              <w:rPr>
                <w:color w:val="auto"/>
              </w:rPr>
            </w:pPr>
            <w:r>
              <w:rPr>
                <w:rFonts w:hint="eastAsia"/>
                <w:color w:val="auto"/>
              </w:rPr>
              <w:t>表2-5  升压站拐点坐标表</w:t>
            </w:r>
          </w:p>
          <w:tbl>
            <w:tblPr>
              <w:tblStyle w:val="8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010"/>
              <w:gridCol w:w="2964"/>
              <w:gridCol w:w="2982"/>
            </w:tblGrid>
            <w:tr w14:paraId="599C2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5" w:hRule="atLeast"/>
                <w:jc w:val="center"/>
              </w:trPr>
              <w:tc>
                <w:tcPr>
                  <w:tcW w:w="1263" w:type="pct"/>
                  <w:tcBorders>
                    <w:tl2br w:val="nil"/>
                    <w:tr2bl w:val="nil"/>
                  </w:tcBorders>
                  <w:vAlign w:val="center"/>
                </w:tcPr>
                <w:p w14:paraId="7EE9EA95">
                  <w:pPr>
                    <w:pStyle w:val="55"/>
                    <w:rPr>
                      <w:color w:val="auto"/>
                    </w:rPr>
                  </w:pPr>
                  <w:r>
                    <w:rPr>
                      <w:rFonts w:hint="eastAsia"/>
                      <w:color w:val="auto"/>
                    </w:rPr>
                    <w:t>序号</w:t>
                  </w:r>
                </w:p>
              </w:tc>
              <w:tc>
                <w:tcPr>
                  <w:tcW w:w="1863" w:type="pct"/>
                  <w:tcBorders>
                    <w:tl2br w:val="nil"/>
                    <w:tr2bl w:val="nil"/>
                  </w:tcBorders>
                  <w:vAlign w:val="center"/>
                </w:tcPr>
                <w:p w14:paraId="6ED95E7F">
                  <w:pPr>
                    <w:pStyle w:val="55"/>
                    <w:rPr>
                      <w:color w:val="auto"/>
                    </w:rPr>
                  </w:pPr>
                  <w:r>
                    <w:rPr>
                      <w:rFonts w:hint="eastAsia"/>
                      <w:color w:val="auto"/>
                    </w:rPr>
                    <w:t>X</w:t>
                  </w:r>
                </w:p>
              </w:tc>
              <w:tc>
                <w:tcPr>
                  <w:tcW w:w="1873" w:type="pct"/>
                  <w:tcBorders>
                    <w:tl2br w:val="nil"/>
                    <w:tr2bl w:val="nil"/>
                  </w:tcBorders>
                  <w:vAlign w:val="center"/>
                </w:tcPr>
                <w:p w14:paraId="240B1E75">
                  <w:pPr>
                    <w:pStyle w:val="55"/>
                    <w:rPr>
                      <w:color w:val="auto"/>
                    </w:rPr>
                  </w:pPr>
                  <w:r>
                    <w:rPr>
                      <w:rFonts w:hint="eastAsia"/>
                      <w:color w:val="auto"/>
                    </w:rPr>
                    <w:t>Y</w:t>
                  </w:r>
                </w:p>
              </w:tc>
            </w:tr>
            <w:tr w14:paraId="19D12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0" w:hRule="atLeast"/>
                <w:jc w:val="center"/>
              </w:trPr>
              <w:tc>
                <w:tcPr>
                  <w:tcW w:w="1263" w:type="pct"/>
                  <w:tcBorders>
                    <w:tl2br w:val="nil"/>
                    <w:tr2bl w:val="nil"/>
                  </w:tcBorders>
                  <w:vAlign w:val="center"/>
                </w:tcPr>
                <w:p w14:paraId="576E593B">
                  <w:pPr>
                    <w:pStyle w:val="55"/>
                    <w:rPr>
                      <w:color w:val="auto"/>
                    </w:rPr>
                  </w:pPr>
                  <w:r>
                    <w:rPr>
                      <w:rFonts w:hint="eastAsia"/>
                      <w:color w:val="auto"/>
                    </w:rPr>
                    <w:t>J1</w:t>
                  </w:r>
                </w:p>
              </w:tc>
              <w:tc>
                <w:tcPr>
                  <w:tcW w:w="1863" w:type="pct"/>
                  <w:tcBorders>
                    <w:tl2br w:val="nil"/>
                    <w:tr2bl w:val="nil"/>
                  </w:tcBorders>
                  <w:vAlign w:val="center"/>
                </w:tcPr>
                <w:p w14:paraId="3F621A34">
                  <w:pPr>
                    <w:pStyle w:val="55"/>
                    <w:rPr>
                      <w:color w:val="auto"/>
                    </w:rPr>
                  </w:pPr>
                  <w:r>
                    <w:rPr>
                      <w:rFonts w:hint="eastAsia"/>
                      <w:color w:val="auto"/>
                    </w:rPr>
                    <w:t>3628503.909</w:t>
                  </w:r>
                </w:p>
              </w:tc>
              <w:tc>
                <w:tcPr>
                  <w:tcW w:w="1873" w:type="pct"/>
                  <w:tcBorders>
                    <w:tl2br w:val="nil"/>
                    <w:tr2bl w:val="nil"/>
                  </w:tcBorders>
                  <w:vAlign w:val="center"/>
                </w:tcPr>
                <w:p w14:paraId="31941AB4">
                  <w:pPr>
                    <w:pStyle w:val="55"/>
                    <w:rPr>
                      <w:color w:val="auto"/>
                    </w:rPr>
                  </w:pPr>
                  <w:r>
                    <w:rPr>
                      <w:rFonts w:hint="eastAsia"/>
                      <w:color w:val="auto"/>
                    </w:rPr>
                    <w:t>39461826.847</w:t>
                  </w:r>
                </w:p>
              </w:tc>
            </w:tr>
            <w:tr w14:paraId="6F6C2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1" w:hRule="atLeast"/>
                <w:jc w:val="center"/>
              </w:trPr>
              <w:tc>
                <w:tcPr>
                  <w:tcW w:w="1263" w:type="pct"/>
                  <w:tcBorders>
                    <w:tl2br w:val="nil"/>
                    <w:tr2bl w:val="nil"/>
                  </w:tcBorders>
                  <w:vAlign w:val="center"/>
                </w:tcPr>
                <w:p w14:paraId="08FB60E8">
                  <w:pPr>
                    <w:pStyle w:val="55"/>
                    <w:rPr>
                      <w:color w:val="auto"/>
                    </w:rPr>
                  </w:pPr>
                  <w:r>
                    <w:rPr>
                      <w:rFonts w:hint="eastAsia"/>
                      <w:color w:val="auto"/>
                    </w:rPr>
                    <w:t>J2</w:t>
                  </w:r>
                </w:p>
              </w:tc>
              <w:tc>
                <w:tcPr>
                  <w:tcW w:w="1863" w:type="pct"/>
                  <w:tcBorders>
                    <w:tl2br w:val="nil"/>
                    <w:tr2bl w:val="nil"/>
                  </w:tcBorders>
                  <w:vAlign w:val="center"/>
                </w:tcPr>
                <w:p w14:paraId="2EC16000">
                  <w:pPr>
                    <w:pStyle w:val="55"/>
                    <w:rPr>
                      <w:color w:val="auto"/>
                    </w:rPr>
                  </w:pPr>
                  <w:r>
                    <w:rPr>
                      <w:rFonts w:hint="eastAsia"/>
                      <w:color w:val="auto"/>
                    </w:rPr>
                    <w:t>3628538.191</w:t>
                  </w:r>
                </w:p>
              </w:tc>
              <w:tc>
                <w:tcPr>
                  <w:tcW w:w="1873" w:type="pct"/>
                  <w:tcBorders>
                    <w:tl2br w:val="nil"/>
                    <w:tr2bl w:val="nil"/>
                  </w:tcBorders>
                  <w:vAlign w:val="center"/>
                </w:tcPr>
                <w:p w14:paraId="4B8CB0EC">
                  <w:pPr>
                    <w:pStyle w:val="55"/>
                    <w:rPr>
                      <w:color w:val="auto"/>
                    </w:rPr>
                  </w:pPr>
                  <w:r>
                    <w:rPr>
                      <w:rFonts w:hint="eastAsia"/>
                      <w:color w:val="auto"/>
                    </w:rPr>
                    <w:t>39461869.112</w:t>
                  </w:r>
                </w:p>
              </w:tc>
            </w:tr>
            <w:tr w14:paraId="43439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1" w:hRule="atLeast"/>
                <w:jc w:val="center"/>
              </w:trPr>
              <w:tc>
                <w:tcPr>
                  <w:tcW w:w="1263" w:type="pct"/>
                  <w:tcBorders>
                    <w:tl2br w:val="nil"/>
                    <w:tr2bl w:val="nil"/>
                  </w:tcBorders>
                  <w:vAlign w:val="center"/>
                </w:tcPr>
                <w:p w14:paraId="2433F8B2">
                  <w:pPr>
                    <w:pStyle w:val="55"/>
                    <w:rPr>
                      <w:color w:val="auto"/>
                    </w:rPr>
                  </w:pPr>
                  <w:r>
                    <w:rPr>
                      <w:rFonts w:hint="eastAsia"/>
                      <w:color w:val="auto"/>
                    </w:rPr>
                    <w:t>J3</w:t>
                  </w:r>
                </w:p>
              </w:tc>
              <w:tc>
                <w:tcPr>
                  <w:tcW w:w="1863" w:type="pct"/>
                  <w:tcBorders>
                    <w:tl2br w:val="nil"/>
                    <w:tr2bl w:val="nil"/>
                  </w:tcBorders>
                  <w:vAlign w:val="center"/>
                </w:tcPr>
                <w:p w14:paraId="78D88CD1">
                  <w:pPr>
                    <w:pStyle w:val="55"/>
                    <w:rPr>
                      <w:color w:val="auto"/>
                    </w:rPr>
                  </w:pPr>
                  <w:r>
                    <w:rPr>
                      <w:rFonts w:hint="eastAsia"/>
                      <w:color w:val="auto"/>
                    </w:rPr>
                    <w:t>3628446.932</w:t>
                  </w:r>
                </w:p>
              </w:tc>
              <w:tc>
                <w:tcPr>
                  <w:tcW w:w="1873" w:type="pct"/>
                  <w:tcBorders>
                    <w:tl2br w:val="nil"/>
                    <w:tr2bl w:val="nil"/>
                  </w:tcBorders>
                  <w:vAlign w:val="center"/>
                </w:tcPr>
                <w:p w14:paraId="269F2B0F">
                  <w:pPr>
                    <w:pStyle w:val="55"/>
                    <w:rPr>
                      <w:color w:val="auto"/>
                    </w:rPr>
                  </w:pPr>
                  <w:r>
                    <w:rPr>
                      <w:rFonts w:hint="eastAsia"/>
                      <w:color w:val="auto"/>
                    </w:rPr>
                    <w:t>39461963.790</w:t>
                  </w:r>
                </w:p>
              </w:tc>
            </w:tr>
            <w:tr w14:paraId="34E8D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1" w:hRule="atLeast"/>
                <w:jc w:val="center"/>
              </w:trPr>
              <w:tc>
                <w:tcPr>
                  <w:tcW w:w="1263" w:type="pct"/>
                  <w:tcBorders>
                    <w:tl2br w:val="nil"/>
                    <w:tr2bl w:val="nil"/>
                  </w:tcBorders>
                  <w:vAlign w:val="center"/>
                </w:tcPr>
                <w:p w14:paraId="143BEC03">
                  <w:pPr>
                    <w:pStyle w:val="55"/>
                    <w:rPr>
                      <w:color w:val="auto"/>
                    </w:rPr>
                  </w:pPr>
                  <w:r>
                    <w:rPr>
                      <w:rFonts w:hint="eastAsia"/>
                      <w:color w:val="auto"/>
                    </w:rPr>
                    <w:t>J4</w:t>
                  </w:r>
                </w:p>
              </w:tc>
              <w:tc>
                <w:tcPr>
                  <w:tcW w:w="1863" w:type="pct"/>
                  <w:tcBorders>
                    <w:tl2br w:val="nil"/>
                    <w:tr2bl w:val="nil"/>
                  </w:tcBorders>
                  <w:vAlign w:val="center"/>
                </w:tcPr>
                <w:p w14:paraId="59D9E5B6">
                  <w:pPr>
                    <w:pStyle w:val="55"/>
                    <w:rPr>
                      <w:color w:val="auto"/>
                    </w:rPr>
                  </w:pPr>
                  <w:r>
                    <w:rPr>
                      <w:rFonts w:hint="eastAsia"/>
                      <w:color w:val="auto"/>
                    </w:rPr>
                    <w:t>3628356.865</w:t>
                  </w:r>
                </w:p>
              </w:tc>
              <w:tc>
                <w:tcPr>
                  <w:tcW w:w="1873" w:type="pct"/>
                  <w:tcBorders>
                    <w:tl2br w:val="nil"/>
                    <w:tr2bl w:val="nil"/>
                  </w:tcBorders>
                  <w:vAlign w:val="center"/>
                </w:tcPr>
                <w:p w14:paraId="174E60EB">
                  <w:pPr>
                    <w:pStyle w:val="55"/>
                    <w:rPr>
                      <w:color w:val="auto"/>
                    </w:rPr>
                  </w:pPr>
                  <w:r>
                    <w:rPr>
                      <w:rFonts w:hint="eastAsia"/>
                      <w:color w:val="auto"/>
                    </w:rPr>
                    <w:t>39461861.819</w:t>
                  </w:r>
                </w:p>
              </w:tc>
            </w:tr>
            <w:tr w14:paraId="6CEC7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1" w:hRule="atLeast"/>
                <w:jc w:val="center"/>
              </w:trPr>
              <w:tc>
                <w:tcPr>
                  <w:tcW w:w="1263" w:type="pct"/>
                  <w:tcBorders>
                    <w:tl2br w:val="nil"/>
                    <w:tr2bl w:val="nil"/>
                  </w:tcBorders>
                  <w:vAlign w:val="center"/>
                </w:tcPr>
                <w:p w14:paraId="647818F2">
                  <w:pPr>
                    <w:pStyle w:val="55"/>
                    <w:rPr>
                      <w:color w:val="auto"/>
                    </w:rPr>
                  </w:pPr>
                  <w:r>
                    <w:rPr>
                      <w:rFonts w:hint="eastAsia"/>
                      <w:color w:val="auto"/>
                    </w:rPr>
                    <w:t>J5</w:t>
                  </w:r>
                </w:p>
              </w:tc>
              <w:tc>
                <w:tcPr>
                  <w:tcW w:w="1863" w:type="pct"/>
                  <w:tcBorders>
                    <w:tl2br w:val="nil"/>
                    <w:tr2bl w:val="nil"/>
                  </w:tcBorders>
                  <w:vAlign w:val="center"/>
                </w:tcPr>
                <w:p w14:paraId="6E61F392">
                  <w:pPr>
                    <w:pStyle w:val="55"/>
                    <w:rPr>
                      <w:color w:val="auto"/>
                    </w:rPr>
                  </w:pPr>
                  <w:r>
                    <w:rPr>
                      <w:rFonts w:hint="eastAsia"/>
                      <w:color w:val="auto"/>
                    </w:rPr>
                    <w:t>3628350.239</w:t>
                  </w:r>
                </w:p>
              </w:tc>
              <w:tc>
                <w:tcPr>
                  <w:tcW w:w="1873" w:type="pct"/>
                  <w:tcBorders>
                    <w:tl2br w:val="nil"/>
                    <w:tr2bl w:val="nil"/>
                  </w:tcBorders>
                  <w:vAlign w:val="center"/>
                </w:tcPr>
                <w:p w14:paraId="3ECA2B50">
                  <w:pPr>
                    <w:pStyle w:val="55"/>
                    <w:rPr>
                      <w:color w:val="auto"/>
                    </w:rPr>
                  </w:pPr>
                  <w:r>
                    <w:rPr>
                      <w:rFonts w:hint="eastAsia"/>
                      <w:color w:val="auto"/>
                    </w:rPr>
                    <w:t>39461854.317</w:t>
                  </w:r>
                </w:p>
              </w:tc>
            </w:tr>
            <w:tr w14:paraId="01224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1" w:hRule="atLeast"/>
                <w:jc w:val="center"/>
              </w:trPr>
              <w:tc>
                <w:tcPr>
                  <w:tcW w:w="1263" w:type="pct"/>
                  <w:tcBorders>
                    <w:tl2br w:val="nil"/>
                    <w:tr2bl w:val="nil"/>
                  </w:tcBorders>
                  <w:vAlign w:val="center"/>
                </w:tcPr>
                <w:p w14:paraId="47CCE112">
                  <w:pPr>
                    <w:pStyle w:val="55"/>
                    <w:rPr>
                      <w:color w:val="auto"/>
                    </w:rPr>
                  </w:pPr>
                  <w:r>
                    <w:rPr>
                      <w:rFonts w:hint="eastAsia"/>
                      <w:color w:val="auto"/>
                    </w:rPr>
                    <w:t>J6</w:t>
                  </w:r>
                </w:p>
              </w:tc>
              <w:tc>
                <w:tcPr>
                  <w:tcW w:w="1863" w:type="pct"/>
                  <w:tcBorders>
                    <w:tl2br w:val="nil"/>
                    <w:tr2bl w:val="nil"/>
                  </w:tcBorders>
                  <w:vAlign w:val="center"/>
                </w:tcPr>
                <w:p w14:paraId="19E34D47">
                  <w:pPr>
                    <w:pStyle w:val="55"/>
                    <w:rPr>
                      <w:color w:val="auto"/>
                    </w:rPr>
                  </w:pPr>
                  <w:r>
                    <w:rPr>
                      <w:rFonts w:hint="eastAsia"/>
                      <w:color w:val="auto"/>
                    </w:rPr>
                    <w:t>3628371.536</w:t>
                  </w:r>
                </w:p>
              </w:tc>
              <w:tc>
                <w:tcPr>
                  <w:tcW w:w="1873" w:type="pct"/>
                  <w:tcBorders>
                    <w:tl2br w:val="nil"/>
                    <w:tr2bl w:val="nil"/>
                  </w:tcBorders>
                  <w:vAlign w:val="center"/>
                </w:tcPr>
                <w:p w14:paraId="4018592F">
                  <w:pPr>
                    <w:pStyle w:val="55"/>
                    <w:rPr>
                      <w:color w:val="auto"/>
                    </w:rPr>
                  </w:pPr>
                  <w:r>
                    <w:rPr>
                      <w:rFonts w:hint="eastAsia"/>
                      <w:color w:val="auto"/>
                    </w:rPr>
                    <w:t>39461834.680</w:t>
                  </w:r>
                </w:p>
              </w:tc>
            </w:tr>
            <w:tr w14:paraId="4BF94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1" w:hRule="atLeast"/>
                <w:jc w:val="center"/>
              </w:trPr>
              <w:tc>
                <w:tcPr>
                  <w:tcW w:w="1263" w:type="pct"/>
                  <w:tcBorders>
                    <w:tl2br w:val="nil"/>
                    <w:tr2bl w:val="nil"/>
                  </w:tcBorders>
                  <w:vAlign w:val="center"/>
                </w:tcPr>
                <w:p w14:paraId="1B64BD0B">
                  <w:pPr>
                    <w:pStyle w:val="55"/>
                    <w:rPr>
                      <w:color w:val="auto"/>
                    </w:rPr>
                  </w:pPr>
                  <w:r>
                    <w:rPr>
                      <w:rFonts w:hint="eastAsia"/>
                      <w:color w:val="auto"/>
                    </w:rPr>
                    <w:t>J7</w:t>
                  </w:r>
                </w:p>
              </w:tc>
              <w:tc>
                <w:tcPr>
                  <w:tcW w:w="1863" w:type="pct"/>
                  <w:tcBorders>
                    <w:tl2br w:val="nil"/>
                    <w:tr2bl w:val="nil"/>
                  </w:tcBorders>
                  <w:vAlign w:val="center"/>
                </w:tcPr>
                <w:p w14:paraId="02B4FD15">
                  <w:pPr>
                    <w:pStyle w:val="55"/>
                    <w:rPr>
                      <w:color w:val="auto"/>
                    </w:rPr>
                  </w:pPr>
                  <w:r>
                    <w:rPr>
                      <w:rFonts w:hint="eastAsia"/>
                      <w:color w:val="auto"/>
                    </w:rPr>
                    <w:t>3628399.298</w:t>
                  </w:r>
                </w:p>
              </w:tc>
              <w:tc>
                <w:tcPr>
                  <w:tcW w:w="1873" w:type="pct"/>
                  <w:tcBorders>
                    <w:tl2br w:val="nil"/>
                    <w:tr2bl w:val="nil"/>
                  </w:tcBorders>
                  <w:vAlign w:val="center"/>
                </w:tcPr>
                <w:p w14:paraId="745DC270">
                  <w:pPr>
                    <w:pStyle w:val="55"/>
                    <w:rPr>
                      <w:color w:val="auto"/>
                    </w:rPr>
                  </w:pPr>
                  <w:r>
                    <w:rPr>
                      <w:rFonts w:hint="eastAsia"/>
                      <w:color w:val="auto"/>
                    </w:rPr>
                    <w:t>39461809.081</w:t>
                  </w:r>
                </w:p>
              </w:tc>
            </w:tr>
            <w:tr w14:paraId="3804F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1" w:hRule="atLeast"/>
                <w:jc w:val="center"/>
              </w:trPr>
              <w:tc>
                <w:tcPr>
                  <w:tcW w:w="1263" w:type="pct"/>
                  <w:tcBorders>
                    <w:tl2br w:val="nil"/>
                    <w:tr2bl w:val="nil"/>
                  </w:tcBorders>
                  <w:vAlign w:val="center"/>
                </w:tcPr>
                <w:p w14:paraId="3521D69F">
                  <w:pPr>
                    <w:pStyle w:val="55"/>
                    <w:rPr>
                      <w:color w:val="auto"/>
                    </w:rPr>
                  </w:pPr>
                  <w:r>
                    <w:rPr>
                      <w:rFonts w:hint="eastAsia"/>
                      <w:color w:val="auto"/>
                    </w:rPr>
                    <w:t>J8</w:t>
                  </w:r>
                </w:p>
              </w:tc>
              <w:tc>
                <w:tcPr>
                  <w:tcW w:w="1863" w:type="pct"/>
                  <w:tcBorders>
                    <w:tl2br w:val="nil"/>
                    <w:tr2bl w:val="nil"/>
                  </w:tcBorders>
                  <w:vAlign w:val="center"/>
                </w:tcPr>
                <w:p w14:paraId="6E336F45">
                  <w:pPr>
                    <w:pStyle w:val="55"/>
                    <w:rPr>
                      <w:color w:val="auto"/>
                    </w:rPr>
                  </w:pPr>
                  <w:r>
                    <w:rPr>
                      <w:rFonts w:hint="eastAsia"/>
                      <w:color w:val="auto"/>
                    </w:rPr>
                    <w:t>3628421.200</w:t>
                  </w:r>
                </w:p>
              </w:tc>
              <w:tc>
                <w:tcPr>
                  <w:tcW w:w="1873" w:type="pct"/>
                  <w:tcBorders>
                    <w:tl2br w:val="nil"/>
                    <w:tr2bl w:val="nil"/>
                  </w:tcBorders>
                  <w:vAlign w:val="center"/>
                </w:tcPr>
                <w:p w14:paraId="46409E48">
                  <w:pPr>
                    <w:pStyle w:val="55"/>
                    <w:rPr>
                      <w:color w:val="auto"/>
                    </w:rPr>
                  </w:pPr>
                  <w:r>
                    <w:rPr>
                      <w:rFonts w:hint="eastAsia"/>
                      <w:color w:val="auto"/>
                    </w:rPr>
                    <w:t>39461788.885</w:t>
                  </w:r>
                </w:p>
              </w:tc>
            </w:tr>
            <w:tr w14:paraId="6AE14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1" w:hRule="atLeast"/>
                <w:jc w:val="center"/>
              </w:trPr>
              <w:tc>
                <w:tcPr>
                  <w:tcW w:w="1263" w:type="pct"/>
                  <w:tcBorders>
                    <w:tl2br w:val="nil"/>
                    <w:tr2bl w:val="nil"/>
                  </w:tcBorders>
                  <w:vAlign w:val="center"/>
                </w:tcPr>
                <w:p w14:paraId="32CADF6A">
                  <w:pPr>
                    <w:pStyle w:val="55"/>
                    <w:rPr>
                      <w:color w:val="auto"/>
                    </w:rPr>
                  </w:pPr>
                  <w:r>
                    <w:rPr>
                      <w:rFonts w:hint="eastAsia"/>
                      <w:color w:val="auto"/>
                    </w:rPr>
                    <w:t>J9</w:t>
                  </w:r>
                </w:p>
              </w:tc>
              <w:tc>
                <w:tcPr>
                  <w:tcW w:w="1863" w:type="pct"/>
                  <w:tcBorders>
                    <w:tl2br w:val="nil"/>
                    <w:tr2bl w:val="nil"/>
                  </w:tcBorders>
                  <w:vAlign w:val="center"/>
                </w:tcPr>
                <w:p w14:paraId="2BE9C066">
                  <w:pPr>
                    <w:pStyle w:val="55"/>
                    <w:rPr>
                      <w:color w:val="auto"/>
                    </w:rPr>
                  </w:pPr>
                  <w:r>
                    <w:rPr>
                      <w:rFonts w:hint="eastAsia"/>
                      <w:color w:val="auto"/>
                    </w:rPr>
                    <w:t>3628431.396</w:t>
                  </w:r>
                </w:p>
              </w:tc>
              <w:tc>
                <w:tcPr>
                  <w:tcW w:w="1873" w:type="pct"/>
                  <w:tcBorders>
                    <w:tl2br w:val="nil"/>
                    <w:tr2bl w:val="nil"/>
                  </w:tcBorders>
                  <w:vAlign w:val="center"/>
                </w:tcPr>
                <w:p w14:paraId="4186C932">
                  <w:pPr>
                    <w:pStyle w:val="55"/>
                    <w:rPr>
                      <w:color w:val="auto"/>
                    </w:rPr>
                  </w:pPr>
                  <w:r>
                    <w:rPr>
                      <w:rFonts w:hint="eastAsia"/>
                      <w:color w:val="auto"/>
                    </w:rPr>
                    <w:t>39461779.485</w:t>
                  </w:r>
                </w:p>
              </w:tc>
            </w:tr>
            <w:tr w14:paraId="4E0B5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1" w:hRule="atLeast"/>
                <w:jc w:val="center"/>
              </w:trPr>
              <w:tc>
                <w:tcPr>
                  <w:tcW w:w="1263" w:type="pct"/>
                  <w:tcBorders>
                    <w:tl2br w:val="nil"/>
                    <w:tr2bl w:val="nil"/>
                  </w:tcBorders>
                  <w:vAlign w:val="center"/>
                </w:tcPr>
                <w:p w14:paraId="5FC2E32D">
                  <w:pPr>
                    <w:pStyle w:val="55"/>
                    <w:rPr>
                      <w:color w:val="auto"/>
                    </w:rPr>
                  </w:pPr>
                  <w:r>
                    <w:rPr>
                      <w:rFonts w:hint="eastAsia"/>
                      <w:color w:val="auto"/>
                    </w:rPr>
                    <w:t>J10</w:t>
                  </w:r>
                </w:p>
              </w:tc>
              <w:tc>
                <w:tcPr>
                  <w:tcW w:w="1863" w:type="pct"/>
                  <w:tcBorders>
                    <w:tl2br w:val="nil"/>
                    <w:tr2bl w:val="nil"/>
                  </w:tcBorders>
                  <w:vAlign w:val="center"/>
                </w:tcPr>
                <w:p w14:paraId="52921CAC">
                  <w:pPr>
                    <w:pStyle w:val="55"/>
                    <w:rPr>
                      <w:color w:val="auto"/>
                    </w:rPr>
                  </w:pPr>
                  <w:r>
                    <w:rPr>
                      <w:rFonts w:hint="eastAsia"/>
                      <w:color w:val="auto"/>
                    </w:rPr>
                    <w:t>3628441.237</w:t>
                  </w:r>
                </w:p>
              </w:tc>
              <w:tc>
                <w:tcPr>
                  <w:tcW w:w="1873" w:type="pct"/>
                  <w:tcBorders>
                    <w:tl2br w:val="nil"/>
                    <w:tr2bl w:val="nil"/>
                  </w:tcBorders>
                  <w:vAlign w:val="center"/>
                </w:tcPr>
                <w:p w14:paraId="4A62DED5">
                  <w:pPr>
                    <w:pStyle w:val="55"/>
                    <w:rPr>
                      <w:color w:val="auto"/>
                    </w:rPr>
                  </w:pPr>
                  <w:r>
                    <w:rPr>
                      <w:rFonts w:hint="eastAsia"/>
                      <w:color w:val="auto"/>
                    </w:rPr>
                    <w:t>39461791.852</w:t>
                  </w:r>
                </w:p>
              </w:tc>
            </w:tr>
            <w:tr w14:paraId="16F49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1" w:hRule="atLeast"/>
                <w:jc w:val="center"/>
              </w:trPr>
              <w:tc>
                <w:tcPr>
                  <w:tcW w:w="1263" w:type="pct"/>
                  <w:tcBorders>
                    <w:tl2br w:val="nil"/>
                    <w:tr2bl w:val="nil"/>
                  </w:tcBorders>
                  <w:vAlign w:val="center"/>
                </w:tcPr>
                <w:p w14:paraId="251D6C0A">
                  <w:pPr>
                    <w:pStyle w:val="55"/>
                    <w:rPr>
                      <w:color w:val="auto"/>
                    </w:rPr>
                  </w:pPr>
                  <w:r>
                    <w:rPr>
                      <w:rFonts w:hint="eastAsia"/>
                      <w:color w:val="auto"/>
                    </w:rPr>
                    <w:t>J11</w:t>
                  </w:r>
                </w:p>
              </w:tc>
              <w:tc>
                <w:tcPr>
                  <w:tcW w:w="1863" w:type="pct"/>
                  <w:tcBorders>
                    <w:tl2br w:val="nil"/>
                    <w:tr2bl w:val="nil"/>
                  </w:tcBorders>
                  <w:vAlign w:val="center"/>
                </w:tcPr>
                <w:p w14:paraId="74C6734D">
                  <w:pPr>
                    <w:pStyle w:val="55"/>
                    <w:rPr>
                      <w:color w:val="auto"/>
                    </w:rPr>
                  </w:pPr>
                  <w:r>
                    <w:rPr>
                      <w:rFonts w:hint="eastAsia"/>
                      <w:color w:val="auto"/>
                    </w:rPr>
                    <w:t>3628482.628</w:t>
                  </w:r>
                </w:p>
              </w:tc>
              <w:tc>
                <w:tcPr>
                  <w:tcW w:w="1873" w:type="pct"/>
                  <w:tcBorders>
                    <w:tl2br w:val="nil"/>
                    <w:tr2bl w:val="nil"/>
                  </w:tcBorders>
                  <w:vAlign w:val="center"/>
                </w:tcPr>
                <w:p w14:paraId="7C424F99">
                  <w:pPr>
                    <w:pStyle w:val="55"/>
                    <w:rPr>
                      <w:color w:val="auto"/>
                    </w:rPr>
                  </w:pPr>
                  <w:r>
                    <w:rPr>
                      <w:rFonts w:hint="eastAsia"/>
                      <w:color w:val="auto"/>
                    </w:rPr>
                    <w:t>39461843.870</w:t>
                  </w:r>
                </w:p>
              </w:tc>
            </w:tr>
            <w:tr w14:paraId="541EA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1" w:hRule="atLeast"/>
                <w:jc w:val="center"/>
              </w:trPr>
              <w:tc>
                <w:tcPr>
                  <w:tcW w:w="1263" w:type="pct"/>
                  <w:tcBorders>
                    <w:tl2br w:val="nil"/>
                    <w:tr2bl w:val="nil"/>
                  </w:tcBorders>
                  <w:vAlign w:val="center"/>
                </w:tcPr>
                <w:p w14:paraId="41A69252">
                  <w:pPr>
                    <w:pStyle w:val="55"/>
                    <w:rPr>
                      <w:color w:val="auto"/>
                    </w:rPr>
                  </w:pPr>
                  <w:r>
                    <w:rPr>
                      <w:rFonts w:hint="eastAsia"/>
                      <w:color w:val="auto"/>
                    </w:rPr>
                    <w:t>J1</w:t>
                  </w:r>
                </w:p>
              </w:tc>
              <w:tc>
                <w:tcPr>
                  <w:tcW w:w="1863" w:type="pct"/>
                  <w:tcBorders>
                    <w:tl2br w:val="nil"/>
                    <w:tr2bl w:val="nil"/>
                  </w:tcBorders>
                  <w:vAlign w:val="center"/>
                </w:tcPr>
                <w:p w14:paraId="2E4818E0">
                  <w:pPr>
                    <w:pStyle w:val="55"/>
                    <w:rPr>
                      <w:color w:val="auto"/>
                    </w:rPr>
                  </w:pPr>
                  <w:r>
                    <w:rPr>
                      <w:rFonts w:hint="eastAsia"/>
                      <w:color w:val="auto"/>
                    </w:rPr>
                    <w:t>3628503.909</w:t>
                  </w:r>
                </w:p>
              </w:tc>
              <w:tc>
                <w:tcPr>
                  <w:tcW w:w="1873" w:type="pct"/>
                  <w:tcBorders>
                    <w:tl2br w:val="nil"/>
                    <w:tr2bl w:val="nil"/>
                  </w:tcBorders>
                  <w:vAlign w:val="center"/>
                </w:tcPr>
                <w:p w14:paraId="1EEF0EFC">
                  <w:pPr>
                    <w:pStyle w:val="55"/>
                    <w:rPr>
                      <w:color w:val="auto"/>
                    </w:rPr>
                  </w:pPr>
                  <w:r>
                    <w:rPr>
                      <w:rFonts w:hint="eastAsia"/>
                      <w:color w:val="auto"/>
                    </w:rPr>
                    <w:t>39461826.847</w:t>
                  </w:r>
                </w:p>
              </w:tc>
            </w:tr>
            <w:tr w14:paraId="64344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97" w:hRule="atLeast"/>
                <w:jc w:val="center"/>
              </w:trPr>
              <w:tc>
                <w:tcPr>
                  <w:tcW w:w="5000" w:type="pct"/>
                  <w:gridSpan w:val="3"/>
                  <w:tcBorders>
                    <w:tl2br w:val="nil"/>
                    <w:tr2bl w:val="nil"/>
                  </w:tcBorders>
                  <w:vAlign w:val="center"/>
                </w:tcPr>
                <w:p w14:paraId="375C1F94">
                  <w:pPr>
                    <w:pStyle w:val="55"/>
                    <w:rPr>
                      <w:color w:val="auto"/>
                    </w:rPr>
                  </w:pPr>
                  <w:r>
                    <w:rPr>
                      <w:rFonts w:hint="eastAsia"/>
                      <w:color w:val="auto"/>
                    </w:rPr>
                    <w:drawing>
                      <wp:inline distT="0" distB="0" distL="114300" distR="114300">
                        <wp:extent cx="4883150" cy="3625850"/>
                        <wp:effectExtent l="0" t="0" r="12700" b="12700"/>
                        <wp:docPr id="4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
                                <pic:cNvPicPr>
                                  <a:picLocks noChangeAspect="1"/>
                                </pic:cNvPicPr>
                              </pic:nvPicPr>
                              <pic:blipFill>
                                <a:blip r:embed="rId12"/>
                                <a:stretch>
                                  <a:fillRect/>
                                </a:stretch>
                              </pic:blipFill>
                              <pic:spPr>
                                <a:xfrm>
                                  <a:off x="0" y="0"/>
                                  <a:ext cx="4883150" cy="3625850"/>
                                </a:xfrm>
                                <a:prstGeom prst="rect">
                                  <a:avLst/>
                                </a:prstGeom>
                                <a:noFill/>
                                <a:ln>
                                  <a:noFill/>
                                </a:ln>
                              </pic:spPr>
                            </pic:pic>
                          </a:graphicData>
                        </a:graphic>
                      </wp:inline>
                    </w:drawing>
                  </w:r>
                </w:p>
              </w:tc>
            </w:tr>
          </w:tbl>
          <w:p w14:paraId="457809F9">
            <w:pPr>
              <w:pStyle w:val="51"/>
              <w:rPr>
                <w:color w:val="auto"/>
              </w:rPr>
            </w:pPr>
          </w:p>
          <w:p w14:paraId="2923622F">
            <w:pPr>
              <w:pStyle w:val="48"/>
              <w:rPr>
                <w:color w:val="auto"/>
              </w:rPr>
            </w:pPr>
            <w:r>
              <w:rPr>
                <w:rFonts w:hint="eastAsia"/>
                <w:color w:val="auto"/>
              </w:rPr>
              <w:t>（五）线路路径走向</w:t>
            </w:r>
          </w:p>
          <w:p w14:paraId="4D7A7EEA">
            <w:pPr>
              <w:pStyle w:val="51"/>
              <w:rPr>
                <w:color w:val="auto"/>
              </w:rPr>
            </w:pPr>
            <w:r>
              <w:rPr>
                <w:rFonts w:hint="eastAsia"/>
                <w:color w:val="auto"/>
              </w:rPr>
              <w:t>本工程22</w:t>
            </w:r>
            <w:r>
              <w:rPr>
                <w:color w:val="auto"/>
              </w:rPr>
              <w:t>0</w:t>
            </w:r>
            <w:r>
              <w:rPr>
                <w:rFonts w:hint="eastAsia"/>
                <w:color w:val="auto"/>
              </w:rPr>
              <w:t>kV线路路径走向如下：</w:t>
            </w:r>
          </w:p>
          <w:p w14:paraId="6F63A8AD">
            <w:pPr>
              <w:pStyle w:val="51"/>
              <w:rPr>
                <w:color w:val="auto"/>
              </w:rPr>
            </w:pPr>
            <w:r>
              <w:rPr>
                <w:rFonts w:hint="eastAsia"/>
                <w:color w:val="auto"/>
              </w:rPr>
              <w:t>线路起于拟建顾桥220kV升压站220kV构架，止于500kV华润汇集变220kV GIS终端，线路采用角钢塔、钢管杆和电缆混合架/敷设，路径总长度约5.01km，其中双回架空线路长约4.6km，电缆路径长约0.41km。</w:t>
            </w:r>
          </w:p>
          <w:p w14:paraId="5D4AF499">
            <w:pPr>
              <w:pStyle w:val="73"/>
              <w:rPr>
                <w:color w:val="auto"/>
              </w:rPr>
            </w:pPr>
            <w:r>
              <w:rPr>
                <w:rFonts w:hint="eastAsia"/>
                <w:color w:val="auto"/>
              </w:rPr>
              <w:drawing>
                <wp:inline distT="0" distB="0" distL="114300" distR="114300">
                  <wp:extent cx="5019675" cy="1445260"/>
                  <wp:effectExtent l="0" t="0" r="9525" b="2540"/>
                  <wp:docPr id="6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1"/>
                          <pic:cNvPicPr>
                            <a:picLocks noChangeAspect="1"/>
                          </pic:cNvPicPr>
                        </pic:nvPicPr>
                        <pic:blipFill>
                          <a:blip r:embed="rId13"/>
                          <a:stretch>
                            <a:fillRect/>
                          </a:stretch>
                        </pic:blipFill>
                        <pic:spPr>
                          <a:xfrm>
                            <a:off x="0" y="0"/>
                            <a:ext cx="5019675" cy="1445260"/>
                          </a:xfrm>
                          <a:prstGeom prst="rect">
                            <a:avLst/>
                          </a:prstGeom>
                          <a:noFill/>
                          <a:ln>
                            <a:noFill/>
                          </a:ln>
                        </pic:spPr>
                      </pic:pic>
                    </a:graphicData>
                  </a:graphic>
                </wp:inline>
              </w:drawing>
            </w:r>
          </w:p>
          <w:p w14:paraId="1F96863F">
            <w:pPr>
              <w:pStyle w:val="73"/>
              <w:rPr>
                <w:color w:val="auto"/>
              </w:rPr>
            </w:pPr>
            <w:r>
              <w:rPr>
                <w:rFonts w:hint="eastAsia"/>
                <w:color w:val="auto"/>
              </w:rPr>
              <w:t>图2-1  线路工程拓扑图</w:t>
            </w:r>
          </w:p>
          <w:p w14:paraId="6CA8F19B">
            <w:pPr>
              <w:pStyle w:val="51"/>
              <w:ind w:firstLine="482"/>
              <w:rPr>
                <w:b/>
                <w:bCs/>
                <w:color w:val="auto"/>
              </w:rPr>
            </w:pPr>
            <w:r>
              <w:rPr>
                <w:rFonts w:hint="eastAsia"/>
                <w:b/>
                <w:bCs/>
                <w:color w:val="auto"/>
              </w:rPr>
              <w:t>1.架空线路路径</w:t>
            </w:r>
          </w:p>
          <w:p w14:paraId="2849B588">
            <w:pPr>
              <w:pStyle w:val="51"/>
              <w:rPr>
                <w:color w:val="auto"/>
              </w:rPr>
            </w:pPr>
            <w:r>
              <w:rPr>
                <w:rFonts w:hint="eastAsia"/>
                <w:color w:val="auto"/>
              </w:rPr>
              <w:t>线路自220kV顾桥升压变构架采用架空方式出线，向西南跨越德上高速（G0321）后左转沿德上高速架设，采用电缆方式避让西龚村房屋后，改用架空沿德上高速架设至拐王村北侧，绕过拐王村后，继续沿德上高速向东南走线，钻越华润-汤庄500kV线路后左转，跨越X025县道后采用电缆方式从220kV桂集变与500kV华润汇集变之间敷设至500kV华润汇集变。</w:t>
            </w:r>
          </w:p>
          <w:p w14:paraId="2EC5DD60">
            <w:pPr>
              <w:pStyle w:val="51"/>
              <w:ind w:firstLine="482"/>
              <w:rPr>
                <w:b/>
                <w:bCs/>
                <w:color w:val="auto"/>
                <w:lang w:val="zh-CN"/>
              </w:rPr>
            </w:pPr>
            <w:r>
              <w:rPr>
                <w:b/>
                <w:bCs/>
                <w:color w:val="auto"/>
                <w:lang w:val="zh-CN"/>
              </w:rPr>
              <w:t>（1）跨越德上高速公路</w:t>
            </w:r>
          </w:p>
          <w:p w14:paraId="77CA83D6">
            <w:pPr>
              <w:pStyle w:val="51"/>
              <w:rPr>
                <w:color w:val="auto"/>
              </w:rPr>
            </w:pPr>
            <w:r>
              <w:rPr>
                <w:color w:val="auto"/>
                <w:lang w:val="zh-CN"/>
              </w:rPr>
              <w:t>本工程线路在G0321德上高速K664+300M处跨越1次，拟采用2基呼高30米的耐张塔跨越</w:t>
            </w:r>
            <w:r>
              <w:rPr>
                <w:rFonts w:hint="eastAsia"/>
                <w:color w:val="auto"/>
                <w:lang w:val="zh-CN"/>
              </w:rPr>
              <w:t>。线路跨越德上高速情况见图</w:t>
            </w:r>
            <w:r>
              <w:rPr>
                <w:rFonts w:hint="eastAsia"/>
                <w:color w:val="auto"/>
              </w:rPr>
              <w:t>2-1，线路跨越的德上高速现状</w:t>
            </w:r>
            <w:r>
              <w:rPr>
                <w:rFonts w:hint="eastAsia"/>
                <w:color w:val="auto"/>
                <w:lang w:val="zh-CN"/>
              </w:rPr>
              <w:t>见图</w:t>
            </w:r>
            <w:r>
              <w:rPr>
                <w:rFonts w:hint="eastAsia"/>
                <w:color w:val="auto"/>
              </w:rPr>
              <w:t>2-2。</w:t>
            </w:r>
          </w:p>
          <w:tbl>
            <w:tblPr>
              <w:tblStyle w:val="2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947"/>
            </w:tblGrid>
            <w:tr w14:paraId="416967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947" w:type="dxa"/>
                </w:tcPr>
                <w:tbl>
                  <w:tblPr>
                    <w:tblStyle w:val="26"/>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285"/>
                    <w:gridCol w:w="4285"/>
                  </w:tblGrid>
                  <w:tr w14:paraId="5CFCDA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85" w:type="dxa"/>
                      </w:tcPr>
                      <w:p w14:paraId="2F30B263">
                        <w:pPr>
                          <w:pStyle w:val="55"/>
                          <w:rPr>
                            <w:color w:val="auto"/>
                          </w:rPr>
                        </w:pPr>
                        <w:r>
                          <w:rPr>
                            <w:color w:val="auto"/>
                          </w:rPr>
                          <w:drawing>
                            <wp:inline distT="0" distB="0" distL="114300" distR="114300">
                              <wp:extent cx="2426335" cy="1513205"/>
                              <wp:effectExtent l="0" t="0" r="12065" b="10795"/>
                              <wp:docPr id="8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5"/>
                                      <pic:cNvPicPr>
                                        <a:picLocks noChangeAspect="1"/>
                                      </pic:cNvPicPr>
                                    </pic:nvPicPr>
                                    <pic:blipFill>
                                      <a:blip r:embed="rId14"/>
                                      <a:stretch>
                                        <a:fillRect/>
                                      </a:stretch>
                                    </pic:blipFill>
                                    <pic:spPr>
                                      <a:xfrm>
                                        <a:off x="0" y="0"/>
                                        <a:ext cx="2426335" cy="1513205"/>
                                      </a:xfrm>
                                      <a:prstGeom prst="rect">
                                        <a:avLst/>
                                      </a:prstGeom>
                                      <a:noFill/>
                                      <a:ln>
                                        <a:noFill/>
                                      </a:ln>
                                    </pic:spPr>
                                  </pic:pic>
                                </a:graphicData>
                              </a:graphic>
                            </wp:inline>
                          </w:drawing>
                        </w:r>
                      </w:p>
                    </w:tc>
                    <w:tc>
                      <w:tcPr>
                        <w:tcW w:w="4285" w:type="dxa"/>
                      </w:tcPr>
                      <w:p w14:paraId="7A384D5D">
                        <w:pPr>
                          <w:pStyle w:val="55"/>
                          <w:rPr>
                            <w:color w:val="auto"/>
                          </w:rPr>
                        </w:pPr>
                        <w:r>
                          <w:rPr>
                            <w:rFonts w:hint="eastAsia"/>
                            <w:color w:val="auto"/>
                          </w:rPr>
                          <w:drawing>
                            <wp:inline distT="0" distB="0" distL="114300" distR="114300">
                              <wp:extent cx="2494280" cy="1573530"/>
                              <wp:effectExtent l="0" t="0" r="1270" b="7620"/>
                              <wp:docPr id="77" name="图片 14" descr="高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4" descr="高速"/>
                                      <pic:cNvPicPr>
                                        <a:picLocks noChangeAspect="1"/>
                                      </pic:cNvPicPr>
                                    </pic:nvPicPr>
                                    <pic:blipFill>
                                      <a:blip r:embed="rId15"/>
                                      <a:srcRect r="25752" b="-3534"/>
                                      <a:stretch>
                                        <a:fillRect/>
                                      </a:stretch>
                                    </pic:blipFill>
                                    <pic:spPr>
                                      <a:xfrm>
                                        <a:off x="0" y="0"/>
                                        <a:ext cx="2494280" cy="1573530"/>
                                      </a:xfrm>
                                      <a:prstGeom prst="rect">
                                        <a:avLst/>
                                      </a:prstGeom>
                                      <a:noFill/>
                                      <a:ln>
                                        <a:noFill/>
                                      </a:ln>
                                    </pic:spPr>
                                  </pic:pic>
                                </a:graphicData>
                              </a:graphic>
                            </wp:inline>
                          </w:drawing>
                        </w:r>
                      </w:p>
                    </w:tc>
                  </w:tr>
                  <w:tr w14:paraId="38EBDA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85" w:type="dxa"/>
                      </w:tcPr>
                      <w:p w14:paraId="6B697BC3">
                        <w:pPr>
                          <w:pStyle w:val="73"/>
                          <w:rPr>
                            <w:color w:val="auto"/>
                          </w:rPr>
                        </w:pPr>
                        <w:r>
                          <w:rPr>
                            <w:rFonts w:hint="eastAsia"/>
                            <w:color w:val="auto"/>
                            <w:lang w:val="zh-CN"/>
                          </w:rPr>
                          <w:t>图</w:t>
                        </w:r>
                        <w:r>
                          <w:rPr>
                            <w:rFonts w:hint="eastAsia"/>
                            <w:color w:val="auto"/>
                          </w:rPr>
                          <w:t>2-2  线路跨越德上高速平面图</w:t>
                        </w:r>
                      </w:p>
                    </w:tc>
                    <w:tc>
                      <w:tcPr>
                        <w:tcW w:w="4285" w:type="dxa"/>
                      </w:tcPr>
                      <w:p w14:paraId="48BDEAF7">
                        <w:pPr>
                          <w:pStyle w:val="73"/>
                          <w:rPr>
                            <w:color w:val="auto"/>
                          </w:rPr>
                        </w:pPr>
                        <w:r>
                          <w:rPr>
                            <w:rFonts w:hint="eastAsia"/>
                            <w:color w:val="auto"/>
                            <w:lang w:val="zh-CN"/>
                          </w:rPr>
                          <w:t>图</w:t>
                        </w:r>
                        <w:r>
                          <w:rPr>
                            <w:rFonts w:hint="eastAsia"/>
                            <w:color w:val="auto"/>
                          </w:rPr>
                          <w:t xml:space="preserve">2-3  </w:t>
                        </w:r>
                        <w:r>
                          <w:rPr>
                            <w:rFonts w:hint="eastAsia"/>
                            <w:color w:val="auto"/>
                            <w:lang w:val="zh-CN"/>
                          </w:rPr>
                          <w:t>线路跨越的德上高速现状图</w:t>
                        </w:r>
                      </w:p>
                    </w:tc>
                  </w:tr>
                </w:tbl>
                <w:p w14:paraId="4B34BDFD">
                  <w:pPr>
                    <w:pStyle w:val="51"/>
                    <w:rPr>
                      <w:color w:val="auto"/>
                    </w:rPr>
                  </w:pPr>
                </w:p>
              </w:tc>
            </w:tr>
          </w:tbl>
          <w:p w14:paraId="03B49C7B">
            <w:pPr>
              <w:pStyle w:val="51"/>
              <w:ind w:firstLine="482"/>
              <w:rPr>
                <w:b/>
                <w:bCs/>
                <w:color w:val="auto"/>
              </w:rPr>
            </w:pPr>
            <w:r>
              <w:rPr>
                <w:rFonts w:hint="eastAsia"/>
                <w:b/>
                <w:bCs/>
                <w:color w:val="auto"/>
              </w:rPr>
              <w:t>（2）钻越拟建华润-汤庄500kV线路</w:t>
            </w:r>
          </w:p>
          <w:p w14:paraId="42E3BB47">
            <w:pPr>
              <w:pStyle w:val="51"/>
              <w:rPr>
                <w:color w:val="auto"/>
              </w:rPr>
            </w:pPr>
            <w:r>
              <w:rPr>
                <w:rFonts w:hint="eastAsia"/>
                <w:color w:val="auto"/>
              </w:rPr>
              <w:t>由于华润-汤庄500kV线路还处于可研阶段，已与相关设计联系，并让其预留足够的钻越高度。钻越塔采用2基220-HB21S-J3钻越500kV线路，钻越点对地距离12米。</w:t>
            </w:r>
          </w:p>
          <w:p w14:paraId="35946D28">
            <w:pPr>
              <w:pStyle w:val="51"/>
              <w:ind w:firstLine="482"/>
              <w:rPr>
                <w:b/>
                <w:bCs/>
                <w:color w:val="auto"/>
              </w:rPr>
            </w:pPr>
            <w:r>
              <w:rPr>
                <w:rFonts w:hint="eastAsia"/>
                <w:b/>
                <w:bCs/>
                <w:color w:val="auto"/>
              </w:rPr>
              <w:t>2.电缆线路工程</w:t>
            </w:r>
          </w:p>
          <w:p w14:paraId="1A2C739F">
            <w:pPr>
              <w:pStyle w:val="51"/>
              <w:rPr>
                <w:color w:val="auto"/>
              </w:rPr>
            </w:pPr>
            <w:r>
              <w:rPr>
                <w:rFonts w:hint="eastAsia"/>
                <w:color w:val="auto"/>
              </w:rPr>
              <w:t>本工程新建电缆路径长度约0.41km，双回敷设。电缆采用电缆型号为ZC-YJLW03-Z-127/220kV-1×2500mm</w:t>
            </w:r>
            <w:r>
              <w:rPr>
                <w:rFonts w:hint="eastAsia"/>
                <w:color w:val="auto"/>
                <w:vertAlign w:val="superscript"/>
              </w:rPr>
              <w:t>2</w:t>
            </w:r>
            <w:r>
              <w:rPr>
                <w:rFonts w:hint="eastAsia"/>
                <w:color w:val="auto"/>
              </w:rPr>
              <w:t>电力电缆，随电缆敷设2根48芯ADSS光缆。</w:t>
            </w:r>
          </w:p>
          <w:p w14:paraId="365C574E">
            <w:pPr>
              <w:pStyle w:val="51"/>
              <w:rPr>
                <w:color w:val="auto"/>
              </w:rPr>
            </w:pPr>
            <w:r>
              <w:rPr>
                <w:rFonts w:hint="eastAsia"/>
                <w:color w:val="auto"/>
              </w:rPr>
              <w:t>本工程新建电缆段的敷设方式为电缆沟。新建站外电缆沟约0.41km。</w:t>
            </w:r>
          </w:p>
          <w:p w14:paraId="0F8E1C30">
            <w:pPr>
              <w:pStyle w:val="51"/>
              <w:rPr>
                <w:color w:val="auto"/>
              </w:rPr>
            </w:pPr>
            <w:r>
              <w:rPr>
                <w:rFonts w:hint="eastAsia"/>
                <w:color w:val="auto"/>
              </w:rPr>
              <w:t>双回路盖板电缆沟道内净宽2米，净高1.7米，电缆沟壁厚设定为350mm，覆土深度为0.5m，为保证结构抗浮要求，电缆沟需外挑700mm。过路段电缆沟采用封闭式电缆沟型式，封闭式电缆沟净宽2m，净高2m，电缆沟壁厚设定为300mm，覆土深度为1m。电缆沟全部采用钢筋混凝土结构，混凝土等级为C35，双回路电缆沟设置双侧电缆支架。电缆沟底板下铺设100mm厚C20素混凝土垫层，垫层必须铺设在原状土上，否则回填土要分层夯实，保护管按向电缆工井方向倾斜不小于0.2％坡度埋设</w:t>
            </w:r>
          </w:p>
          <w:p w14:paraId="59DC108A">
            <w:pPr>
              <w:pStyle w:val="48"/>
              <w:rPr>
                <w:color w:val="auto"/>
              </w:rPr>
            </w:pPr>
            <w:r>
              <w:rPr>
                <w:rFonts w:hint="eastAsia"/>
                <w:color w:val="auto"/>
              </w:rPr>
              <w:t>（六）施工现场布置</w:t>
            </w:r>
          </w:p>
          <w:p w14:paraId="6A735353">
            <w:pPr>
              <w:pStyle w:val="51"/>
              <w:rPr>
                <w:color w:val="auto"/>
              </w:rPr>
            </w:pPr>
            <w:r>
              <w:rPr>
                <w:rFonts w:hint="eastAsia"/>
                <w:color w:val="auto"/>
              </w:rPr>
              <w:t>施工便道：塔基区施工临时道路大部分利用周边已有市政道路及机耕小路，在部分无法直接到达塔基处需新开辟部分施工便道；</w:t>
            </w:r>
          </w:p>
          <w:p w14:paraId="65508525">
            <w:pPr>
              <w:pStyle w:val="51"/>
              <w:rPr>
                <w:rFonts w:hint="eastAsia" w:ascii="宋体" w:hAnsi="宋体" w:cs="宋体"/>
                <w:color w:val="auto"/>
                <w:kern w:val="0"/>
                <w:szCs w:val="21"/>
              </w:rPr>
            </w:pPr>
            <w:r>
              <w:rPr>
                <w:rFonts w:hint="eastAsia"/>
                <w:color w:val="auto"/>
              </w:rPr>
              <w:t>施工场地：线路架设时需要布置牵张场及跨越场，根据工程路线走向及地形条件，工程共布设牵张场2处；塔基区中角钢塔以塔基根开和立柱宽基础上外扩1m作为塔基永久占地，220kV输电线路的双回路角钢塔塔基施工临时用地是以塔基根开和立柱宽基础上外扩15m扣除永久占地部分；施工区作为塔基区建设期间施工操作以及临时机械放置的场地；电缆施工区在电缆开挖沟道两侧各外扩2.5m用于电缆施工操作以及临时机械的放置。</w:t>
            </w:r>
          </w:p>
        </w:tc>
      </w:tr>
      <w:tr w14:paraId="6D800F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19" w:hRule="atLeast"/>
          <w:jc w:val="center"/>
        </w:trPr>
        <w:tc>
          <w:tcPr>
            <w:tcW w:w="1101" w:type="dxa"/>
            <w:vAlign w:val="center"/>
          </w:tcPr>
          <w:p w14:paraId="68E80EE4">
            <w:pPr>
              <w:adjustRightInd w:val="0"/>
              <w:snapToGrid w:val="0"/>
              <w:jc w:val="center"/>
              <w:rPr>
                <w:rFonts w:hint="eastAsia" w:ascii="宋体" w:hAnsi="宋体" w:cs="宋体"/>
                <w:b/>
                <w:bCs/>
                <w:kern w:val="0"/>
                <w:szCs w:val="21"/>
              </w:rPr>
            </w:pPr>
            <w:r>
              <w:rPr>
                <w:rFonts w:hint="eastAsia" w:ascii="宋体" w:hAnsi="宋体" w:cs="宋体"/>
                <w:b/>
                <w:bCs/>
                <w:kern w:val="0"/>
                <w:szCs w:val="21"/>
              </w:rPr>
              <w:t>施工方案</w:t>
            </w:r>
          </w:p>
        </w:tc>
        <w:tc>
          <w:tcPr>
            <w:tcW w:w="8185" w:type="dxa"/>
            <w:vAlign w:val="center"/>
          </w:tcPr>
          <w:p w14:paraId="2990271B">
            <w:pPr>
              <w:pStyle w:val="48"/>
              <w:rPr>
                <w:color w:val="auto"/>
              </w:rPr>
            </w:pPr>
            <w:r>
              <w:rPr>
                <w:rFonts w:hint="eastAsia"/>
                <w:color w:val="auto"/>
              </w:rPr>
              <w:t>（七）施工工艺</w:t>
            </w:r>
          </w:p>
          <w:p w14:paraId="1A390E54">
            <w:pPr>
              <w:pStyle w:val="51"/>
              <w:rPr>
                <w:color w:val="auto"/>
              </w:rPr>
            </w:pPr>
            <w:r>
              <w:rPr>
                <w:rFonts w:hint="eastAsia"/>
                <w:color w:val="auto"/>
              </w:rPr>
              <w:t>本工程为输变电工程，即将发电经过升压站提高电压，然后高压电流通过输送线路的导线送入汇集站；本项目总工期预计为12个月，工程的施工方案如下：</w:t>
            </w:r>
          </w:p>
          <w:p w14:paraId="19E765FD">
            <w:pPr>
              <w:pStyle w:val="49"/>
              <w:rPr>
                <w:color w:val="auto"/>
              </w:rPr>
            </w:pPr>
            <w:r>
              <w:rPr>
                <w:rFonts w:hint="eastAsia"/>
                <w:color w:val="auto"/>
              </w:rPr>
              <w:t>1.升压站</w:t>
            </w:r>
          </w:p>
          <w:p w14:paraId="5D405A99">
            <w:pPr>
              <w:pStyle w:val="51"/>
              <w:rPr>
                <w:color w:val="auto"/>
              </w:rPr>
            </w:pPr>
            <w:r>
              <w:rPr>
                <w:color w:val="auto"/>
              </w:rPr>
              <w:t>新建顾桥220kV升压站场地平整施工流程一般为施工准备—测量放线—场地清理（含表土剥离）—临时道路—临时水路—场地平整—细部处理等。站址可综合采用底部支挡、分级放坡、坡体排水、坡面护理等措施进行处理。建议在下阶段进行优化主要填方边坡支护方案。场地平整应保证填土压实的均匀性及密实度，一般采用推土机推平，压路机压实。</w:t>
            </w:r>
          </w:p>
          <w:p w14:paraId="08E0888F">
            <w:pPr>
              <w:pStyle w:val="51"/>
              <w:rPr>
                <w:color w:val="auto"/>
              </w:rPr>
            </w:pPr>
            <w:r>
              <w:rPr>
                <w:color w:val="auto"/>
              </w:rPr>
              <w:t>2）基坑开挖</w:t>
            </w:r>
          </w:p>
          <w:p w14:paraId="28E39BC9">
            <w:pPr>
              <w:pStyle w:val="51"/>
              <w:rPr>
                <w:color w:val="auto"/>
              </w:rPr>
            </w:pPr>
            <w:r>
              <w:rPr>
                <w:color w:val="auto"/>
              </w:rPr>
              <w:t>全站建筑物主要为预制舱室辅助用房及消防泵房。工程涉及的基坑开挖主要有建筑物基础开挖、事故储油井、化粪池以及排水管沟等开挖。基坑开挖前，先根据主体设计尺寸放样，然后采用机械及人工开挖相结合的方式。开挖的土方就近堆放，并做好临时苫盖，施工结束后及时回填，多余的土方及时清运至指定地点处置。</w:t>
            </w:r>
          </w:p>
          <w:p w14:paraId="3EDC2C96">
            <w:pPr>
              <w:pStyle w:val="51"/>
              <w:rPr>
                <w:color w:val="auto"/>
              </w:rPr>
            </w:pPr>
            <w:r>
              <w:rPr>
                <w:color w:val="auto"/>
              </w:rPr>
              <w:t>基础开挖主要包括站区围墙内所有建（构）筑物的基础。一般采用现浇混凝土独立基础，基础埋深一般为-2.0m~-3.5m。基坑开挖一般采用挖掘机进行开挖施工，基槽余土一般结合场地二次平衡时进行施工。</w:t>
            </w:r>
          </w:p>
          <w:p w14:paraId="1FA743AC">
            <w:pPr>
              <w:pStyle w:val="51"/>
              <w:rPr>
                <w:color w:val="auto"/>
              </w:rPr>
            </w:pPr>
            <w:r>
              <w:rPr>
                <w:color w:val="auto"/>
              </w:rPr>
              <w:t>3）管沟挖填</w:t>
            </w:r>
          </w:p>
          <w:p w14:paraId="6EDBD467">
            <w:pPr>
              <w:pStyle w:val="51"/>
              <w:rPr>
                <w:color w:val="auto"/>
              </w:rPr>
            </w:pPr>
            <w:r>
              <w:rPr>
                <w:color w:val="auto"/>
              </w:rPr>
              <w:t>给排水工程施工工艺流程：测量放线—沟槽开挖—软基处理—碎石垫层—管道基础垫层—管道安装—管道接口—检查井砌筑—闭水试验—土方回填。</w:t>
            </w:r>
          </w:p>
          <w:p w14:paraId="02707918">
            <w:pPr>
              <w:pStyle w:val="51"/>
              <w:rPr>
                <w:color w:val="auto"/>
              </w:rPr>
            </w:pPr>
            <w:r>
              <w:rPr>
                <w:color w:val="auto"/>
              </w:rPr>
              <w:t>站外供排水管道施工作业带：本着节约土地原则，施工作业带一侧堆放开挖土，另一侧为施工器具堆放场地。由于管沟以人工开挖作业为主，工程规模小，两侧作业带宽度各考虑约0.5~1m。管道施工作业带内只进行临时性使用土地，施工完毕后应及时恢复原地貌。</w:t>
            </w:r>
          </w:p>
          <w:p w14:paraId="2FE242FE">
            <w:pPr>
              <w:pStyle w:val="49"/>
              <w:rPr>
                <w:color w:val="auto"/>
              </w:rPr>
            </w:pPr>
            <w:r>
              <w:rPr>
                <w:rFonts w:hint="eastAsia"/>
                <w:color w:val="auto"/>
              </w:rPr>
              <w:t>2.架空输电线路</w:t>
            </w:r>
          </w:p>
          <w:p w14:paraId="1630E9BD">
            <w:pPr>
              <w:pStyle w:val="51"/>
              <w:rPr>
                <w:color w:val="auto"/>
              </w:rPr>
            </w:pPr>
            <w:r>
              <w:rPr>
                <w:rFonts w:hint="eastAsia"/>
                <w:color w:val="auto"/>
              </w:rPr>
              <w:t>施工期产污环节主要集中在新建塔基施工阶段、架线阶段。新建塔基施工阶段涉及的施工机包括打桩机、混凝土振捣器、运输车等；架线阶段涉及的施工机械包括绞线机等。主要污染因子有施工噪声、扬尘、废（污）水、固废，此外表现为土地占用、植被破坏和水土流失。</w:t>
            </w:r>
          </w:p>
          <w:p w14:paraId="6D83AB82">
            <w:pPr>
              <w:pStyle w:val="51"/>
              <w:rPr>
                <w:color w:val="auto"/>
              </w:rPr>
            </w:pPr>
            <w:r>
              <w:rPr>
                <w:rFonts w:hint="eastAsia"/>
                <w:color w:val="auto"/>
              </w:rPr>
              <w:t>高压架空输电线路建设采用张力架线方式。在展放导线过程中，展放导引绳需由人工完成，但由于导引绳一般为尼龙绳，重量轻、强度高，在展放过程中仅需清理出很窄的临时通道，对树木和农作物等造成的影响很小，且在架线工程结束后即可恢复到原来的自然状态。</w:t>
            </w:r>
          </w:p>
          <w:p w14:paraId="6F578EBD">
            <w:pPr>
              <w:pStyle w:val="51"/>
              <w:rPr>
                <w:color w:val="auto"/>
              </w:rPr>
            </w:pPr>
            <w:r>
              <w:rPr>
                <w:rFonts w:hint="eastAsia"/>
                <w:color w:val="auto"/>
              </w:rPr>
              <w:t>杆塔组立及接地工程施工流程见图2-4，架线施工流程见图2-5。</w:t>
            </w:r>
          </w:p>
          <w:p w14:paraId="0D0BD3E3">
            <w:pPr>
              <w:pStyle w:val="51"/>
              <w:rPr>
                <w:color w:val="auto"/>
              </w:rPr>
            </w:pPr>
            <w:r>
              <w:rPr>
                <w:rFonts w:hint="eastAsia"/>
                <w:color w:val="auto"/>
              </w:rPr>
              <w:t>单个塔基施工人数一般为5-8人左右，高峰期为10人，施工人员租赁施工点附近的民房作为施工营地。</w:t>
            </w:r>
          </w:p>
          <w:p w14:paraId="19CC5C3F">
            <w:pPr>
              <w:pStyle w:val="51"/>
              <w:spacing w:line="240" w:lineRule="auto"/>
              <w:ind w:firstLine="0" w:firstLineChars="0"/>
              <w:jc w:val="center"/>
              <w:rPr>
                <w:color w:val="auto"/>
              </w:rPr>
            </w:pPr>
            <w:r>
              <w:rPr>
                <w:color w:val="auto"/>
              </w:rPr>
              <w:object>
                <v:shape id="_x0000_i1025" o:spt="75" type="#_x0000_t75" style="height:315pt;width:221.5pt;" o:ole="t" filled="f" o:preferrelative="t" stroked="f" coordsize="21600,21600">
                  <v:path/>
                  <v:fill on="f" focussize="0,0"/>
                  <v:stroke on="f" joinstyle="miter"/>
                  <v:imagedata r:id="rId17" o:title=""/>
                  <o:lock v:ext="edit" aspectratio="t"/>
                  <w10:wrap type="none"/>
                  <w10:anchorlock/>
                </v:shape>
                <o:OLEObject Type="Embed" ProgID="Visio.Drawing.15" ShapeID="_x0000_i1025" DrawAspect="Content" ObjectID="_1468075725" r:id="rId16">
                  <o:LockedField>false</o:LockedField>
                </o:OLEObject>
              </w:object>
            </w:r>
          </w:p>
          <w:p w14:paraId="4FFB99E1">
            <w:pPr>
              <w:pStyle w:val="73"/>
              <w:rPr>
                <w:color w:val="auto"/>
              </w:rPr>
            </w:pPr>
            <w:r>
              <w:rPr>
                <w:rFonts w:hint="eastAsia"/>
                <w:color w:val="auto"/>
              </w:rPr>
              <w:t>图2</w:t>
            </w:r>
            <w:r>
              <w:rPr>
                <w:color w:val="auto"/>
              </w:rPr>
              <w:t>-</w:t>
            </w:r>
            <w:r>
              <w:rPr>
                <w:rFonts w:hint="eastAsia"/>
                <w:color w:val="auto"/>
              </w:rPr>
              <w:t>4</w:t>
            </w:r>
            <w:r>
              <w:rPr>
                <w:color w:val="auto"/>
              </w:rPr>
              <w:t xml:space="preserve">  </w:t>
            </w:r>
            <w:r>
              <w:rPr>
                <w:rFonts w:hint="eastAsia"/>
                <w:color w:val="auto"/>
              </w:rPr>
              <w:t>塔杆组立及接地工程施工流程图</w:t>
            </w:r>
          </w:p>
          <w:p w14:paraId="024B2109">
            <w:pPr>
              <w:pStyle w:val="51"/>
              <w:spacing w:line="240" w:lineRule="auto"/>
              <w:ind w:firstLine="0" w:firstLineChars="0"/>
              <w:jc w:val="center"/>
              <w:rPr>
                <w:color w:val="auto"/>
              </w:rPr>
            </w:pPr>
            <w:r>
              <w:rPr>
                <w:color w:val="auto"/>
              </w:rPr>
              <w:object>
                <v:shape id="_x0000_i1026" o:spt="75" type="#_x0000_t75" style="height:335.75pt;width:376.35pt;" o:ole="t" filled="f" o:preferrelative="t" stroked="f" coordsize="21600,21600">
                  <v:path/>
                  <v:fill on="f" focussize="0,0"/>
                  <v:stroke on="f" joinstyle="miter"/>
                  <v:imagedata r:id="rId19" o:title=""/>
                  <o:lock v:ext="edit" aspectratio="t"/>
                  <w10:wrap type="none"/>
                  <w10:anchorlock/>
                </v:shape>
                <o:OLEObject Type="Embed" ProgID="Visio.Drawing.15" ShapeID="_x0000_i1026" DrawAspect="Content" ObjectID="_1468075726" r:id="rId18">
                  <o:LockedField>false</o:LockedField>
                </o:OLEObject>
              </w:object>
            </w:r>
          </w:p>
          <w:p w14:paraId="173F1703">
            <w:pPr>
              <w:pStyle w:val="73"/>
              <w:rPr>
                <w:color w:val="auto"/>
              </w:rPr>
            </w:pPr>
            <w:r>
              <w:rPr>
                <w:rFonts w:hint="eastAsia"/>
                <w:color w:val="auto"/>
              </w:rPr>
              <w:t>图2</w:t>
            </w:r>
            <w:r>
              <w:rPr>
                <w:color w:val="auto"/>
              </w:rPr>
              <w:t>-</w:t>
            </w:r>
            <w:r>
              <w:rPr>
                <w:rFonts w:hint="eastAsia"/>
                <w:color w:val="auto"/>
              </w:rPr>
              <w:t>5</w:t>
            </w:r>
            <w:r>
              <w:rPr>
                <w:color w:val="auto"/>
              </w:rPr>
              <w:t xml:space="preserve">  </w:t>
            </w:r>
            <w:r>
              <w:rPr>
                <w:rFonts w:hint="eastAsia"/>
                <w:color w:val="auto"/>
              </w:rPr>
              <w:t>架线施工流程图</w:t>
            </w:r>
          </w:p>
          <w:p w14:paraId="6A627F2B">
            <w:pPr>
              <w:pStyle w:val="49"/>
              <w:rPr>
                <w:color w:val="auto"/>
              </w:rPr>
            </w:pPr>
            <w:r>
              <w:rPr>
                <w:rFonts w:hint="eastAsia"/>
                <w:color w:val="auto"/>
              </w:rPr>
              <w:t>3.电缆线路工程</w:t>
            </w:r>
          </w:p>
          <w:p w14:paraId="5FB5847D">
            <w:pPr>
              <w:pStyle w:val="51"/>
              <w:rPr>
                <w:color w:val="auto"/>
              </w:rPr>
            </w:pPr>
            <w:r>
              <w:rPr>
                <w:rFonts w:hint="eastAsia"/>
                <w:color w:val="auto"/>
              </w:rPr>
              <w:t>（1）前期准备</w:t>
            </w:r>
          </w:p>
          <w:p w14:paraId="51A89084">
            <w:pPr>
              <w:pStyle w:val="51"/>
              <w:rPr>
                <w:color w:val="auto"/>
              </w:rPr>
            </w:pPr>
            <w:r>
              <w:rPr>
                <w:rFonts w:hint="eastAsia"/>
                <w:color w:val="auto"/>
              </w:rPr>
              <w:t>在进行电缆施工之前，必须进行充分的前期准备工作。首先，需要按照设计要求制定详细的施工方案，并组织施工人员和设备的调配。其次，需要对施工现场进行勘测和清理，并确保施工现场的安全性。此外，还需要对电缆材料进行检查和验收，确保电缆的质量符合要求。</w:t>
            </w:r>
          </w:p>
          <w:p w14:paraId="4ABD0160">
            <w:pPr>
              <w:pStyle w:val="51"/>
              <w:rPr>
                <w:color w:val="auto"/>
              </w:rPr>
            </w:pPr>
            <w:r>
              <w:rPr>
                <w:rFonts w:hint="eastAsia"/>
                <w:color w:val="auto"/>
              </w:rPr>
              <w:t>（2）工作井施工</w:t>
            </w:r>
          </w:p>
          <w:p w14:paraId="4FEAAF84">
            <w:pPr>
              <w:pStyle w:val="51"/>
              <w:rPr>
                <w:color w:val="auto"/>
              </w:rPr>
            </w:pPr>
            <w:r>
              <w:rPr>
                <w:rFonts w:hint="eastAsia"/>
                <w:color w:val="auto"/>
              </w:rPr>
              <w:t>根据现场场地条件，施工时工作井四周采用市政围挡，并结合实际施工需要及市政施工管理要求，进行合理的功能分区。</w:t>
            </w:r>
          </w:p>
          <w:p w14:paraId="795C4D84">
            <w:pPr>
              <w:pStyle w:val="51"/>
              <w:rPr>
                <w:color w:val="auto"/>
              </w:rPr>
            </w:pPr>
            <w:r>
              <w:rPr>
                <w:rFonts w:hint="eastAsia"/>
                <w:color w:val="auto"/>
              </w:rPr>
              <w:t>工作井的结构及支撑根据开挖断面、挖深、地质条件、地下水状况等进行施工设计，其开挖深度满足隧道埋深及尺寸的要求。根据主体设计资料，本工程工作井采用明挖的方式，自上而下进行开挖，边开挖边支护。工作井采用钢筋混凝土护壁，根据施工设计搭建用于吊运和防护的工作平台，工作井上的平台孔口的尺寸满足施工需要及弃土吊运空间需要。工作井与隧道高差处采用钢楼梯进行施工。工作井的开挖不考虑放坡，根据施工安排一节一节进行开挖，边开挖边喷混凝土进行支护。</w:t>
            </w:r>
          </w:p>
          <w:p w14:paraId="6516B6BD">
            <w:pPr>
              <w:pStyle w:val="51"/>
              <w:rPr>
                <w:color w:val="auto"/>
              </w:rPr>
            </w:pPr>
            <w:r>
              <w:rPr>
                <w:rFonts w:hint="eastAsia"/>
                <w:color w:val="auto"/>
              </w:rPr>
              <w:t>（3）电缆通道施工</w:t>
            </w:r>
          </w:p>
          <w:p w14:paraId="336D5F2E">
            <w:pPr>
              <w:pStyle w:val="51"/>
              <w:rPr>
                <w:color w:val="auto"/>
              </w:rPr>
            </w:pPr>
            <w:r>
              <w:rPr>
                <w:rFonts w:hint="eastAsia"/>
                <w:color w:val="auto"/>
              </w:rPr>
              <w:t>工作井施工完成后，即形成隧道暗挖施工作业面。施工中遵循“预加固、强支护、短进尺、少扰动、快封闭、勤量测、速反馈、控沉陷”的原则。暗挖施工工序为超前小导管（注浆加固地层）→台阶法开挖上半断面（预留核心土起支护作用）→初期支护→上半断面预留核心土开挖→开挖下半断面→初期支护（初期支护封闭成环）→底板防水层施工→浇筑仰拱二衬→侧墙敷设及拱部防水层→浇筑侧墙及拱部二衬。为保证施工安全，每一步开挖后应立即喷砼，然后打锚杆、架立钢架、挂网，并及时混凝土浇筑。隧道挖掘过程中，将挖掘的土体破碎成便于装运的块度，采用小型机械或人工运送至施工工作井处，再利用吊车及时清运挖掘的土体并临时堆放在工作井施工区的临时占地范围内。</w:t>
            </w:r>
          </w:p>
          <w:p w14:paraId="05E93E7B">
            <w:pPr>
              <w:pStyle w:val="51"/>
              <w:rPr>
                <w:color w:val="auto"/>
              </w:rPr>
            </w:pPr>
            <w:r>
              <w:rPr>
                <w:rFonts w:hint="eastAsia"/>
                <w:color w:val="auto"/>
              </w:rPr>
              <w:t>（4）电缆接头制作</w:t>
            </w:r>
          </w:p>
          <w:p w14:paraId="600EB532">
            <w:pPr>
              <w:pStyle w:val="51"/>
              <w:rPr>
                <w:color w:val="auto"/>
              </w:rPr>
            </w:pPr>
            <w:r>
              <w:rPr>
                <w:rFonts w:hint="eastAsia"/>
                <w:color w:val="auto"/>
              </w:rPr>
              <w:t>是将两根或多根电缆连接在一起的过程。在进行电缆接头制作时，需要注意以下几点。首先，需要选择合适的接头类型和规格，以确保接头的匹配性和互换性。其次，需要根据接头的制造和施工要求进行接头的制作和安装，包括剥皮、连接和绝缘处理等。最后，需要进行接头的测试和验收，以确保接头的质量和可靠性。</w:t>
            </w:r>
          </w:p>
          <w:p w14:paraId="2F4A2811">
            <w:pPr>
              <w:pStyle w:val="48"/>
              <w:rPr>
                <w:color w:val="auto"/>
              </w:rPr>
            </w:pPr>
            <w:r>
              <w:rPr>
                <w:rFonts w:hint="eastAsia"/>
                <w:color w:val="auto"/>
              </w:rPr>
              <w:t>（八）施工时序及建设周期</w:t>
            </w:r>
          </w:p>
          <w:p w14:paraId="4AEFD30A">
            <w:pPr>
              <w:pStyle w:val="51"/>
              <w:rPr>
                <w:color w:val="auto"/>
              </w:rPr>
            </w:pPr>
            <w:r>
              <w:rPr>
                <w:rFonts w:hint="eastAsia"/>
                <w:color w:val="auto"/>
              </w:rPr>
              <w:t>本工程预计2025年3月开工建设，2026年2月完工，总工期12个月。。若项目未按原计划顺利推进，则实际竣工日期相应顺延。</w:t>
            </w:r>
          </w:p>
        </w:tc>
      </w:tr>
      <w:tr w14:paraId="274D3E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83" w:hRule="atLeast"/>
          <w:jc w:val="center"/>
        </w:trPr>
        <w:tc>
          <w:tcPr>
            <w:tcW w:w="1101" w:type="dxa"/>
            <w:vAlign w:val="center"/>
          </w:tcPr>
          <w:p w14:paraId="64E67960">
            <w:pPr>
              <w:adjustRightInd w:val="0"/>
              <w:snapToGrid w:val="0"/>
              <w:jc w:val="center"/>
              <w:rPr>
                <w:rFonts w:hint="eastAsia" w:ascii="宋体" w:hAnsi="宋体" w:cs="宋体"/>
                <w:b/>
                <w:bCs/>
                <w:kern w:val="0"/>
                <w:szCs w:val="21"/>
              </w:rPr>
            </w:pPr>
            <w:r>
              <w:rPr>
                <w:rFonts w:hint="eastAsia" w:ascii="宋体" w:hAnsi="宋体" w:cs="宋体"/>
                <w:b/>
                <w:bCs/>
                <w:kern w:val="0"/>
                <w:szCs w:val="21"/>
              </w:rPr>
              <w:t>其他</w:t>
            </w:r>
          </w:p>
        </w:tc>
        <w:tc>
          <w:tcPr>
            <w:tcW w:w="8185" w:type="dxa"/>
          </w:tcPr>
          <w:p w14:paraId="78CB38C1">
            <w:pPr>
              <w:pStyle w:val="51"/>
              <w:rPr>
                <w:color w:val="auto"/>
              </w:rPr>
            </w:pPr>
            <w:r>
              <w:rPr>
                <w:rFonts w:hint="eastAsia"/>
                <w:color w:val="auto"/>
              </w:rPr>
              <w:t>无。</w:t>
            </w:r>
          </w:p>
        </w:tc>
      </w:tr>
    </w:tbl>
    <w:p w14:paraId="59769247">
      <w:pPr>
        <w:pStyle w:val="2"/>
      </w:pPr>
      <w:r>
        <w:rPr>
          <w:rFonts w:eastAsia="仿宋_GB2312"/>
        </w:rPr>
        <w:br w:type="page"/>
      </w:r>
      <w:r>
        <w:rPr>
          <w:rFonts w:hint="eastAsia"/>
        </w:rPr>
        <w:t>三、生态环境现状、保护目标及评价标准</w:t>
      </w:r>
    </w:p>
    <w:tbl>
      <w:tblPr>
        <w:tblStyle w:val="25"/>
        <w:tblW w:w="915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04"/>
        <w:gridCol w:w="8253"/>
      </w:tblGrid>
      <w:tr w14:paraId="1B40A8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12" w:hRule="atLeast"/>
          <w:jc w:val="center"/>
        </w:trPr>
        <w:tc>
          <w:tcPr>
            <w:tcW w:w="904" w:type="dxa"/>
            <w:vAlign w:val="center"/>
          </w:tcPr>
          <w:p w14:paraId="34D69F3C">
            <w:pPr>
              <w:adjustRightInd w:val="0"/>
              <w:snapToGrid w:val="0"/>
              <w:jc w:val="center"/>
              <w:rPr>
                <w:rFonts w:hint="eastAsia" w:ascii="宋体" w:hAnsi="宋体" w:cs="宋体"/>
                <w:b/>
                <w:bCs/>
                <w:kern w:val="0"/>
                <w:szCs w:val="21"/>
              </w:rPr>
            </w:pPr>
            <w:r>
              <w:rPr>
                <w:rFonts w:hint="eastAsia" w:ascii="宋体" w:hAnsi="宋体" w:cs="宋体"/>
                <w:b/>
                <w:bCs/>
                <w:kern w:val="0"/>
                <w:szCs w:val="21"/>
              </w:rPr>
              <w:t>生态环境现状</w:t>
            </w:r>
          </w:p>
        </w:tc>
        <w:tc>
          <w:tcPr>
            <w:tcW w:w="8253" w:type="dxa"/>
          </w:tcPr>
          <w:p w14:paraId="28A79ACA">
            <w:pPr>
              <w:pStyle w:val="48"/>
              <w:rPr>
                <w:color w:val="auto"/>
              </w:rPr>
            </w:pPr>
            <w:r>
              <w:rPr>
                <w:rFonts w:hint="eastAsia"/>
                <w:color w:val="auto"/>
              </w:rPr>
              <w:t>（一）主体功能区规划情况</w:t>
            </w:r>
          </w:p>
          <w:p w14:paraId="40E9F0A1">
            <w:pPr>
              <w:pStyle w:val="51"/>
              <w:rPr>
                <w:color w:val="auto"/>
              </w:rPr>
            </w:pPr>
            <w:r>
              <w:rPr>
                <w:rFonts w:hint="eastAsia"/>
                <w:color w:val="auto"/>
              </w:rPr>
              <w:t>本项目位于凤台县桂集镇境内，根据《关于印发安徽省主体功能区划的通知》（皖政〔2013〕82号），工程所在位置属于国家农产品主产区-淮北平原主产区。</w:t>
            </w:r>
          </w:p>
          <w:p w14:paraId="69C121A2">
            <w:pPr>
              <w:pStyle w:val="51"/>
              <w:rPr>
                <w:color w:val="auto"/>
              </w:rPr>
            </w:pPr>
            <w:r>
              <w:rPr>
                <w:rFonts w:hint="eastAsia"/>
                <w:color w:val="auto"/>
              </w:rPr>
              <w:t>该区位于淮河以北，属黄淮海平原主产区，包括阜阳、亳州、淮北、宿州、淮南、蚌埠市的17个县（市），国土面积3.05万平方公里，占全省面积21.80%。该区平均海拔20—40米，全年平均气温在14—17℃之间，区内耕地面积大，人均耕地多，是我国重要的粮、棉、油、畜禽和蔬菜等农产品主产区。</w:t>
            </w:r>
          </w:p>
          <w:p w14:paraId="31343931">
            <w:pPr>
              <w:pStyle w:val="51"/>
              <w:rPr>
                <w:color w:val="auto"/>
              </w:rPr>
            </w:pPr>
            <w:r>
              <w:rPr>
                <w:rFonts w:hint="eastAsia"/>
                <w:color w:val="auto"/>
              </w:rPr>
              <w:t>功能定位：国家专用优质小麦、优质玉米生产区，全国重要的畜禽产品和中药材生产基地，农产品生产加工流通优势区，工业化、信息化、城镇化和农业现代化同步发展引领区。</w:t>
            </w:r>
          </w:p>
          <w:p w14:paraId="3B82D183">
            <w:pPr>
              <w:pStyle w:val="51"/>
              <w:rPr>
                <w:color w:val="auto"/>
              </w:rPr>
            </w:pPr>
            <w:r>
              <w:rPr>
                <w:rFonts w:hint="eastAsia"/>
                <w:color w:val="auto"/>
              </w:rPr>
              <w:t>——严格保护耕地，提高农业现代化水平，优化农业产业结构，积极开展农业规模化经营，集中力量建设粮食生产核心区。</w:t>
            </w:r>
          </w:p>
          <w:p w14:paraId="24AC57B9">
            <w:pPr>
              <w:pStyle w:val="51"/>
              <w:rPr>
                <w:color w:val="auto"/>
              </w:rPr>
            </w:pPr>
            <w:r>
              <w:rPr>
                <w:rFonts w:hint="eastAsia"/>
                <w:color w:val="auto"/>
              </w:rPr>
              <w:t>——大力发展农副产品加工业，提高市场化程度，提升农业产业化水平，增强农村经济实力。</w:t>
            </w:r>
          </w:p>
          <w:p w14:paraId="02AE127A">
            <w:pPr>
              <w:pStyle w:val="51"/>
              <w:rPr>
                <w:color w:val="auto"/>
              </w:rPr>
            </w:pPr>
            <w:r>
              <w:rPr>
                <w:rFonts w:hint="eastAsia"/>
                <w:color w:val="auto"/>
              </w:rPr>
              <w:t>——以县城和若干镇为重点，推进城镇建设，大力发展非农产业，完善城镇公共服务和居住功能。</w:t>
            </w:r>
          </w:p>
          <w:p w14:paraId="6B07839F">
            <w:pPr>
              <w:pStyle w:val="51"/>
              <w:rPr>
                <w:color w:val="auto"/>
              </w:rPr>
            </w:pPr>
            <w:r>
              <w:rPr>
                <w:rFonts w:hint="eastAsia"/>
                <w:color w:val="auto"/>
              </w:rPr>
              <w:t>——加强农业生态保护，加强农业基础设施建设，强化农业防灾减灾能力，重点加强淮河治理。</w:t>
            </w:r>
          </w:p>
          <w:p w14:paraId="1A515889">
            <w:pPr>
              <w:pStyle w:val="51"/>
              <w:rPr>
                <w:color w:val="auto"/>
              </w:rPr>
            </w:pPr>
            <w:r>
              <w:rPr>
                <w:rFonts w:hint="eastAsia"/>
                <w:color w:val="auto"/>
              </w:rPr>
              <w:t>对照《自然资源部办公厅关于依据“三区三线”划定成果报批建设项目用地用海有关事宜的函》（自然资办函〔2022〕2072 号）、《安徽省国土空间规划》（2021-2035 年）划定的安徽省生态保护红线，本工程不涉及生态保护红线，距最近的生态保护红线区域（凤台凤凰湖省级湿地公园）约5.7km。</w:t>
            </w:r>
          </w:p>
          <w:p w14:paraId="3DBE4E38">
            <w:pPr>
              <w:pStyle w:val="48"/>
              <w:rPr>
                <w:color w:val="auto"/>
              </w:rPr>
            </w:pPr>
            <w:r>
              <w:rPr>
                <w:rFonts w:hint="eastAsia"/>
                <w:color w:val="auto"/>
              </w:rPr>
              <w:t>（二）生态功能区划情况</w:t>
            </w:r>
          </w:p>
          <w:p w14:paraId="48CB9B00">
            <w:pPr>
              <w:pStyle w:val="51"/>
              <w:rPr>
                <w:color w:val="auto"/>
              </w:rPr>
            </w:pPr>
            <w:r>
              <w:rPr>
                <w:rFonts w:hint="eastAsia"/>
                <w:color w:val="auto"/>
              </w:rPr>
              <w:t>本项目选址区域位于凤台县，根据《安徽省生态功能区划》，项目选址区域属于“Ⅰ</w:t>
            </w:r>
            <w:r>
              <w:rPr>
                <w:rFonts w:hint="eastAsia"/>
                <w:color w:val="auto"/>
                <w:vertAlign w:val="subscript"/>
              </w:rPr>
              <w:t>2-2</w:t>
            </w:r>
            <w:r>
              <w:rPr>
                <w:rFonts w:hint="eastAsia"/>
                <w:color w:val="auto"/>
              </w:rPr>
              <w:t xml:space="preserve"> 涡淝河间平原旱作农业生态功能区”。</w:t>
            </w:r>
          </w:p>
          <w:p w14:paraId="460634FA">
            <w:pPr>
              <w:pStyle w:val="51"/>
              <w:rPr>
                <w:color w:val="auto"/>
              </w:rPr>
            </w:pPr>
            <w:r>
              <w:rPr>
                <w:rFonts w:hint="eastAsia"/>
                <w:color w:val="auto"/>
              </w:rPr>
              <w:t>功能区位于涡河与北淝河之间，包括阜阳市辖区东部、颍上县东部、太和县东部，亳州市谯城区东南部、涡阳县西南与东北部、利辛和蒙城县全部，濉溪县南部，埇桥区南部，凤台县和怀远县的北部地区，面积11813.3km</w:t>
            </w:r>
            <w:r>
              <w:rPr>
                <w:rFonts w:hint="eastAsia"/>
                <w:color w:val="auto"/>
                <w:vertAlign w:val="superscript"/>
              </w:rPr>
              <w:t>2</w:t>
            </w:r>
            <w:r>
              <w:rPr>
                <w:rFonts w:hint="eastAsia"/>
                <w:color w:val="auto"/>
              </w:rPr>
              <w:t>。本位于淮北平原中部，为淮河多条支流之间地势平坦开阔的河间平原，其间有涡河、浍河、沱河、西淝河、北淝河及澥河等穿过。本区地处南北气候过渡带，四季分明，光照充足，水热条件较好，年降水量900mm左右，年蒸发量1700mm左右，年平均气温14.5-15.0℃，无霜期210天左右。土壤主要类型为砂姜黑土，沿河流两岸呈条带状分布有潮土、黄褐土，南部颍上县境内有少量潴育水稻土分布。耕作制度上多为一年两熟制旱作农业为主，农作物主要有小麦、大豆、芝麻、棉花、玉米等，是淮北平原主要的粮油产区。本区内生态农业建设开展较早，并取得了较大成绩，位于本功能区内的“全球环境500佳”的颍上县小张庄村就是其中的代表。该生态功能区内畜牧业发展较好，全国著名的黄牛大县就位于本区内。</w:t>
            </w:r>
          </w:p>
          <w:p w14:paraId="772B3CD3">
            <w:pPr>
              <w:pStyle w:val="51"/>
              <w:rPr>
                <w:color w:val="auto"/>
              </w:rPr>
            </w:pPr>
            <w:r>
              <w:rPr>
                <w:rFonts w:hint="eastAsia"/>
                <w:color w:val="auto"/>
              </w:rPr>
              <w:t>该区人口密集，区域生态系统受人为活动影响强烈。该区生态建设的方向是按照土地生态适宜性特点，合理调整农业产业结构，发展无公害特色农产品，利用秸秆资源发展黄牛等畜牧业，完善防护林体系建设。</w:t>
            </w:r>
          </w:p>
          <w:p w14:paraId="50C95AF8">
            <w:pPr>
              <w:pStyle w:val="51"/>
              <w:rPr>
                <w:color w:val="auto"/>
              </w:rPr>
            </w:pPr>
            <w:r>
              <w:rPr>
                <w:rFonts w:hint="eastAsia"/>
                <w:color w:val="auto"/>
              </w:rPr>
              <w:t>因此，本项目建设过程中的将会造成新增水土流失，这会对该生态功能区造成一定的影响，但由于项目区域较小，影响是局部的、暂时的，通过合理有效的水土保持措施后，可有效防治工程建设产生的水土流失。</w:t>
            </w:r>
          </w:p>
          <w:p w14:paraId="57B3C0B9">
            <w:pPr>
              <w:pStyle w:val="48"/>
              <w:rPr>
                <w:color w:val="auto"/>
              </w:rPr>
            </w:pPr>
            <w:r>
              <w:rPr>
                <w:rFonts w:hint="eastAsia"/>
                <w:color w:val="auto"/>
              </w:rPr>
              <w:t>（三）生态环境现状</w:t>
            </w:r>
          </w:p>
          <w:p w14:paraId="25F550E0">
            <w:pPr>
              <w:pStyle w:val="51"/>
              <w:rPr>
                <w:color w:val="auto"/>
              </w:rPr>
            </w:pPr>
            <w:r>
              <w:rPr>
                <w:rFonts w:hint="eastAsia"/>
                <w:color w:val="auto"/>
              </w:rPr>
              <w:t>本项目位于淮河中游，淮北平原南缘，境内自然地貌主要为皖北平原。境内植被分布广泛，但多为人工次生林。生境特征表现为半自然状态。这种半自然生境受人为活动影响的具体表现有以下几个方面：</w:t>
            </w:r>
          </w:p>
          <w:p w14:paraId="4F2C68C8">
            <w:pPr>
              <w:pStyle w:val="51"/>
              <w:rPr>
                <w:color w:val="auto"/>
              </w:rPr>
            </w:pPr>
            <w:r>
              <w:rPr>
                <w:rFonts w:hint="eastAsia"/>
                <w:color w:val="auto"/>
              </w:rPr>
              <w:t>（1）较宽阔的平原地带点缀有村庄。</w:t>
            </w:r>
          </w:p>
          <w:p w14:paraId="75BC9E77">
            <w:pPr>
              <w:pStyle w:val="51"/>
              <w:rPr>
                <w:color w:val="auto"/>
              </w:rPr>
            </w:pPr>
            <w:r>
              <w:rPr>
                <w:rFonts w:hint="eastAsia"/>
                <w:color w:val="auto"/>
              </w:rPr>
              <w:t>（2）村庄周边以旱地为主，作物包括水稻、小麦、玉米、大豆、花生、芝麻和西瓜等；房屋附近以种植的果树、用材乔木和农家菜园等。</w:t>
            </w:r>
          </w:p>
          <w:p w14:paraId="601824F4">
            <w:pPr>
              <w:pStyle w:val="51"/>
              <w:rPr>
                <w:color w:val="auto"/>
              </w:rPr>
            </w:pPr>
            <w:r>
              <w:rPr>
                <w:rFonts w:hint="eastAsia"/>
                <w:color w:val="auto"/>
              </w:rPr>
              <w:t>本工程汇集站周围区域生态系统类型主要为农田生态系统，农田生态系统是由一定农业地域内相互作用的生物因素和非生物因素构成的功能整体，是人类生产活动干预下形成的人工生态系统，对于农业资源的有效利用、农业生产的持续发展以及维护良好的人类生存环境具有重要作用。</w:t>
            </w:r>
          </w:p>
          <w:p w14:paraId="194E89DF">
            <w:pPr>
              <w:pStyle w:val="51"/>
              <w:rPr>
                <w:color w:val="auto"/>
              </w:rPr>
            </w:pPr>
            <w:r>
              <w:rPr>
                <w:rFonts w:hint="eastAsia"/>
                <w:color w:val="auto"/>
              </w:rPr>
              <w:t>农田生态系统主要种植人工栽培植物，人为干扰程度高，动、植物种类较少，群落结构单一，优势群落只有一种或数种作物，生态系统结构和功能较为单一，易受外界环境影响。</w:t>
            </w:r>
          </w:p>
          <w:p w14:paraId="750BF2B2">
            <w:pPr>
              <w:pStyle w:val="49"/>
              <w:rPr>
                <w:color w:val="auto"/>
              </w:rPr>
            </w:pPr>
            <w:r>
              <w:rPr>
                <w:rFonts w:hint="eastAsia"/>
                <w:color w:val="auto"/>
              </w:rPr>
              <w:t>1、植物资源</w:t>
            </w:r>
          </w:p>
          <w:p w14:paraId="666A89D4">
            <w:pPr>
              <w:pStyle w:val="51"/>
              <w:rPr>
                <w:color w:val="auto"/>
              </w:rPr>
            </w:pPr>
            <w:r>
              <w:rPr>
                <w:rFonts w:hint="eastAsia"/>
                <w:color w:val="auto"/>
              </w:rPr>
              <w:t>依据《中国种子植物区系地理》，评价区植物区系属东亚植物区、华东地区、黄淮平原亚地区（代码：IIID9a）见图3-1，以栽培为主。</w:t>
            </w:r>
          </w:p>
          <w:p w14:paraId="20366AE6">
            <w:pPr>
              <w:pStyle w:val="73"/>
              <w:spacing w:after="0" w:afterLines="0"/>
              <w:rPr>
                <w:color w:val="auto"/>
              </w:rPr>
            </w:pPr>
            <w:r>
              <w:rPr>
                <w:rFonts w:hint="eastAsia"/>
                <w:color w:val="auto"/>
              </w:rPr>
              <w:drawing>
                <wp:inline distT="0" distB="0" distL="114300" distR="114300">
                  <wp:extent cx="5050155" cy="3550285"/>
                  <wp:effectExtent l="0" t="0" r="17145" b="12065"/>
                  <wp:docPr id="1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2"/>
                          <pic:cNvPicPr>
                            <a:picLocks noChangeAspect="1"/>
                          </pic:cNvPicPr>
                        </pic:nvPicPr>
                        <pic:blipFill>
                          <a:blip r:embed="rId20"/>
                          <a:stretch>
                            <a:fillRect/>
                          </a:stretch>
                        </pic:blipFill>
                        <pic:spPr>
                          <a:xfrm>
                            <a:off x="0" y="0"/>
                            <a:ext cx="5050155" cy="3550285"/>
                          </a:xfrm>
                          <a:prstGeom prst="rect">
                            <a:avLst/>
                          </a:prstGeom>
                          <a:noFill/>
                          <a:ln>
                            <a:noFill/>
                          </a:ln>
                        </pic:spPr>
                      </pic:pic>
                    </a:graphicData>
                  </a:graphic>
                </wp:inline>
              </w:drawing>
            </w:r>
          </w:p>
          <w:p w14:paraId="62AFCE12">
            <w:pPr>
              <w:pStyle w:val="73"/>
              <w:rPr>
                <w:color w:val="auto"/>
              </w:rPr>
            </w:pPr>
            <w:r>
              <w:rPr>
                <w:rFonts w:hint="eastAsia"/>
                <w:color w:val="auto"/>
              </w:rPr>
              <w:t>图3-1  评价区植物区系分区图</w:t>
            </w:r>
          </w:p>
          <w:p w14:paraId="0D81848C">
            <w:pPr>
              <w:pStyle w:val="51"/>
              <w:rPr>
                <w:rFonts w:hint="eastAsia" w:ascii="宋体" w:hAnsi="宋体" w:cs="宋体"/>
                <w:color w:val="auto"/>
                <w:kern w:val="0"/>
                <w:szCs w:val="21"/>
              </w:rPr>
            </w:pPr>
            <w:r>
              <w:rPr>
                <w:rFonts w:hint="eastAsia"/>
                <w:color w:val="auto"/>
              </w:rPr>
              <w:t>本区系包括安徽、江苏大部分以及山东东南部的部分地区，淮河、长江两大水系纵横交错，地势平坦，海拔仅100~200m，西部大别山海拔较高，最高峰1774m。本区农垦历史悠长，自然植被绝大部分已不复存在。在丘陵和山地残存有落叶和常绿阔叶混交林，但常绿阔叶树种比例不大，只在低海拔，局部避风向阳湿润的谷地有较耐旱的青冈栎（</w:t>
            </w:r>
            <w:r>
              <w:rPr>
                <w:rFonts w:hint="eastAsia"/>
                <w:i/>
                <w:iCs/>
                <w:color w:val="auto"/>
              </w:rPr>
              <w:t>Quercusglauca Thunb</w:t>
            </w:r>
            <w:r>
              <w:rPr>
                <w:rFonts w:hint="eastAsia"/>
                <w:color w:val="auto"/>
              </w:rPr>
              <w:t>）、冬青（</w:t>
            </w:r>
            <w:r>
              <w:rPr>
                <w:rFonts w:hint="eastAsia"/>
                <w:i/>
                <w:iCs/>
                <w:color w:val="auto"/>
              </w:rPr>
              <w:t>Ilexchinensis Sims</w:t>
            </w:r>
            <w:r>
              <w:rPr>
                <w:rFonts w:hint="eastAsia"/>
                <w:color w:val="auto"/>
              </w:rPr>
              <w:t>）等分布。落叶阔叶林以化香树（</w:t>
            </w:r>
            <w:r>
              <w:rPr>
                <w:rFonts w:hint="eastAsia"/>
                <w:i/>
                <w:iCs/>
                <w:color w:val="auto"/>
              </w:rPr>
              <w:t>Platycaryastrobilacea Sieb</w:t>
            </w:r>
            <w:r>
              <w:rPr>
                <w:rFonts w:hint="eastAsia"/>
                <w:color w:val="auto"/>
              </w:rPr>
              <w:t>）、山槐（</w:t>
            </w:r>
            <w:r>
              <w:rPr>
                <w:rFonts w:hint="eastAsia"/>
                <w:i/>
                <w:iCs/>
                <w:color w:val="auto"/>
              </w:rPr>
              <w:t>Albiziakalkora</w:t>
            </w:r>
            <w:r>
              <w:rPr>
                <w:rFonts w:hint="eastAsia"/>
                <w:color w:val="auto"/>
              </w:rPr>
              <w:t>）、朴树（</w:t>
            </w:r>
            <w:r>
              <w:rPr>
                <w:rFonts w:hint="eastAsia"/>
                <w:i/>
                <w:iCs/>
                <w:color w:val="auto"/>
              </w:rPr>
              <w:t>Celtissinensis Pers</w:t>
            </w:r>
            <w:r>
              <w:rPr>
                <w:rFonts w:hint="eastAsia"/>
                <w:color w:val="auto"/>
              </w:rPr>
              <w:t>）占优势，已逐渐向华北地区过渡，无亚地区特有属。</w:t>
            </w:r>
          </w:p>
          <w:p w14:paraId="3CC6B9F0">
            <w:pPr>
              <w:pStyle w:val="49"/>
              <w:rPr>
                <w:color w:val="auto"/>
              </w:rPr>
            </w:pPr>
            <w:r>
              <w:rPr>
                <w:rFonts w:hint="eastAsia"/>
                <w:color w:val="auto"/>
              </w:rPr>
              <w:t>2、动物资源</w:t>
            </w:r>
          </w:p>
          <w:p w14:paraId="2ED8062E">
            <w:pPr>
              <w:pStyle w:val="51"/>
              <w:rPr>
                <w:color w:val="auto"/>
              </w:rPr>
            </w:pPr>
            <w:r>
              <w:rPr>
                <w:color w:val="auto"/>
              </w:rPr>
              <w:t>由于</w:t>
            </w:r>
            <w:r>
              <w:rPr>
                <w:rFonts w:hint="eastAsia"/>
                <w:color w:val="auto"/>
              </w:rPr>
              <w:t>项目站</w:t>
            </w:r>
            <w:r>
              <w:rPr>
                <w:color w:val="auto"/>
              </w:rPr>
              <w:t>区及周边评价范围内自然生态系统基本已不存在，受人类干扰较为严重，野生动物主要集中在田间地头、沟渠河道和村庄人工植被丛内，不涉及重点保护动物。</w:t>
            </w:r>
          </w:p>
          <w:p w14:paraId="3071CBF5">
            <w:pPr>
              <w:pStyle w:val="51"/>
              <w:rPr>
                <w:color w:val="auto"/>
              </w:rPr>
            </w:pPr>
            <w:r>
              <w:rPr>
                <w:color w:val="auto"/>
              </w:rPr>
              <w:t>（1）兽类</w:t>
            </w:r>
          </w:p>
          <w:p w14:paraId="18AA4727">
            <w:pPr>
              <w:pStyle w:val="51"/>
              <w:rPr>
                <w:color w:val="auto"/>
              </w:rPr>
            </w:pPr>
            <w:r>
              <w:rPr>
                <w:color w:val="auto"/>
              </w:rPr>
              <w:t>在安徽淮河以北地区据《安徽动物志》记载主要有各种农田鼠类，包括黑线姬鼠（</w:t>
            </w:r>
            <w:r>
              <w:rPr>
                <w:i/>
                <w:iCs/>
                <w:color w:val="auto"/>
              </w:rPr>
              <w:t>Apodemus agrarius</w:t>
            </w:r>
            <w:r>
              <w:rPr>
                <w:color w:val="auto"/>
              </w:rPr>
              <w:t>）、大仓鼠（</w:t>
            </w:r>
            <w:r>
              <w:rPr>
                <w:i/>
                <w:iCs/>
                <w:color w:val="auto"/>
              </w:rPr>
              <w:t>Tscherskia triton</w:t>
            </w:r>
            <w:r>
              <w:rPr>
                <w:color w:val="auto"/>
              </w:rPr>
              <w:t>）、小家鼠（</w:t>
            </w:r>
            <w:r>
              <w:rPr>
                <w:i/>
                <w:iCs/>
                <w:color w:val="auto"/>
              </w:rPr>
              <w:t>Mus musculus</w:t>
            </w:r>
            <w:r>
              <w:rPr>
                <w:color w:val="auto"/>
              </w:rPr>
              <w:t>）、褐家鼠（</w:t>
            </w:r>
            <w:r>
              <w:rPr>
                <w:i/>
                <w:iCs/>
                <w:color w:val="auto"/>
              </w:rPr>
              <w:t>Rattus norvegicus</w:t>
            </w:r>
            <w:r>
              <w:rPr>
                <w:color w:val="auto"/>
              </w:rPr>
              <w:t>）等，以及以鼠类为食的黄鼬（</w:t>
            </w:r>
            <w:r>
              <w:rPr>
                <w:i/>
                <w:iCs/>
                <w:color w:val="auto"/>
              </w:rPr>
              <w:t>Mustela sibirica</w:t>
            </w:r>
            <w:r>
              <w:rPr>
                <w:color w:val="auto"/>
              </w:rPr>
              <w:t>）和少量食虫类如东北刺猬（</w:t>
            </w:r>
            <w:r>
              <w:rPr>
                <w:i/>
                <w:iCs/>
                <w:color w:val="auto"/>
              </w:rPr>
              <w:t>Erinaceus amurensis</w:t>
            </w:r>
            <w:r>
              <w:rPr>
                <w:color w:val="auto"/>
              </w:rPr>
              <w:t>）、北小麝鼩（</w:t>
            </w:r>
            <w:r>
              <w:rPr>
                <w:i/>
                <w:iCs/>
                <w:color w:val="auto"/>
              </w:rPr>
              <w:t>Crocidura suaveolens</w:t>
            </w:r>
            <w:r>
              <w:rPr>
                <w:color w:val="auto"/>
              </w:rPr>
              <w:t>），食草动物如草兔（</w:t>
            </w:r>
            <w:r>
              <w:rPr>
                <w:i/>
                <w:iCs/>
                <w:color w:val="auto"/>
              </w:rPr>
              <w:t>Lepus capensis</w:t>
            </w:r>
            <w:r>
              <w:rPr>
                <w:color w:val="auto"/>
              </w:rPr>
              <w:t>）等，傍晚还可以见到东亚伏翼（</w:t>
            </w:r>
            <w:r>
              <w:rPr>
                <w:i/>
                <w:iCs/>
                <w:color w:val="auto"/>
              </w:rPr>
              <w:t>Pipistrellus abramus</w:t>
            </w:r>
            <w:r>
              <w:rPr>
                <w:color w:val="auto"/>
              </w:rPr>
              <w:t>）、菊头蝠（</w:t>
            </w:r>
            <w:r>
              <w:rPr>
                <w:i/>
                <w:iCs/>
                <w:color w:val="auto"/>
              </w:rPr>
              <w:t>Rhinolophus macrotis</w:t>
            </w:r>
            <w:r>
              <w:rPr>
                <w:color w:val="auto"/>
              </w:rPr>
              <w:t>）在天空捕食昆虫，区域内无重点保护物种分布。根据查找区域相关资料文献，本项目站区及周边常见哺乳动物及典型栖息环境见下表。</w:t>
            </w:r>
          </w:p>
          <w:p w14:paraId="57787224">
            <w:pPr>
              <w:pStyle w:val="53"/>
              <w:rPr>
                <w:color w:val="auto"/>
              </w:rPr>
            </w:pPr>
            <w:r>
              <w:rPr>
                <w:color w:val="auto"/>
              </w:rPr>
              <w:t>表</w:t>
            </w:r>
            <w:r>
              <w:rPr>
                <w:rFonts w:hint="eastAsia"/>
                <w:color w:val="auto"/>
              </w:rPr>
              <w:t>3-1</w:t>
            </w:r>
            <w:r>
              <w:rPr>
                <w:color w:val="auto"/>
              </w:rPr>
              <w:t xml:space="preserve"> </w:t>
            </w:r>
            <w:r>
              <w:rPr>
                <w:rFonts w:hint="eastAsia"/>
                <w:color w:val="auto"/>
              </w:rPr>
              <w:t xml:space="preserve"> </w:t>
            </w:r>
            <w:r>
              <w:rPr>
                <w:color w:val="auto"/>
              </w:rPr>
              <w:t>项目</w:t>
            </w:r>
            <w:r>
              <w:rPr>
                <w:rFonts w:hint="eastAsia"/>
                <w:color w:val="auto"/>
              </w:rPr>
              <w:t>站</w:t>
            </w:r>
            <w:r>
              <w:rPr>
                <w:color w:val="auto"/>
              </w:rPr>
              <w:t>区及其周边地区常见哺乳动物名录</w:t>
            </w:r>
          </w:p>
          <w:tbl>
            <w:tblPr>
              <w:tblStyle w:val="25"/>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86"/>
              <w:gridCol w:w="967"/>
              <w:gridCol w:w="2925"/>
              <w:gridCol w:w="2640"/>
            </w:tblGrid>
            <w:tr w14:paraId="4B2542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926" w:type="pct"/>
                  <w:vAlign w:val="center"/>
                </w:tcPr>
                <w:p w14:paraId="42BFBA27">
                  <w:pPr>
                    <w:pStyle w:val="55"/>
                    <w:rPr>
                      <w:color w:val="auto"/>
                    </w:rPr>
                  </w:pPr>
                  <w:r>
                    <w:rPr>
                      <w:color w:val="auto"/>
                    </w:rPr>
                    <w:t>目</w:t>
                  </w:r>
                </w:p>
              </w:tc>
              <w:tc>
                <w:tcPr>
                  <w:tcW w:w="603" w:type="pct"/>
                  <w:vAlign w:val="center"/>
                </w:tcPr>
                <w:p w14:paraId="5055334C">
                  <w:pPr>
                    <w:pStyle w:val="55"/>
                    <w:rPr>
                      <w:color w:val="auto"/>
                    </w:rPr>
                  </w:pPr>
                  <w:r>
                    <w:rPr>
                      <w:color w:val="auto"/>
                    </w:rPr>
                    <w:t>科</w:t>
                  </w:r>
                </w:p>
              </w:tc>
              <w:tc>
                <w:tcPr>
                  <w:tcW w:w="1823" w:type="pct"/>
                  <w:vAlign w:val="center"/>
                </w:tcPr>
                <w:p w14:paraId="6F9DCF3C">
                  <w:pPr>
                    <w:pStyle w:val="55"/>
                    <w:rPr>
                      <w:color w:val="auto"/>
                    </w:rPr>
                  </w:pPr>
                  <w:r>
                    <w:rPr>
                      <w:color w:val="auto"/>
                    </w:rPr>
                    <w:t>物种名</w:t>
                  </w:r>
                </w:p>
              </w:tc>
              <w:tc>
                <w:tcPr>
                  <w:tcW w:w="1645" w:type="pct"/>
                  <w:vAlign w:val="center"/>
                </w:tcPr>
                <w:p w14:paraId="14242ED4">
                  <w:pPr>
                    <w:pStyle w:val="55"/>
                    <w:rPr>
                      <w:color w:val="auto"/>
                    </w:rPr>
                  </w:pPr>
                  <w:r>
                    <w:rPr>
                      <w:rFonts w:hint="eastAsia"/>
                      <w:color w:val="auto"/>
                    </w:rPr>
                    <w:t>典型</w:t>
                  </w:r>
                  <w:r>
                    <w:rPr>
                      <w:color w:val="auto"/>
                    </w:rPr>
                    <w:t>栖息环境</w:t>
                  </w:r>
                </w:p>
              </w:tc>
            </w:tr>
            <w:tr w14:paraId="0DE4FC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926" w:type="pct"/>
                  <w:vMerge w:val="restart"/>
                  <w:vAlign w:val="center"/>
                </w:tcPr>
                <w:p w14:paraId="6F77C6C9">
                  <w:pPr>
                    <w:pStyle w:val="55"/>
                    <w:rPr>
                      <w:color w:val="auto"/>
                      <w:lang w:val="fr-FR"/>
                    </w:rPr>
                  </w:pPr>
                  <w:r>
                    <w:rPr>
                      <w:color w:val="auto"/>
                      <w:lang w:val="fr-FR"/>
                    </w:rPr>
                    <w:t>（一）</w:t>
                  </w:r>
                  <w:r>
                    <w:rPr>
                      <w:color w:val="auto"/>
                    </w:rPr>
                    <w:t>翼手目</w:t>
                  </w:r>
                </w:p>
              </w:tc>
              <w:tc>
                <w:tcPr>
                  <w:tcW w:w="603" w:type="pct"/>
                  <w:vMerge w:val="restart"/>
                  <w:vAlign w:val="center"/>
                </w:tcPr>
                <w:p w14:paraId="6111EE80">
                  <w:pPr>
                    <w:pStyle w:val="55"/>
                    <w:rPr>
                      <w:color w:val="auto"/>
                    </w:rPr>
                  </w:pPr>
                  <w:r>
                    <w:rPr>
                      <w:color w:val="auto"/>
                    </w:rPr>
                    <w:t>蝙蝠科</w:t>
                  </w:r>
                </w:p>
              </w:tc>
              <w:tc>
                <w:tcPr>
                  <w:tcW w:w="1823" w:type="pct"/>
                  <w:vAlign w:val="center"/>
                </w:tcPr>
                <w:p w14:paraId="07F78A7B">
                  <w:pPr>
                    <w:pStyle w:val="55"/>
                    <w:rPr>
                      <w:color w:val="auto"/>
                    </w:rPr>
                  </w:pPr>
                  <w:r>
                    <w:rPr>
                      <w:color w:val="auto"/>
                    </w:rPr>
                    <w:t>1.东亚伏翼</w:t>
                  </w:r>
                  <w:r>
                    <w:rPr>
                      <w:rFonts w:hint="eastAsia"/>
                      <w:color w:val="auto"/>
                    </w:rPr>
                    <w:t xml:space="preserve"> </w:t>
                  </w:r>
                  <w:r>
                    <w:rPr>
                      <w:i/>
                      <w:iCs/>
                      <w:color w:val="auto"/>
                    </w:rPr>
                    <w:t>Pipistrellus abramus</w:t>
                  </w:r>
                </w:p>
              </w:tc>
              <w:tc>
                <w:tcPr>
                  <w:tcW w:w="1645" w:type="pct"/>
                  <w:vAlign w:val="center"/>
                </w:tcPr>
                <w:p w14:paraId="3E884C54">
                  <w:pPr>
                    <w:pStyle w:val="55"/>
                    <w:rPr>
                      <w:color w:val="auto"/>
                    </w:rPr>
                  </w:pPr>
                  <w:r>
                    <w:rPr>
                      <w:color w:val="auto"/>
                    </w:rPr>
                    <w:t>屋檐、树林等</w:t>
                  </w:r>
                </w:p>
              </w:tc>
            </w:tr>
            <w:tr w14:paraId="7BA5D1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926" w:type="pct"/>
                  <w:vMerge w:val="continue"/>
                  <w:vAlign w:val="center"/>
                </w:tcPr>
                <w:p w14:paraId="24B66C26">
                  <w:pPr>
                    <w:pStyle w:val="55"/>
                    <w:rPr>
                      <w:color w:val="auto"/>
                    </w:rPr>
                  </w:pPr>
                </w:p>
              </w:tc>
              <w:tc>
                <w:tcPr>
                  <w:tcW w:w="603" w:type="pct"/>
                  <w:vMerge w:val="continue"/>
                  <w:vAlign w:val="center"/>
                </w:tcPr>
                <w:p w14:paraId="055FBE82">
                  <w:pPr>
                    <w:pStyle w:val="55"/>
                    <w:rPr>
                      <w:color w:val="auto"/>
                    </w:rPr>
                  </w:pPr>
                </w:p>
              </w:tc>
              <w:tc>
                <w:tcPr>
                  <w:tcW w:w="1823" w:type="pct"/>
                  <w:vAlign w:val="center"/>
                </w:tcPr>
                <w:p w14:paraId="451C2664">
                  <w:pPr>
                    <w:pStyle w:val="55"/>
                    <w:rPr>
                      <w:color w:val="auto"/>
                    </w:rPr>
                  </w:pPr>
                  <w:r>
                    <w:rPr>
                      <w:color w:val="auto"/>
                    </w:rPr>
                    <w:t>2.菊头蝠</w:t>
                  </w:r>
                  <w:r>
                    <w:rPr>
                      <w:rFonts w:hint="eastAsia"/>
                      <w:color w:val="auto"/>
                    </w:rPr>
                    <w:t xml:space="preserve"> </w:t>
                  </w:r>
                  <w:r>
                    <w:rPr>
                      <w:i/>
                      <w:iCs/>
                      <w:color w:val="auto"/>
                    </w:rPr>
                    <w:t>Rhinolophus macrotis</w:t>
                  </w:r>
                </w:p>
              </w:tc>
              <w:tc>
                <w:tcPr>
                  <w:tcW w:w="1645" w:type="pct"/>
                  <w:vAlign w:val="center"/>
                </w:tcPr>
                <w:p w14:paraId="63F9A7C3">
                  <w:pPr>
                    <w:pStyle w:val="55"/>
                    <w:rPr>
                      <w:color w:val="auto"/>
                    </w:rPr>
                  </w:pPr>
                  <w:r>
                    <w:rPr>
                      <w:color w:val="auto"/>
                    </w:rPr>
                    <w:t>屋檐、树林等</w:t>
                  </w:r>
                </w:p>
              </w:tc>
            </w:tr>
            <w:tr w14:paraId="6A1E58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926" w:type="pct"/>
                  <w:vAlign w:val="center"/>
                </w:tcPr>
                <w:p w14:paraId="23530C64">
                  <w:pPr>
                    <w:pStyle w:val="55"/>
                    <w:rPr>
                      <w:color w:val="auto"/>
                    </w:rPr>
                  </w:pPr>
                  <w:r>
                    <w:rPr>
                      <w:color w:val="auto"/>
                    </w:rPr>
                    <w:t>（二）兔形目</w:t>
                  </w:r>
                </w:p>
              </w:tc>
              <w:tc>
                <w:tcPr>
                  <w:tcW w:w="603" w:type="pct"/>
                  <w:vAlign w:val="center"/>
                </w:tcPr>
                <w:p w14:paraId="440F123F">
                  <w:pPr>
                    <w:pStyle w:val="55"/>
                    <w:rPr>
                      <w:color w:val="auto"/>
                    </w:rPr>
                  </w:pPr>
                  <w:r>
                    <w:rPr>
                      <w:color w:val="auto"/>
                    </w:rPr>
                    <w:t>兔科</w:t>
                  </w:r>
                </w:p>
              </w:tc>
              <w:tc>
                <w:tcPr>
                  <w:tcW w:w="1823" w:type="pct"/>
                  <w:vAlign w:val="center"/>
                </w:tcPr>
                <w:p w14:paraId="113BE464">
                  <w:pPr>
                    <w:pStyle w:val="55"/>
                    <w:rPr>
                      <w:color w:val="auto"/>
                    </w:rPr>
                  </w:pPr>
                  <w:r>
                    <w:rPr>
                      <w:color w:val="auto"/>
                    </w:rPr>
                    <w:t>3.</w:t>
                  </w:r>
                  <w:r>
                    <w:rPr>
                      <w:rFonts w:hint="eastAsia"/>
                      <w:color w:val="auto"/>
                    </w:rPr>
                    <w:t>蒙古</w:t>
                  </w:r>
                  <w:r>
                    <w:rPr>
                      <w:color w:val="auto"/>
                    </w:rPr>
                    <w:t>兔</w:t>
                  </w:r>
                  <w:r>
                    <w:rPr>
                      <w:rFonts w:hint="eastAsia"/>
                      <w:color w:val="auto"/>
                    </w:rPr>
                    <w:t xml:space="preserve"> </w:t>
                  </w:r>
                  <w:r>
                    <w:rPr>
                      <w:i/>
                      <w:iCs/>
                      <w:color w:val="auto"/>
                    </w:rPr>
                    <w:t>Lepus capensis</w:t>
                  </w:r>
                </w:p>
              </w:tc>
              <w:tc>
                <w:tcPr>
                  <w:tcW w:w="1645" w:type="pct"/>
                  <w:vAlign w:val="center"/>
                </w:tcPr>
                <w:p w14:paraId="41B57A37">
                  <w:pPr>
                    <w:pStyle w:val="55"/>
                    <w:rPr>
                      <w:color w:val="auto"/>
                    </w:rPr>
                  </w:pPr>
                  <w:r>
                    <w:rPr>
                      <w:color w:val="auto"/>
                    </w:rPr>
                    <w:t>人工林地、农田附近</w:t>
                  </w:r>
                </w:p>
              </w:tc>
            </w:tr>
            <w:tr w14:paraId="294A33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926" w:type="pct"/>
                  <w:vMerge w:val="restart"/>
                  <w:vAlign w:val="center"/>
                </w:tcPr>
                <w:p w14:paraId="29252D9D">
                  <w:pPr>
                    <w:pStyle w:val="55"/>
                    <w:rPr>
                      <w:color w:val="auto"/>
                    </w:rPr>
                  </w:pPr>
                  <w:r>
                    <w:rPr>
                      <w:color w:val="auto"/>
                    </w:rPr>
                    <w:t>（三）啮齿目</w:t>
                  </w:r>
                </w:p>
              </w:tc>
              <w:tc>
                <w:tcPr>
                  <w:tcW w:w="603" w:type="pct"/>
                  <w:vAlign w:val="center"/>
                </w:tcPr>
                <w:p w14:paraId="1253A4AC">
                  <w:pPr>
                    <w:pStyle w:val="55"/>
                    <w:rPr>
                      <w:color w:val="auto"/>
                    </w:rPr>
                  </w:pPr>
                  <w:r>
                    <w:rPr>
                      <w:color w:val="auto"/>
                    </w:rPr>
                    <w:t>仓鼠科</w:t>
                  </w:r>
                </w:p>
              </w:tc>
              <w:tc>
                <w:tcPr>
                  <w:tcW w:w="1823" w:type="pct"/>
                  <w:vAlign w:val="center"/>
                </w:tcPr>
                <w:p w14:paraId="2DE11CA6">
                  <w:pPr>
                    <w:pStyle w:val="55"/>
                    <w:rPr>
                      <w:color w:val="auto"/>
                    </w:rPr>
                  </w:pPr>
                  <w:r>
                    <w:rPr>
                      <w:color w:val="auto"/>
                    </w:rPr>
                    <w:t>4.大仓鼠</w:t>
                  </w:r>
                  <w:r>
                    <w:rPr>
                      <w:rFonts w:hint="eastAsia"/>
                      <w:color w:val="auto"/>
                    </w:rPr>
                    <w:t xml:space="preserve"> </w:t>
                  </w:r>
                  <w:r>
                    <w:rPr>
                      <w:i/>
                      <w:iCs/>
                      <w:color w:val="auto"/>
                    </w:rPr>
                    <w:t>Tscherskia triton</w:t>
                  </w:r>
                </w:p>
              </w:tc>
              <w:tc>
                <w:tcPr>
                  <w:tcW w:w="1645" w:type="pct"/>
                  <w:vAlign w:val="center"/>
                </w:tcPr>
                <w:p w14:paraId="3014CEB1">
                  <w:pPr>
                    <w:pStyle w:val="55"/>
                    <w:rPr>
                      <w:color w:val="auto"/>
                    </w:rPr>
                  </w:pPr>
                  <w:r>
                    <w:rPr>
                      <w:color w:val="auto"/>
                    </w:rPr>
                    <w:t>农田</w:t>
                  </w:r>
                </w:p>
              </w:tc>
            </w:tr>
            <w:tr w14:paraId="69BB61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926" w:type="pct"/>
                  <w:vMerge w:val="continue"/>
                  <w:vAlign w:val="center"/>
                </w:tcPr>
                <w:p w14:paraId="1EAA1926">
                  <w:pPr>
                    <w:pStyle w:val="55"/>
                    <w:rPr>
                      <w:color w:val="auto"/>
                    </w:rPr>
                  </w:pPr>
                </w:p>
              </w:tc>
              <w:tc>
                <w:tcPr>
                  <w:tcW w:w="603" w:type="pct"/>
                  <w:vAlign w:val="center"/>
                </w:tcPr>
                <w:p w14:paraId="7E9392DA">
                  <w:pPr>
                    <w:pStyle w:val="55"/>
                    <w:rPr>
                      <w:color w:val="auto"/>
                    </w:rPr>
                  </w:pPr>
                  <w:r>
                    <w:rPr>
                      <w:color w:val="auto"/>
                    </w:rPr>
                    <w:t>田鼠科</w:t>
                  </w:r>
                </w:p>
              </w:tc>
              <w:tc>
                <w:tcPr>
                  <w:tcW w:w="1823" w:type="pct"/>
                  <w:vAlign w:val="center"/>
                </w:tcPr>
                <w:p w14:paraId="7E75C368">
                  <w:pPr>
                    <w:pStyle w:val="55"/>
                    <w:rPr>
                      <w:color w:val="auto"/>
                    </w:rPr>
                  </w:pPr>
                  <w:r>
                    <w:rPr>
                      <w:color w:val="auto"/>
                    </w:rPr>
                    <w:t>5.东方田鼠</w:t>
                  </w:r>
                  <w:r>
                    <w:rPr>
                      <w:rFonts w:hint="eastAsia"/>
                      <w:color w:val="auto"/>
                    </w:rPr>
                    <w:t xml:space="preserve"> </w:t>
                  </w:r>
                  <w:r>
                    <w:rPr>
                      <w:i/>
                      <w:iCs/>
                      <w:color w:val="auto"/>
                    </w:rPr>
                    <w:t>Microtus fortis</w:t>
                  </w:r>
                </w:p>
              </w:tc>
              <w:tc>
                <w:tcPr>
                  <w:tcW w:w="1645" w:type="pct"/>
                  <w:vAlign w:val="center"/>
                </w:tcPr>
                <w:p w14:paraId="06D663B2">
                  <w:pPr>
                    <w:pStyle w:val="55"/>
                    <w:rPr>
                      <w:color w:val="auto"/>
                    </w:rPr>
                  </w:pPr>
                  <w:r>
                    <w:rPr>
                      <w:color w:val="auto"/>
                    </w:rPr>
                    <w:t>河湖岸、沼泽</w:t>
                  </w:r>
                </w:p>
              </w:tc>
            </w:tr>
            <w:tr w14:paraId="28959C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926" w:type="pct"/>
                  <w:vMerge w:val="continue"/>
                  <w:vAlign w:val="center"/>
                </w:tcPr>
                <w:p w14:paraId="5491C029">
                  <w:pPr>
                    <w:pStyle w:val="55"/>
                    <w:rPr>
                      <w:color w:val="auto"/>
                    </w:rPr>
                  </w:pPr>
                </w:p>
              </w:tc>
              <w:tc>
                <w:tcPr>
                  <w:tcW w:w="603" w:type="pct"/>
                  <w:vMerge w:val="restart"/>
                  <w:vAlign w:val="center"/>
                </w:tcPr>
                <w:p w14:paraId="7685CD44">
                  <w:pPr>
                    <w:pStyle w:val="55"/>
                    <w:rPr>
                      <w:color w:val="auto"/>
                    </w:rPr>
                  </w:pPr>
                  <w:r>
                    <w:rPr>
                      <w:color w:val="auto"/>
                    </w:rPr>
                    <w:t>鼠科</w:t>
                  </w:r>
                </w:p>
              </w:tc>
              <w:tc>
                <w:tcPr>
                  <w:tcW w:w="1823" w:type="pct"/>
                  <w:vAlign w:val="center"/>
                </w:tcPr>
                <w:p w14:paraId="0620AAE2">
                  <w:pPr>
                    <w:pStyle w:val="55"/>
                    <w:rPr>
                      <w:color w:val="auto"/>
                    </w:rPr>
                  </w:pPr>
                  <w:r>
                    <w:rPr>
                      <w:color w:val="auto"/>
                    </w:rPr>
                    <w:t>6.小家鼠</w:t>
                  </w:r>
                  <w:r>
                    <w:rPr>
                      <w:rFonts w:hint="eastAsia"/>
                      <w:color w:val="auto"/>
                    </w:rPr>
                    <w:t xml:space="preserve"> </w:t>
                  </w:r>
                  <w:r>
                    <w:rPr>
                      <w:i/>
                      <w:iCs/>
                      <w:color w:val="auto"/>
                    </w:rPr>
                    <w:t>Mus musculus</w:t>
                  </w:r>
                </w:p>
              </w:tc>
              <w:tc>
                <w:tcPr>
                  <w:tcW w:w="1645" w:type="pct"/>
                  <w:vAlign w:val="center"/>
                </w:tcPr>
                <w:p w14:paraId="2E485946">
                  <w:pPr>
                    <w:pStyle w:val="55"/>
                    <w:rPr>
                      <w:color w:val="auto"/>
                    </w:rPr>
                  </w:pPr>
                  <w:r>
                    <w:rPr>
                      <w:color w:val="auto"/>
                    </w:rPr>
                    <w:t>田野、林缘、家舍广泛栖息</w:t>
                  </w:r>
                </w:p>
              </w:tc>
            </w:tr>
            <w:tr w14:paraId="5AD87D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926" w:type="pct"/>
                  <w:vMerge w:val="continue"/>
                  <w:vAlign w:val="center"/>
                </w:tcPr>
                <w:p w14:paraId="0EA5DFC5">
                  <w:pPr>
                    <w:pStyle w:val="55"/>
                    <w:rPr>
                      <w:color w:val="auto"/>
                    </w:rPr>
                  </w:pPr>
                </w:p>
              </w:tc>
              <w:tc>
                <w:tcPr>
                  <w:tcW w:w="603" w:type="pct"/>
                  <w:vMerge w:val="continue"/>
                  <w:vAlign w:val="center"/>
                </w:tcPr>
                <w:p w14:paraId="0C864CE8">
                  <w:pPr>
                    <w:pStyle w:val="55"/>
                    <w:rPr>
                      <w:color w:val="auto"/>
                    </w:rPr>
                  </w:pPr>
                </w:p>
              </w:tc>
              <w:tc>
                <w:tcPr>
                  <w:tcW w:w="1823" w:type="pct"/>
                  <w:vAlign w:val="center"/>
                </w:tcPr>
                <w:p w14:paraId="17410693">
                  <w:pPr>
                    <w:pStyle w:val="55"/>
                    <w:rPr>
                      <w:color w:val="auto"/>
                    </w:rPr>
                  </w:pPr>
                  <w:r>
                    <w:rPr>
                      <w:color w:val="auto"/>
                    </w:rPr>
                    <w:t>7.黄胸鼠</w:t>
                  </w:r>
                  <w:r>
                    <w:rPr>
                      <w:rFonts w:hint="eastAsia"/>
                      <w:color w:val="auto"/>
                    </w:rPr>
                    <w:t xml:space="preserve"> </w:t>
                  </w:r>
                  <w:r>
                    <w:rPr>
                      <w:i/>
                      <w:iCs/>
                      <w:color w:val="auto"/>
                    </w:rPr>
                    <w:t>Rattus flavipectus</w:t>
                  </w:r>
                </w:p>
              </w:tc>
              <w:tc>
                <w:tcPr>
                  <w:tcW w:w="1645" w:type="pct"/>
                  <w:vAlign w:val="center"/>
                </w:tcPr>
                <w:p w14:paraId="34A5E1E9">
                  <w:pPr>
                    <w:pStyle w:val="55"/>
                    <w:rPr>
                      <w:color w:val="auto"/>
                    </w:rPr>
                  </w:pPr>
                  <w:r>
                    <w:rPr>
                      <w:color w:val="auto"/>
                    </w:rPr>
                    <w:t>田野、林缘、家舍广泛栖息</w:t>
                  </w:r>
                </w:p>
              </w:tc>
            </w:tr>
            <w:tr w14:paraId="2F98C7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926" w:type="pct"/>
                  <w:vMerge w:val="continue"/>
                  <w:vAlign w:val="center"/>
                </w:tcPr>
                <w:p w14:paraId="3E510AB4">
                  <w:pPr>
                    <w:pStyle w:val="55"/>
                    <w:rPr>
                      <w:color w:val="auto"/>
                    </w:rPr>
                  </w:pPr>
                </w:p>
              </w:tc>
              <w:tc>
                <w:tcPr>
                  <w:tcW w:w="603" w:type="pct"/>
                  <w:vMerge w:val="continue"/>
                  <w:vAlign w:val="center"/>
                </w:tcPr>
                <w:p w14:paraId="46146D23">
                  <w:pPr>
                    <w:pStyle w:val="55"/>
                    <w:rPr>
                      <w:color w:val="auto"/>
                    </w:rPr>
                  </w:pPr>
                </w:p>
              </w:tc>
              <w:tc>
                <w:tcPr>
                  <w:tcW w:w="1823" w:type="pct"/>
                  <w:vAlign w:val="center"/>
                </w:tcPr>
                <w:p w14:paraId="18ABB813">
                  <w:pPr>
                    <w:pStyle w:val="55"/>
                    <w:rPr>
                      <w:color w:val="auto"/>
                    </w:rPr>
                  </w:pPr>
                  <w:r>
                    <w:rPr>
                      <w:color w:val="auto"/>
                    </w:rPr>
                    <w:t>8.褐家鼠</w:t>
                  </w:r>
                  <w:r>
                    <w:rPr>
                      <w:rFonts w:hint="eastAsia"/>
                      <w:color w:val="auto"/>
                    </w:rPr>
                    <w:t xml:space="preserve"> </w:t>
                  </w:r>
                  <w:r>
                    <w:rPr>
                      <w:i/>
                      <w:iCs/>
                      <w:color w:val="auto"/>
                    </w:rPr>
                    <w:t>Rattus norvegicus</w:t>
                  </w:r>
                </w:p>
              </w:tc>
              <w:tc>
                <w:tcPr>
                  <w:tcW w:w="1645" w:type="pct"/>
                  <w:vAlign w:val="center"/>
                </w:tcPr>
                <w:p w14:paraId="0EC17B02">
                  <w:pPr>
                    <w:pStyle w:val="55"/>
                    <w:rPr>
                      <w:color w:val="auto"/>
                    </w:rPr>
                  </w:pPr>
                  <w:r>
                    <w:rPr>
                      <w:color w:val="auto"/>
                    </w:rPr>
                    <w:t>阴沟、下水道、农田</w:t>
                  </w:r>
                </w:p>
              </w:tc>
            </w:tr>
            <w:tr w14:paraId="632454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926" w:type="pct"/>
                  <w:vMerge w:val="continue"/>
                  <w:vAlign w:val="center"/>
                </w:tcPr>
                <w:p w14:paraId="1337E504">
                  <w:pPr>
                    <w:pStyle w:val="55"/>
                    <w:rPr>
                      <w:color w:val="auto"/>
                    </w:rPr>
                  </w:pPr>
                </w:p>
              </w:tc>
              <w:tc>
                <w:tcPr>
                  <w:tcW w:w="603" w:type="pct"/>
                  <w:vMerge w:val="continue"/>
                  <w:vAlign w:val="center"/>
                </w:tcPr>
                <w:p w14:paraId="625996BA">
                  <w:pPr>
                    <w:pStyle w:val="55"/>
                    <w:rPr>
                      <w:color w:val="auto"/>
                    </w:rPr>
                  </w:pPr>
                </w:p>
              </w:tc>
              <w:tc>
                <w:tcPr>
                  <w:tcW w:w="1823" w:type="pct"/>
                  <w:vAlign w:val="center"/>
                </w:tcPr>
                <w:p w14:paraId="21F85A54">
                  <w:pPr>
                    <w:pStyle w:val="55"/>
                    <w:rPr>
                      <w:color w:val="auto"/>
                    </w:rPr>
                  </w:pPr>
                  <w:r>
                    <w:rPr>
                      <w:color w:val="auto"/>
                    </w:rPr>
                    <w:t>9.黑家鼠</w:t>
                  </w:r>
                  <w:r>
                    <w:rPr>
                      <w:rFonts w:hint="eastAsia"/>
                      <w:color w:val="auto"/>
                    </w:rPr>
                    <w:t xml:space="preserve"> </w:t>
                  </w:r>
                  <w:r>
                    <w:rPr>
                      <w:rFonts w:hint="eastAsia"/>
                      <w:i/>
                      <w:iCs/>
                      <w:color w:val="auto"/>
                    </w:rPr>
                    <w:t>Rattus rattus</w:t>
                  </w:r>
                </w:p>
              </w:tc>
              <w:tc>
                <w:tcPr>
                  <w:tcW w:w="1645" w:type="pct"/>
                  <w:vAlign w:val="center"/>
                </w:tcPr>
                <w:p w14:paraId="4FAE0C8D">
                  <w:pPr>
                    <w:pStyle w:val="55"/>
                    <w:rPr>
                      <w:color w:val="auto"/>
                    </w:rPr>
                  </w:pPr>
                  <w:r>
                    <w:rPr>
                      <w:color w:val="auto"/>
                    </w:rPr>
                    <w:t>田野、林缘、家舍广泛栖息</w:t>
                  </w:r>
                </w:p>
              </w:tc>
            </w:tr>
            <w:tr w14:paraId="646EE6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926" w:type="pct"/>
                  <w:vMerge w:val="continue"/>
                  <w:vAlign w:val="center"/>
                </w:tcPr>
                <w:p w14:paraId="03C55725">
                  <w:pPr>
                    <w:pStyle w:val="55"/>
                    <w:rPr>
                      <w:color w:val="auto"/>
                    </w:rPr>
                  </w:pPr>
                </w:p>
              </w:tc>
              <w:tc>
                <w:tcPr>
                  <w:tcW w:w="603" w:type="pct"/>
                  <w:vMerge w:val="continue"/>
                  <w:vAlign w:val="center"/>
                </w:tcPr>
                <w:p w14:paraId="44ACD45F">
                  <w:pPr>
                    <w:pStyle w:val="55"/>
                    <w:rPr>
                      <w:color w:val="auto"/>
                    </w:rPr>
                  </w:pPr>
                </w:p>
              </w:tc>
              <w:tc>
                <w:tcPr>
                  <w:tcW w:w="1823" w:type="pct"/>
                  <w:vAlign w:val="center"/>
                </w:tcPr>
                <w:p w14:paraId="355C279D">
                  <w:pPr>
                    <w:pStyle w:val="55"/>
                    <w:rPr>
                      <w:color w:val="auto"/>
                    </w:rPr>
                  </w:pPr>
                  <w:r>
                    <w:rPr>
                      <w:color w:val="auto"/>
                    </w:rPr>
                    <w:t>10.社鼠</w:t>
                  </w:r>
                  <w:r>
                    <w:rPr>
                      <w:rFonts w:hint="eastAsia"/>
                      <w:color w:val="auto"/>
                    </w:rPr>
                    <w:t xml:space="preserve"> </w:t>
                  </w:r>
                  <w:r>
                    <w:rPr>
                      <w:rFonts w:hint="eastAsia"/>
                      <w:i/>
                      <w:iCs/>
                      <w:color w:val="auto"/>
                    </w:rPr>
                    <w:t>Niviventer niviventer</w:t>
                  </w:r>
                </w:p>
              </w:tc>
              <w:tc>
                <w:tcPr>
                  <w:tcW w:w="1645" w:type="pct"/>
                  <w:vAlign w:val="center"/>
                </w:tcPr>
                <w:p w14:paraId="2B68897A">
                  <w:pPr>
                    <w:pStyle w:val="55"/>
                    <w:rPr>
                      <w:color w:val="auto"/>
                    </w:rPr>
                  </w:pPr>
                  <w:r>
                    <w:rPr>
                      <w:color w:val="auto"/>
                    </w:rPr>
                    <w:t>林地、灌丛、田野</w:t>
                  </w:r>
                </w:p>
              </w:tc>
            </w:tr>
            <w:tr w14:paraId="2376AC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926" w:type="pct"/>
                  <w:vMerge w:val="continue"/>
                  <w:vAlign w:val="center"/>
                </w:tcPr>
                <w:p w14:paraId="0D818340">
                  <w:pPr>
                    <w:pStyle w:val="55"/>
                    <w:rPr>
                      <w:color w:val="auto"/>
                    </w:rPr>
                  </w:pPr>
                </w:p>
              </w:tc>
              <w:tc>
                <w:tcPr>
                  <w:tcW w:w="603" w:type="pct"/>
                  <w:vMerge w:val="continue"/>
                  <w:vAlign w:val="center"/>
                </w:tcPr>
                <w:p w14:paraId="3C94F07D">
                  <w:pPr>
                    <w:pStyle w:val="55"/>
                    <w:rPr>
                      <w:color w:val="auto"/>
                    </w:rPr>
                  </w:pPr>
                </w:p>
              </w:tc>
              <w:tc>
                <w:tcPr>
                  <w:tcW w:w="1823" w:type="pct"/>
                  <w:vAlign w:val="center"/>
                </w:tcPr>
                <w:p w14:paraId="38DAB4C4">
                  <w:pPr>
                    <w:pStyle w:val="55"/>
                    <w:rPr>
                      <w:color w:val="auto"/>
                    </w:rPr>
                  </w:pPr>
                  <w:r>
                    <w:rPr>
                      <w:color w:val="auto"/>
                    </w:rPr>
                    <w:t>11.黑线姬鼠</w:t>
                  </w:r>
                  <w:r>
                    <w:rPr>
                      <w:rFonts w:hint="eastAsia"/>
                      <w:color w:val="auto"/>
                    </w:rPr>
                    <w:t xml:space="preserve"> </w:t>
                  </w:r>
                  <w:r>
                    <w:rPr>
                      <w:rFonts w:hint="eastAsia"/>
                      <w:i/>
                      <w:iCs/>
                      <w:color w:val="auto"/>
                    </w:rPr>
                    <w:t>Apodemus agrarius</w:t>
                  </w:r>
                </w:p>
              </w:tc>
              <w:tc>
                <w:tcPr>
                  <w:tcW w:w="1645" w:type="pct"/>
                  <w:vAlign w:val="center"/>
                </w:tcPr>
                <w:p w14:paraId="39559660">
                  <w:pPr>
                    <w:pStyle w:val="55"/>
                    <w:rPr>
                      <w:color w:val="auto"/>
                    </w:rPr>
                  </w:pPr>
                  <w:r>
                    <w:rPr>
                      <w:color w:val="auto"/>
                    </w:rPr>
                    <w:t>田野、林缘等广泛栖息</w:t>
                  </w:r>
                </w:p>
              </w:tc>
            </w:tr>
            <w:tr w14:paraId="654880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926" w:type="pct"/>
                  <w:vAlign w:val="center"/>
                </w:tcPr>
                <w:p w14:paraId="1AB8293E">
                  <w:pPr>
                    <w:pStyle w:val="55"/>
                    <w:rPr>
                      <w:color w:val="auto"/>
                      <w:lang w:val="it-IT"/>
                    </w:rPr>
                  </w:pPr>
                  <w:r>
                    <w:rPr>
                      <w:color w:val="auto"/>
                      <w:lang w:val="it-IT"/>
                    </w:rPr>
                    <w:t>（四）</w:t>
                  </w:r>
                  <w:r>
                    <w:rPr>
                      <w:color w:val="auto"/>
                    </w:rPr>
                    <w:t>食肉目</w:t>
                  </w:r>
                </w:p>
              </w:tc>
              <w:tc>
                <w:tcPr>
                  <w:tcW w:w="603" w:type="pct"/>
                  <w:vAlign w:val="center"/>
                </w:tcPr>
                <w:p w14:paraId="261302C5">
                  <w:pPr>
                    <w:pStyle w:val="55"/>
                    <w:rPr>
                      <w:color w:val="auto"/>
                    </w:rPr>
                  </w:pPr>
                  <w:r>
                    <w:rPr>
                      <w:color w:val="auto"/>
                    </w:rPr>
                    <w:t>鼬科</w:t>
                  </w:r>
                </w:p>
              </w:tc>
              <w:tc>
                <w:tcPr>
                  <w:tcW w:w="1823" w:type="pct"/>
                  <w:vAlign w:val="center"/>
                </w:tcPr>
                <w:p w14:paraId="425E11D6">
                  <w:pPr>
                    <w:pStyle w:val="55"/>
                    <w:rPr>
                      <w:color w:val="auto"/>
                    </w:rPr>
                  </w:pPr>
                  <w:r>
                    <w:rPr>
                      <w:color w:val="auto"/>
                    </w:rPr>
                    <w:t>12.黄鼬</w:t>
                  </w:r>
                  <w:r>
                    <w:rPr>
                      <w:rFonts w:hint="eastAsia"/>
                      <w:color w:val="auto"/>
                    </w:rPr>
                    <w:t xml:space="preserve"> </w:t>
                  </w:r>
                  <w:r>
                    <w:rPr>
                      <w:rFonts w:hint="eastAsia"/>
                      <w:i/>
                      <w:iCs/>
                      <w:color w:val="auto"/>
                    </w:rPr>
                    <w:t>Mustela sibirica</w:t>
                  </w:r>
                </w:p>
              </w:tc>
              <w:tc>
                <w:tcPr>
                  <w:tcW w:w="1645" w:type="pct"/>
                  <w:vAlign w:val="center"/>
                </w:tcPr>
                <w:p w14:paraId="2DDF2984">
                  <w:pPr>
                    <w:pStyle w:val="55"/>
                    <w:rPr>
                      <w:color w:val="auto"/>
                    </w:rPr>
                  </w:pPr>
                  <w:r>
                    <w:rPr>
                      <w:color w:val="auto"/>
                    </w:rPr>
                    <w:t>河道从横的水网区、沼泽地</w:t>
                  </w:r>
                </w:p>
              </w:tc>
            </w:tr>
            <w:tr w14:paraId="145021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926" w:type="pct"/>
                  <w:vAlign w:val="center"/>
                </w:tcPr>
                <w:p w14:paraId="29795627">
                  <w:pPr>
                    <w:pStyle w:val="55"/>
                    <w:rPr>
                      <w:color w:val="auto"/>
                      <w:lang w:val="it-IT"/>
                    </w:rPr>
                  </w:pPr>
                  <w:r>
                    <w:rPr>
                      <w:color w:val="auto"/>
                      <w:lang w:val="it-IT"/>
                    </w:rPr>
                    <w:t>（五）</w:t>
                  </w:r>
                  <w:r>
                    <w:rPr>
                      <w:color w:val="auto"/>
                    </w:rPr>
                    <w:t>猬形目</w:t>
                  </w:r>
                </w:p>
              </w:tc>
              <w:tc>
                <w:tcPr>
                  <w:tcW w:w="603" w:type="pct"/>
                  <w:vAlign w:val="center"/>
                </w:tcPr>
                <w:p w14:paraId="2EEAEC56">
                  <w:pPr>
                    <w:pStyle w:val="55"/>
                    <w:rPr>
                      <w:color w:val="auto"/>
                    </w:rPr>
                  </w:pPr>
                  <w:r>
                    <w:rPr>
                      <w:color w:val="auto"/>
                    </w:rPr>
                    <w:t>猬科</w:t>
                  </w:r>
                </w:p>
              </w:tc>
              <w:tc>
                <w:tcPr>
                  <w:tcW w:w="1823" w:type="pct"/>
                  <w:vAlign w:val="center"/>
                </w:tcPr>
                <w:p w14:paraId="057974BD">
                  <w:pPr>
                    <w:pStyle w:val="55"/>
                    <w:rPr>
                      <w:color w:val="auto"/>
                    </w:rPr>
                  </w:pPr>
                  <w:r>
                    <w:rPr>
                      <w:color w:val="auto"/>
                    </w:rPr>
                    <w:t>13.东北刺猬</w:t>
                  </w:r>
                  <w:r>
                    <w:rPr>
                      <w:rFonts w:hint="eastAsia"/>
                      <w:color w:val="auto"/>
                    </w:rPr>
                    <w:t xml:space="preserve"> </w:t>
                  </w:r>
                  <w:r>
                    <w:rPr>
                      <w:rFonts w:hint="eastAsia"/>
                      <w:i/>
                      <w:iCs/>
                      <w:color w:val="auto"/>
                    </w:rPr>
                    <w:t>Erinaceus amurensis</w:t>
                  </w:r>
                </w:p>
              </w:tc>
              <w:tc>
                <w:tcPr>
                  <w:tcW w:w="1645" w:type="pct"/>
                  <w:vAlign w:val="center"/>
                </w:tcPr>
                <w:p w14:paraId="1F8033CE">
                  <w:pPr>
                    <w:pStyle w:val="55"/>
                    <w:rPr>
                      <w:color w:val="auto"/>
                    </w:rPr>
                  </w:pPr>
                  <w:r>
                    <w:rPr>
                      <w:color w:val="auto"/>
                    </w:rPr>
                    <w:t>农田和荒野，河道从横的水网区、沼泽地</w:t>
                  </w:r>
                </w:p>
              </w:tc>
            </w:tr>
            <w:tr w14:paraId="2F3769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926" w:type="pct"/>
                  <w:vAlign w:val="center"/>
                </w:tcPr>
                <w:p w14:paraId="6129D540">
                  <w:pPr>
                    <w:pStyle w:val="55"/>
                    <w:rPr>
                      <w:color w:val="auto"/>
                      <w:lang w:val="it-IT"/>
                    </w:rPr>
                  </w:pPr>
                  <w:r>
                    <w:rPr>
                      <w:color w:val="auto"/>
                      <w:lang w:val="it-IT"/>
                    </w:rPr>
                    <w:t>（六）食虫目</w:t>
                  </w:r>
                </w:p>
              </w:tc>
              <w:tc>
                <w:tcPr>
                  <w:tcW w:w="603" w:type="pct"/>
                  <w:vAlign w:val="center"/>
                </w:tcPr>
                <w:p w14:paraId="1CE6D071">
                  <w:pPr>
                    <w:pStyle w:val="55"/>
                    <w:rPr>
                      <w:color w:val="auto"/>
                    </w:rPr>
                  </w:pPr>
                  <w:r>
                    <w:rPr>
                      <w:color w:val="auto"/>
                    </w:rPr>
                    <w:t>鼩鼱科</w:t>
                  </w:r>
                </w:p>
              </w:tc>
              <w:tc>
                <w:tcPr>
                  <w:tcW w:w="1823" w:type="pct"/>
                  <w:vAlign w:val="center"/>
                </w:tcPr>
                <w:p w14:paraId="5DD750DF">
                  <w:pPr>
                    <w:pStyle w:val="55"/>
                    <w:rPr>
                      <w:color w:val="auto"/>
                      <w:lang w:val="pt-BR"/>
                    </w:rPr>
                  </w:pPr>
                  <w:r>
                    <w:rPr>
                      <w:color w:val="auto"/>
                      <w:lang w:val="pt-BR"/>
                    </w:rPr>
                    <w:t>14.</w:t>
                  </w:r>
                  <w:r>
                    <w:rPr>
                      <w:color w:val="auto"/>
                    </w:rPr>
                    <w:t>北小麝鼩</w:t>
                  </w:r>
                  <w:r>
                    <w:rPr>
                      <w:rFonts w:hint="eastAsia"/>
                      <w:color w:val="auto"/>
                      <w:lang w:val="pt-BR"/>
                    </w:rPr>
                    <w:t xml:space="preserve"> </w:t>
                  </w:r>
                  <w:r>
                    <w:rPr>
                      <w:rFonts w:hint="eastAsia"/>
                      <w:i/>
                      <w:iCs/>
                      <w:color w:val="auto"/>
                      <w:lang w:val="pt-BR"/>
                    </w:rPr>
                    <w:t>Crocidura suaveolens</w:t>
                  </w:r>
                </w:p>
              </w:tc>
              <w:tc>
                <w:tcPr>
                  <w:tcW w:w="1645" w:type="pct"/>
                  <w:vAlign w:val="center"/>
                </w:tcPr>
                <w:p w14:paraId="28466257">
                  <w:pPr>
                    <w:pStyle w:val="55"/>
                    <w:rPr>
                      <w:color w:val="auto"/>
                    </w:rPr>
                  </w:pPr>
                  <w:r>
                    <w:rPr>
                      <w:color w:val="auto"/>
                    </w:rPr>
                    <w:t>人工林地、农田附近</w:t>
                  </w:r>
                </w:p>
              </w:tc>
            </w:tr>
          </w:tbl>
          <w:p w14:paraId="7BDA925B">
            <w:pPr>
              <w:pStyle w:val="51"/>
              <w:rPr>
                <w:color w:val="auto"/>
              </w:rPr>
            </w:pPr>
            <w:r>
              <w:rPr>
                <w:color w:val="auto"/>
              </w:rPr>
              <w:t>（2）爬行类</w:t>
            </w:r>
          </w:p>
          <w:p w14:paraId="0B2D985C">
            <w:pPr>
              <w:pStyle w:val="51"/>
              <w:rPr>
                <w:color w:val="auto"/>
              </w:rPr>
            </w:pPr>
            <w:r>
              <w:rPr>
                <w:color w:val="auto"/>
              </w:rPr>
              <w:t>本次</w:t>
            </w:r>
            <w:r>
              <w:rPr>
                <w:rFonts w:hint="eastAsia"/>
                <w:color w:val="auto"/>
              </w:rPr>
              <w:t>查阅相关文献可知，项目所在区域</w:t>
            </w:r>
            <w:r>
              <w:rPr>
                <w:color w:val="auto"/>
              </w:rPr>
              <w:t>爬行类动物主要龟科、鳖科及蛇科动物，共8种，爬行类动物目录见下表。</w:t>
            </w:r>
            <w:r>
              <w:rPr>
                <w:rFonts w:hint="eastAsia"/>
                <w:color w:val="auto"/>
              </w:rPr>
              <w:t>其中</w:t>
            </w:r>
            <w:r>
              <w:rPr>
                <w:color w:val="auto"/>
              </w:rPr>
              <w:t>蛇类主要分布临水灌木和灌草丛附近，种群数量相对较高，龟鳖类的资源几近枯竭。</w:t>
            </w:r>
          </w:p>
          <w:p w14:paraId="6F3AB917">
            <w:pPr>
              <w:pStyle w:val="53"/>
              <w:rPr>
                <w:color w:val="auto"/>
              </w:rPr>
            </w:pPr>
            <w:r>
              <w:rPr>
                <w:color w:val="auto"/>
              </w:rPr>
              <w:t>表</w:t>
            </w:r>
            <w:r>
              <w:rPr>
                <w:rFonts w:hint="eastAsia"/>
                <w:color w:val="auto"/>
              </w:rPr>
              <w:t xml:space="preserve">3-2 </w:t>
            </w:r>
            <w:r>
              <w:rPr>
                <w:color w:val="auto"/>
              </w:rPr>
              <w:t xml:space="preserve"> </w:t>
            </w:r>
            <w:r>
              <w:rPr>
                <w:rFonts w:hint="eastAsia"/>
                <w:color w:val="auto"/>
              </w:rPr>
              <w:t>项目区域及周边</w:t>
            </w:r>
            <w:r>
              <w:rPr>
                <w:color w:val="auto"/>
              </w:rPr>
              <w:t>爬行类动物名录</w:t>
            </w:r>
          </w:p>
          <w:tbl>
            <w:tblPr>
              <w:tblStyle w:val="2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3307"/>
              <w:gridCol w:w="1267"/>
              <w:gridCol w:w="6"/>
              <w:gridCol w:w="1275"/>
              <w:gridCol w:w="1096"/>
              <w:gridCol w:w="1070"/>
            </w:tblGrid>
            <w:tr w14:paraId="79EFBF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2061" w:type="pct"/>
                  <w:vMerge w:val="restart"/>
                  <w:vAlign w:val="center"/>
                </w:tcPr>
                <w:p w14:paraId="3ADBA5FC">
                  <w:pPr>
                    <w:pStyle w:val="55"/>
                    <w:rPr>
                      <w:color w:val="auto"/>
                    </w:rPr>
                  </w:pPr>
                  <w:r>
                    <w:rPr>
                      <w:color w:val="auto"/>
                    </w:rPr>
                    <w:t>种类名称</w:t>
                  </w:r>
                </w:p>
              </w:tc>
              <w:tc>
                <w:tcPr>
                  <w:tcW w:w="2939" w:type="pct"/>
                  <w:gridSpan w:val="5"/>
                  <w:tcBorders>
                    <w:bottom w:val="single" w:color="auto" w:sz="4" w:space="0"/>
                  </w:tcBorders>
                  <w:vAlign w:val="center"/>
                </w:tcPr>
                <w:p w14:paraId="177B8D7D">
                  <w:pPr>
                    <w:pStyle w:val="55"/>
                    <w:rPr>
                      <w:color w:val="auto"/>
                    </w:rPr>
                  </w:pPr>
                  <w:r>
                    <w:rPr>
                      <w:color w:val="auto"/>
                    </w:rPr>
                    <w:t>区系组成</w:t>
                  </w:r>
                </w:p>
              </w:tc>
            </w:tr>
            <w:tr w14:paraId="79B475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2061" w:type="pct"/>
                  <w:vMerge w:val="continue"/>
                  <w:vAlign w:val="center"/>
                </w:tcPr>
                <w:p w14:paraId="7D8678EA">
                  <w:pPr>
                    <w:pStyle w:val="55"/>
                    <w:rPr>
                      <w:color w:val="auto"/>
                    </w:rPr>
                  </w:pPr>
                </w:p>
              </w:tc>
              <w:tc>
                <w:tcPr>
                  <w:tcW w:w="790" w:type="pct"/>
                  <w:tcBorders>
                    <w:top w:val="single" w:color="auto" w:sz="4" w:space="0"/>
                    <w:right w:val="single" w:color="auto" w:sz="4" w:space="0"/>
                  </w:tcBorders>
                  <w:vAlign w:val="center"/>
                </w:tcPr>
                <w:p w14:paraId="2AD9992D">
                  <w:pPr>
                    <w:pStyle w:val="55"/>
                    <w:rPr>
                      <w:color w:val="auto"/>
                    </w:rPr>
                  </w:pPr>
                  <w:r>
                    <w:rPr>
                      <w:color w:val="auto"/>
                    </w:rPr>
                    <w:t>古北界种类</w:t>
                  </w:r>
                </w:p>
              </w:tc>
              <w:tc>
                <w:tcPr>
                  <w:tcW w:w="799" w:type="pct"/>
                  <w:gridSpan w:val="2"/>
                  <w:tcBorders>
                    <w:top w:val="single" w:color="auto" w:sz="4" w:space="0"/>
                    <w:left w:val="single" w:color="auto" w:sz="4" w:space="0"/>
                    <w:right w:val="single" w:color="auto" w:sz="4" w:space="0"/>
                  </w:tcBorders>
                  <w:vAlign w:val="center"/>
                </w:tcPr>
                <w:p w14:paraId="78D62A09">
                  <w:pPr>
                    <w:pStyle w:val="55"/>
                    <w:rPr>
                      <w:color w:val="auto"/>
                    </w:rPr>
                  </w:pPr>
                  <w:r>
                    <w:rPr>
                      <w:color w:val="auto"/>
                    </w:rPr>
                    <w:t>东洋界种类</w:t>
                  </w:r>
                </w:p>
              </w:tc>
              <w:tc>
                <w:tcPr>
                  <w:tcW w:w="683" w:type="pct"/>
                  <w:tcBorders>
                    <w:top w:val="single" w:color="auto" w:sz="4" w:space="0"/>
                    <w:left w:val="single" w:color="auto" w:sz="4" w:space="0"/>
                  </w:tcBorders>
                  <w:vAlign w:val="center"/>
                </w:tcPr>
                <w:p w14:paraId="4B17A18A">
                  <w:pPr>
                    <w:pStyle w:val="55"/>
                    <w:rPr>
                      <w:color w:val="auto"/>
                    </w:rPr>
                  </w:pPr>
                  <w:r>
                    <w:rPr>
                      <w:color w:val="auto"/>
                    </w:rPr>
                    <w:t>广布种类</w:t>
                  </w:r>
                </w:p>
              </w:tc>
              <w:tc>
                <w:tcPr>
                  <w:tcW w:w="667" w:type="pct"/>
                  <w:tcBorders>
                    <w:top w:val="single" w:color="auto" w:sz="4" w:space="0"/>
                  </w:tcBorders>
                  <w:vAlign w:val="center"/>
                </w:tcPr>
                <w:p w14:paraId="649D1827">
                  <w:pPr>
                    <w:pStyle w:val="55"/>
                    <w:rPr>
                      <w:color w:val="auto"/>
                    </w:rPr>
                  </w:pPr>
                  <w:r>
                    <w:rPr>
                      <w:color w:val="auto"/>
                    </w:rPr>
                    <w:t>种群数量</w:t>
                  </w:r>
                </w:p>
              </w:tc>
            </w:tr>
            <w:tr w14:paraId="032830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2061" w:type="pct"/>
                  <w:vAlign w:val="center"/>
                </w:tcPr>
                <w:p w14:paraId="1AFA2D64">
                  <w:pPr>
                    <w:pStyle w:val="55"/>
                    <w:rPr>
                      <w:color w:val="auto"/>
                    </w:rPr>
                  </w:pPr>
                  <w:r>
                    <w:rPr>
                      <w:color w:val="auto"/>
                    </w:rPr>
                    <w:t>一、龟科</w:t>
                  </w:r>
                </w:p>
              </w:tc>
              <w:tc>
                <w:tcPr>
                  <w:tcW w:w="794" w:type="pct"/>
                  <w:gridSpan w:val="2"/>
                  <w:tcBorders>
                    <w:right w:val="single" w:color="auto" w:sz="4" w:space="0"/>
                  </w:tcBorders>
                  <w:vAlign w:val="center"/>
                </w:tcPr>
                <w:p w14:paraId="0AAC1073">
                  <w:pPr>
                    <w:pStyle w:val="55"/>
                    <w:rPr>
                      <w:color w:val="auto"/>
                    </w:rPr>
                  </w:pPr>
                </w:p>
              </w:tc>
              <w:tc>
                <w:tcPr>
                  <w:tcW w:w="795" w:type="pct"/>
                  <w:tcBorders>
                    <w:left w:val="single" w:color="auto" w:sz="4" w:space="0"/>
                    <w:right w:val="single" w:color="auto" w:sz="4" w:space="0"/>
                  </w:tcBorders>
                  <w:vAlign w:val="center"/>
                </w:tcPr>
                <w:p w14:paraId="05FFCB52">
                  <w:pPr>
                    <w:pStyle w:val="55"/>
                    <w:rPr>
                      <w:color w:val="auto"/>
                    </w:rPr>
                  </w:pPr>
                </w:p>
              </w:tc>
              <w:tc>
                <w:tcPr>
                  <w:tcW w:w="683" w:type="pct"/>
                  <w:tcBorders>
                    <w:left w:val="single" w:color="auto" w:sz="4" w:space="0"/>
                  </w:tcBorders>
                  <w:vAlign w:val="center"/>
                </w:tcPr>
                <w:p w14:paraId="4127BD77">
                  <w:pPr>
                    <w:pStyle w:val="55"/>
                    <w:rPr>
                      <w:color w:val="auto"/>
                    </w:rPr>
                  </w:pPr>
                </w:p>
              </w:tc>
              <w:tc>
                <w:tcPr>
                  <w:tcW w:w="667" w:type="pct"/>
                  <w:vAlign w:val="center"/>
                </w:tcPr>
                <w:p w14:paraId="2C9C4C4F">
                  <w:pPr>
                    <w:pStyle w:val="55"/>
                    <w:rPr>
                      <w:color w:val="auto"/>
                    </w:rPr>
                  </w:pPr>
                </w:p>
              </w:tc>
            </w:tr>
            <w:tr w14:paraId="18D816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2061" w:type="pct"/>
                  <w:vAlign w:val="center"/>
                </w:tcPr>
                <w:p w14:paraId="37DA0C2C">
                  <w:pPr>
                    <w:pStyle w:val="55"/>
                    <w:rPr>
                      <w:color w:val="auto"/>
                    </w:rPr>
                  </w:pPr>
                  <w:r>
                    <w:rPr>
                      <w:color w:val="auto"/>
                    </w:rPr>
                    <w:t xml:space="preserve">1.乌龟 </w:t>
                  </w:r>
                  <w:r>
                    <w:rPr>
                      <w:i/>
                      <w:iCs/>
                      <w:color w:val="auto"/>
                    </w:rPr>
                    <w:t>Chinemys reevesii</w:t>
                  </w:r>
                </w:p>
              </w:tc>
              <w:tc>
                <w:tcPr>
                  <w:tcW w:w="794" w:type="pct"/>
                  <w:gridSpan w:val="2"/>
                  <w:vAlign w:val="center"/>
                </w:tcPr>
                <w:p w14:paraId="4311D41F">
                  <w:pPr>
                    <w:pStyle w:val="55"/>
                    <w:rPr>
                      <w:color w:val="auto"/>
                    </w:rPr>
                  </w:pPr>
                </w:p>
              </w:tc>
              <w:tc>
                <w:tcPr>
                  <w:tcW w:w="795" w:type="pct"/>
                  <w:vAlign w:val="center"/>
                </w:tcPr>
                <w:p w14:paraId="1E037577">
                  <w:pPr>
                    <w:pStyle w:val="55"/>
                    <w:rPr>
                      <w:color w:val="auto"/>
                    </w:rPr>
                  </w:pPr>
                </w:p>
              </w:tc>
              <w:tc>
                <w:tcPr>
                  <w:tcW w:w="683" w:type="pct"/>
                  <w:vAlign w:val="center"/>
                </w:tcPr>
                <w:p w14:paraId="05BE25A9">
                  <w:pPr>
                    <w:pStyle w:val="55"/>
                    <w:rPr>
                      <w:color w:val="auto"/>
                    </w:rPr>
                  </w:pPr>
                  <w:r>
                    <w:rPr>
                      <w:color w:val="auto"/>
                    </w:rPr>
                    <w:t>√</w:t>
                  </w:r>
                </w:p>
              </w:tc>
              <w:tc>
                <w:tcPr>
                  <w:tcW w:w="667" w:type="pct"/>
                  <w:vAlign w:val="center"/>
                </w:tcPr>
                <w:p w14:paraId="6AB7662F">
                  <w:pPr>
                    <w:pStyle w:val="55"/>
                    <w:rPr>
                      <w:color w:val="auto"/>
                    </w:rPr>
                  </w:pPr>
                  <w:r>
                    <w:rPr>
                      <w:color w:val="auto"/>
                    </w:rPr>
                    <w:t>+</w:t>
                  </w:r>
                </w:p>
              </w:tc>
            </w:tr>
            <w:tr w14:paraId="1B4DD3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2061" w:type="pct"/>
                  <w:vAlign w:val="center"/>
                </w:tcPr>
                <w:p w14:paraId="34D8AFC5">
                  <w:pPr>
                    <w:pStyle w:val="55"/>
                    <w:rPr>
                      <w:color w:val="auto"/>
                    </w:rPr>
                  </w:pPr>
                  <w:r>
                    <w:rPr>
                      <w:color w:val="auto"/>
                    </w:rPr>
                    <w:t>二、鳖科</w:t>
                  </w:r>
                </w:p>
              </w:tc>
              <w:tc>
                <w:tcPr>
                  <w:tcW w:w="794" w:type="pct"/>
                  <w:gridSpan w:val="2"/>
                  <w:vAlign w:val="center"/>
                </w:tcPr>
                <w:p w14:paraId="77DBDB1A">
                  <w:pPr>
                    <w:pStyle w:val="55"/>
                    <w:rPr>
                      <w:color w:val="auto"/>
                    </w:rPr>
                  </w:pPr>
                </w:p>
              </w:tc>
              <w:tc>
                <w:tcPr>
                  <w:tcW w:w="795" w:type="pct"/>
                  <w:vAlign w:val="center"/>
                </w:tcPr>
                <w:p w14:paraId="487159AC">
                  <w:pPr>
                    <w:pStyle w:val="55"/>
                    <w:rPr>
                      <w:color w:val="auto"/>
                    </w:rPr>
                  </w:pPr>
                </w:p>
              </w:tc>
              <w:tc>
                <w:tcPr>
                  <w:tcW w:w="683" w:type="pct"/>
                  <w:vAlign w:val="center"/>
                </w:tcPr>
                <w:p w14:paraId="3F8A049C">
                  <w:pPr>
                    <w:pStyle w:val="55"/>
                    <w:rPr>
                      <w:color w:val="auto"/>
                    </w:rPr>
                  </w:pPr>
                </w:p>
              </w:tc>
              <w:tc>
                <w:tcPr>
                  <w:tcW w:w="667" w:type="pct"/>
                  <w:vAlign w:val="center"/>
                </w:tcPr>
                <w:p w14:paraId="2CDFA871">
                  <w:pPr>
                    <w:pStyle w:val="55"/>
                    <w:rPr>
                      <w:color w:val="auto"/>
                    </w:rPr>
                  </w:pPr>
                </w:p>
              </w:tc>
            </w:tr>
            <w:tr w14:paraId="0BAE4B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2061" w:type="pct"/>
                  <w:vAlign w:val="center"/>
                </w:tcPr>
                <w:p w14:paraId="13C0C797">
                  <w:pPr>
                    <w:pStyle w:val="55"/>
                    <w:rPr>
                      <w:color w:val="auto"/>
                    </w:rPr>
                  </w:pPr>
                  <w:r>
                    <w:rPr>
                      <w:color w:val="auto"/>
                    </w:rPr>
                    <w:t xml:space="preserve">1.中华鳖 </w:t>
                  </w:r>
                  <w:r>
                    <w:rPr>
                      <w:i/>
                      <w:iCs/>
                      <w:color w:val="auto"/>
                    </w:rPr>
                    <w:t>Trionyx sinensis</w:t>
                  </w:r>
                </w:p>
              </w:tc>
              <w:tc>
                <w:tcPr>
                  <w:tcW w:w="794" w:type="pct"/>
                  <w:gridSpan w:val="2"/>
                  <w:vAlign w:val="center"/>
                </w:tcPr>
                <w:p w14:paraId="65B59BBC">
                  <w:pPr>
                    <w:pStyle w:val="55"/>
                    <w:rPr>
                      <w:color w:val="auto"/>
                    </w:rPr>
                  </w:pPr>
                </w:p>
              </w:tc>
              <w:tc>
                <w:tcPr>
                  <w:tcW w:w="795" w:type="pct"/>
                  <w:vAlign w:val="center"/>
                </w:tcPr>
                <w:p w14:paraId="032457C3">
                  <w:pPr>
                    <w:pStyle w:val="55"/>
                    <w:rPr>
                      <w:color w:val="auto"/>
                    </w:rPr>
                  </w:pPr>
                </w:p>
              </w:tc>
              <w:tc>
                <w:tcPr>
                  <w:tcW w:w="683" w:type="pct"/>
                  <w:vAlign w:val="center"/>
                </w:tcPr>
                <w:p w14:paraId="24478CDD">
                  <w:pPr>
                    <w:pStyle w:val="55"/>
                    <w:rPr>
                      <w:color w:val="auto"/>
                    </w:rPr>
                  </w:pPr>
                  <w:r>
                    <w:rPr>
                      <w:color w:val="auto"/>
                    </w:rPr>
                    <w:t>√</w:t>
                  </w:r>
                </w:p>
              </w:tc>
              <w:tc>
                <w:tcPr>
                  <w:tcW w:w="667" w:type="pct"/>
                  <w:vAlign w:val="center"/>
                </w:tcPr>
                <w:p w14:paraId="67F3B687">
                  <w:pPr>
                    <w:pStyle w:val="55"/>
                    <w:rPr>
                      <w:color w:val="auto"/>
                    </w:rPr>
                  </w:pPr>
                  <w:r>
                    <w:rPr>
                      <w:color w:val="auto"/>
                    </w:rPr>
                    <w:t>++</w:t>
                  </w:r>
                </w:p>
              </w:tc>
            </w:tr>
            <w:tr w14:paraId="181912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2061" w:type="pct"/>
                  <w:vAlign w:val="center"/>
                </w:tcPr>
                <w:p w14:paraId="388ECF7C">
                  <w:pPr>
                    <w:pStyle w:val="55"/>
                    <w:rPr>
                      <w:color w:val="auto"/>
                    </w:rPr>
                  </w:pPr>
                  <w:r>
                    <w:rPr>
                      <w:color w:val="auto"/>
                    </w:rPr>
                    <w:t>三、壁虎科</w:t>
                  </w:r>
                </w:p>
              </w:tc>
              <w:tc>
                <w:tcPr>
                  <w:tcW w:w="794" w:type="pct"/>
                  <w:gridSpan w:val="2"/>
                  <w:vAlign w:val="center"/>
                </w:tcPr>
                <w:p w14:paraId="59BA9C91">
                  <w:pPr>
                    <w:pStyle w:val="55"/>
                    <w:rPr>
                      <w:color w:val="auto"/>
                    </w:rPr>
                  </w:pPr>
                </w:p>
              </w:tc>
              <w:tc>
                <w:tcPr>
                  <w:tcW w:w="795" w:type="pct"/>
                  <w:vAlign w:val="center"/>
                </w:tcPr>
                <w:p w14:paraId="67153C51">
                  <w:pPr>
                    <w:pStyle w:val="55"/>
                    <w:rPr>
                      <w:color w:val="auto"/>
                    </w:rPr>
                  </w:pPr>
                </w:p>
              </w:tc>
              <w:tc>
                <w:tcPr>
                  <w:tcW w:w="683" w:type="pct"/>
                  <w:vAlign w:val="center"/>
                </w:tcPr>
                <w:p w14:paraId="34B7E0DE">
                  <w:pPr>
                    <w:pStyle w:val="55"/>
                    <w:rPr>
                      <w:color w:val="auto"/>
                    </w:rPr>
                  </w:pPr>
                </w:p>
              </w:tc>
              <w:tc>
                <w:tcPr>
                  <w:tcW w:w="667" w:type="pct"/>
                  <w:vAlign w:val="center"/>
                </w:tcPr>
                <w:p w14:paraId="0D3A7EA4">
                  <w:pPr>
                    <w:pStyle w:val="55"/>
                    <w:rPr>
                      <w:color w:val="auto"/>
                    </w:rPr>
                  </w:pPr>
                </w:p>
              </w:tc>
            </w:tr>
            <w:tr w14:paraId="44AAE4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2061" w:type="pct"/>
                  <w:vAlign w:val="center"/>
                </w:tcPr>
                <w:p w14:paraId="14F3F9CD">
                  <w:pPr>
                    <w:pStyle w:val="55"/>
                    <w:rPr>
                      <w:color w:val="auto"/>
                    </w:rPr>
                  </w:pPr>
                  <w:r>
                    <w:rPr>
                      <w:color w:val="auto"/>
                    </w:rPr>
                    <w:t xml:space="preserve">1.无蹼壁虎 </w:t>
                  </w:r>
                  <w:r>
                    <w:rPr>
                      <w:i/>
                      <w:iCs/>
                      <w:color w:val="auto"/>
                    </w:rPr>
                    <w:t>Gekko swinhonis</w:t>
                  </w:r>
                </w:p>
              </w:tc>
              <w:tc>
                <w:tcPr>
                  <w:tcW w:w="794" w:type="pct"/>
                  <w:gridSpan w:val="2"/>
                  <w:vAlign w:val="center"/>
                </w:tcPr>
                <w:p w14:paraId="6EC2FC72">
                  <w:pPr>
                    <w:pStyle w:val="55"/>
                    <w:rPr>
                      <w:color w:val="auto"/>
                    </w:rPr>
                  </w:pPr>
                  <w:r>
                    <w:rPr>
                      <w:color w:val="auto"/>
                    </w:rPr>
                    <w:t>√</w:t>
                  </w:r>
                </w:p>
              </w:tc>
              <w:tc>
                <w:tcPr>
                  <w:tcW w:w="795" w:type="pct"/>
                  <w:vAlign w:val="center"/>
                </w:tcPr>
                <w:p w14:paraId="495B8C7D">
                  <w:pPr>
                    <w:pStyle w:val="55"/>
                    <w:rPr>
                      <w:color w:val="auto"/>
                    </w:rPr>
                  </w:pPr>
                </w:p>
              </w:tc>
              <w:tc>
                <w:tcPr>
                  <w:tcW w:w="683" w:type="pct"/>
                  <w:vAlign w:val="center"/>
                </w:tcPr>
                <w:p w14:paraId="5829609D">
                  <w:pPr>
                    <w:pStyle w:val="55"/>
                    <w:rPr>
                      <w:color w:val="auto"/>
                    </w:rPr>
                  </w:pPr>
                </w:p>
              </w:tc>
              <w:tc>
                <w:tcPr>
                  <w:tcW w:w="667" w:type="pct"/>
                  <w:vAlign w:val="center"/>
                </w:tcPr>
                <w:p w14:paraId="466C52A2">
                  <w:pPr>
                    <w:pStyle w:val="55"/>
                    <w:rPr>
                      <w:color w:val="auto"/>
                    </w:rPr>
                  </w:pPr>
                  <w:r>
                    <w:rPr>
                      <w:color w:val="auto"/>
                    </w:rPr>
                    <w:t>++</w:t>
                  </w:r>
                </w:p>
              </w:tc>
            </w:tr>
            <w:tr w14:paraId="59A606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2061" w:type="pct"/>
                  <w:vAlign w:val="center"/>
                </w:tcPr>
                <w:p w14:paraId="6B08E4D5">
                  <w:pPr>
                    <w:pStyle w:val="55"/>
                    <w:rPr>
                      <w:color w:val="auto"/>
                      <w:lang w:val="pt-BR"/>
                    </w:rPr>
                  </w:pPr>
                  <w:r>
                    <w:rPr>
                      <w:color w:val="auto"/>
                      <w:lang w:val="pt-BR"/>
                    </w:rPr>
                    <w:t>2．</w:t>
                  </w:r>
                  <w:r>
                    <w:rPr>
                      <w:color w:val="auto"/>
                    </w:rPr>
                    <w:t>多疣壁虎</w:t>
                  </w:r>
                  <w:r>
                    <w:rPr>
                      <w:i/>
                      <w:iCs/>
                      <w:color w:val="auto"/>
                      <w:lang w:val="pt-BR"/>
                    </w:rPr>
                    <w:t>Gekko japonicus</w:t>
                  </w:r>
                </w:p>
              </w:tc>
              <w:tc>
                <w:tcPr>
                  <w:tcW w:w="794" w:type="pct"/>
                  <w:gridSpan w:val="2"/>
                  <w:vAlign w:val="center"/>
                </w:tcPr>
                <w:p w14:paraId="4F3FC008">
                  <w:pPr>
                    <w:pStyle w:val="55"/>
                    <w:rPr>
                      <w:color w:val="auto"/>
                    </w:rPr>
                  </w:pPr>
                  <w:r>
                    <w:rPr>
                      <w:color w:val="auto"/>
                    </w:rPr>
                    <w:t>√</w:t>
                  </w:r>
                </w:p>
              </w:tc>
              <w:tc>
                <w:tcPr>
                  <w:tcW w:w="795" w:type="pct"/>
                  <w:vAlign w:val="center"/>
                </w:tcPr>
                <w:p w14:paraId="5BB6C819">
                  <w:pPr>
                    <w:pStyle w:val="55"/>
                    <w:rPr>
                      <w:color w:val="auto"/>
                    </w:rPr>
                  </w:pPr>
                </w:p>
              </w:tc>
              <w:tc>
                <w:tcPr>
                  <w:tcW w:w="683" w:type="pct"/>
                  <w:vAlign w:val="center"/>
                </w:tcPr>
                <w:p w14:paraId="0E275515">
                  <w:pPr>
                    <w:pStyle w:val="55"/>
                    <w:rPr>
                      <w:color w:val="auto"/>
                    </w:rPr>
                  </w:pPr>
                </w:p>
              </w:tc>
              <w:tc>
                <w:tcPr>
                  <w:tcW w:w="667" w:type="pct"/>
                  <w:vAlign w:val="center"/>
                </w:tcPr>
                <w:p w14:paraId="15F7AC9F">
                  <w:pPr>
                    <w:pStyle w:val="55"/>
                    <w:rPr>
                      <w:color w:val="auto"/>
                    </w:rPr>
                  </w:pPr>
                  <w:r>
                    <w:rPr>
                      <w:color w:val="auto"/>
                    </w:rPr>
                    <w:t>+</w:t>
                  </w:r>
                </w:p>
              </w:tc>
            </w:tr>
            <w:tr w14:paraId="3330F0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2061" w:type="pct"/>
                  <w:vAlign w:val="center"/>
                </w:tcPr>
                <w:p w14:paraId="515E26C1">
                  <w:pPr>
                    <w:pStyle w:val="55"/>
                    <w:rPr>
                      <w:color w:val="auto"/>
                    </w:rPr>
                  </w:pPr>
                  <w:r>
                    <w:rPr>
                      <w:color w:val="auto"/>
                    </w:rPr>
                    <w:t>四、游蛇科</w:t>
                  </w:r>
                </w:p>
              </w:tc>
              <w:tc>
                <w:tcPr>
                  <w:tcW w:w="794" w:type="pct"/>
                  <w:gridSpan w:val="2"/>
                  <w:vAlign w:val="center"/>
                </w:tcPr>
                <w:p w14:paraId="240191A2">
                  <w:pPr>
                    <w:pStyle w:val="55"/>
                    <w:rPr>
                      <w:color w:val="auto"/>
                    </w:rPr>
                  </w:pPr>
                </w:p>
              </w:tc>
              <w:tc>
                <w:tcPr>
                  <w:tcW w:w="795" w:type="pct"/>
                  <w:vAlign w:val="center"/>
                </w:tcPr>
                <w:p w14:paraId="6B3CAD52">
                  <w:pPr>
                    <w:pStyle w:val="55"/>
                    <w:rPr>
                      <w:color w:val="auto"/>
                    </w:rPr>
                  </w:pPr>
                </w:p>
              </w:tc>
              <w:tc>
                <w:tcPr>
                  <w:tcW w:w="683" w:type="pct"/>
                  <w:vAlign w:val="center"/>
                </w:tcPr>
                <w:p w14:paraId="11D208D8">
                  <w:pPr>
                    <w:pStyle w:val="55"/>
                    <w:rPr>
                      <w:color w:val="auto"/>
                    </w:rPr>
                  </w:pPr>
                </w:p>
              </w:tc>
              <w:tc>
                <w:tcPr>
                  <w:tcW w:w="667" w:type="pct"/>
                  <w:vAlign w:val="center"/>
                </w:tcPr>
                <w:p w14:paraId="41AA093B">
                  <w:pPr>
                    <w:pStyle w:val="55"/>
                    <w:rPr>
                      <w:color w:val="auto"/>
                    </w:rPr>
                  </w:pPr>
                </w:p>
              </w:tc>
            </w:tr>
            <w:tr w14:paraId="3C8128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2061" w:type="pct"/>
                  <w:vAlign w:val="center"/>
                </w:tcPr>
                <w:p w14:paraId="777BD793">
                  <w:pPr>
                    <w:pStyle w:val="55"/>
                    <w:rPr>
                      <w:color w:val="auto"/>
                    </w:rPr>
                  </w:pPr>
                  <w:r>
                    <w:rPr>
                      <w:color w:val="auto"/>
                    </w:rPr>
                    <w:t xml:space="preserve">1.赤链蛇 </w:t>
                  </w:r>
                  <w:r>
                    <w:rPr>
                      <w:i/>
                      <w:iCs/>
                      <w:color w:val="auto"/>
                    </w:rPr>
                    <w:t>Dinodon rufozonatum</w:t>
                  </w:r>
                </w:p>
              </w:tc>
              <w:tc>
                <w:tcPr>
                  <w:tcW w:w="794" w:type="pct"/>
                  <w:gridSpan w:val="2"/>
                  <w:vAlign w:val="center"/>
                </w:tcPr>
                <w:p w14:paraId="650A16B0">
                  <w:pPr>
                    <w:pStyle w:val="55"/>
                    <w:rPr>
                      <w:color w:val="auto"/>
                    </w:rPr>
                  </w:pPr>
                </w:p>
              </w:tc>
              <w:tc>
                <w:tcPr>
                  <w:tcW w:w="795" w:type="pct"/>
                  <w:vAlign w:val="center"/>
                </w:tcPr>
                <w:p w14:paraId="4F155A8B">
                  <w:pPr>
                    <w:pStyle w:val="55"/>
                    <w:rPr>
                      <w:color w:val="auto"/>
                    </w:rPr>
                  </w:pPr>
                </w:p>
              </w:tc>
              <w:tc>
                <w:tcPr>
                  <w:tcW w:w="683" w:type="pct"/>
                  <w:vAlign w:val="center"/>
                </w:tcPr>
                <w:p w14:paraId="013F62F6">
                  <w:pPr>
                    <w:pStyle w:val="55"/>
                    <w:rPr>
                      <w:color w:val="auto"/>
                    </w:rPr>
                  </w:pPr>
                  <w:r>
                    <w:rPr>
                      <w:color w:val="auto"/>
                    </w:rPr>
                    <w:t>√</w:t>
                  </w:r>
                </w:p>
              </w:tc>
              <w:tc>
                <w:tcPr>
                  <w:tcW w:w="667" w:type="pct"/>
                  <w:vAlign w:val="center"/>
                </w:tcPr>
                <w:p w14:paraId="77C43062">
                  <w:pPr>
                    <w:pStyle w:val="55"/>
                    <w:rPr>
                      <w:color w:val="auto"/>
                    </w:rPr>
                  </w:pPr>
                  <w:r>
                    <w:rPr>
                      <w:color w:val="auto"/>
                    </w:rPr>
                    <w:t>++</w:t>
                  </w:r>
                </w:p>
              </w:tc>
            </w:tr>
            <w:tr w14:paraId="7A4C95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2061" w:type="pct"/>
                  <w:vAlign w:val="center"/>
                </w:tcPr>
                <w:p w14:paraId="41FE4FEA">
                  <w:pPr>
                    <w:pStyle w:val="55"/>
                    <w:rPr>
                      <w:color w:val="auto"/>
                    </w:rPr>
                  </w:pPr>
                  <w:r>
                    <w:rPr>
                      <w:color w:val="auto"/>
                    </w:rPr>
                    <w:t>2.乌梢蛇</w:t>
                  </w:r>
                  <w:r>
                    <w:rPr>
                      <w:i/>
                      <w:iCs/>
                      <w:color w:val="auto"/>
                    </w:rPr>
                    <w:t>Zoacys dhumnades</w:t>
                  </w:r>
                </w:p>
              </w:tc>
              <w:tc>
                <w:tcPr>
                  <w:tcW w:w="794" w:type="pct"/>
                  <w:gridSpan w:val="2"/>
                  <w:vAlign w:val="center"/>
                </w:tcPr>
                <w:p w14:paraId="544CACE8">
                  <w:pPr>
                    <w:pStyle w:val="55"/>
                    <w:rPr>
                      <w:color w:val="auto"/>
                    </w:rPr>
                  </w:pPr>
                </w:p>
              </w:tc>
              <w:tc>
                <w:tcPr>
                  <w:tcW w:w="795" w:type="pct"/>
                  <w:vAlign w:val="center"/>
                </w:tcPr>
                <w:p w14:paraId="1C922583">
                  <w:pPr>
                    <w:pStyle w:val="55"/>
                    <w:rPr>
                      <w:color w:val="auto"/>
                    </w:rPr>
                  </w:pPr>
                </w:p>
              </w:tc>
              <w:tc>
                <w:tcPr>
                  <w:tcW w:w="683" w:type="pct"/>
                  <w:vAlign w:val="center"/>
                </w:tcPr>
                <w:p w14:paraId="2DB5D547">
                  <w:pPr>
                    <w:pStyle w:val="55"/>
                    <w:rPr>
                      <w:color w:val="auto"/>
                    </w:rPr>
                  </w:pPr>
                  <w:r>
                    <w:rPr>
                      <w:color w:val="auto"/>
                    </w:rPr>
                    <w:t>√</w:t>
                  </w:r>
                </w:p>
              </w:tc>
              <w:tc>
                <w:tcPr>
                  <w:tcW w:w="667" w:type="pct"/>
                  <w:vAlign w:val="center"/>
                </w:tcPr>
                <w:p w14:paraId="33C3D198">
                  <w:pPr>
                    <w:pStyle w:val="55"/>
                    <w:rPr>
                      <w:color w:val="auto"/>
                    </w:rPr>
                  </w:pPr>
                  <w:r>
                    <w:rPr>
                      <w:color w:val="auto"/>
                    </w:rPr>
                    <w:t>++</w:t>
                  </w:r>
                </w:p>
              </w:tc>
            </w:tr>
            <w:tr w14:paraId="4FAEBD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27" w:hRule="atLeast"/>
                <w:jc w:val="center"/>
              </w:trPr>
              <w:tc>
                <w:tcPr>
                  <w:tcW w:w="2061" w:type="pct"/>
                  <w:vAlign w:val="center"/>
                </w:tcPr>
                <w:p w14:paraId="66FDFB17">
                  <w:pPr>
                    <w:pStyle w:val="55"/>
                    <w:rPr>
                      <w:color w:val="auto"/>
                    </w:rPr>
                  </w:pPr>
                  <w:r>
                    <w:rPr>
                      <w:color w:val="auto"/>
                    </w:rPr>
                    <w:t>3.白条锦蛇</w:t>
                  </w:r>
                  <w:r>
                    <w:rPr>
                      <w:i/>
                      <w:iCs/>
                      <w:color w:val="auto"/>
                    </w:rPr>
                    <w:t>Elaphe dione</w:t>
                  </w:r>
                </w:p>
              </w:tc>
              <w:tc>
                <w:tcPr>
                  <w:tcW w:w="794" w:type="pct"/>
                  <w:gridSpan w:val="2"/>
                  <w:vAlign w:val="center"/>
                </w:tcPr>
                <w:p w14:paraId="3896A18F">
                  <w:pPr>
                    <w:pStyle w:val="55"/>
                    <w:rPr>
                      <w:color w:val="auto"/>
                    </w:rPr>
                  </w:pPr>
                  <w:r>
                    <w:rPr>
                      <w:color w:val="auto"/>
                    </w:rPr>
                    <w:t>√</w:t>
                  </w:r>
                </w:p>
              </w:tc>
              <w:tc>
                <w:tcPr>
                  <w:tcW w:w="795" w:type="pct"/>
                  <w:vAlign w:val="center"/>
                </w:tcPr>
                <w:p w14:paraId="05C0BCA0">
                  <w:pPr>
                    <w:pStyle w:val="55"/>
                    <w:rPr>
                      <w:color w:val="auto"/>
                    </w:rPr>
                  </w:pPr>
                </w:p>
              </w:tc>
              <w:tc>
                <w:tcPr>
                  <w:tcW w:w="683" w:type="pct"/>
                  <w:vAlign w:val="center"/>
                </w:tcPr>
                <w:p w14:paraId="4E10F927">
                  <w:pPr>
                    <w:pStyle w:val="55"/>
                    <w:rPr>
                      <w:color w:val="auto"/>
                    </w:rPr>
                  </w:pPr>
                </w:p>
              </w:tc>
              <w:tc>
                <w:tcPr>
                  <w:tcW w:w="667" w:type="pct"/>
                  <w:vAlign w:val="center"/>
                </w:tcPr>
                <w:p w14:paraId="7C331B64">
                  <w:pPr>
                    <w:pStyle w:val="55"/>
                    <w:rPr>
                      <w:color w:val="auto"/>
                    </w:rPr>
                  </w:pPr>
                </w:p>
              </w:tc>
            </w:tr>
            <w:tr w14:paraId="70F398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2061" w:type="pct"/>
                  <w:vAlign w:val="center"/>
                </w:tcPr>
                <w:p w14:paraId="7DA68A76">
                  <w:pPr>
                    <w:pStyle w:val="55"/>
                    <w:rPr>
                      <w:color w:val="auto"/>
                    </w:rPr>
                  </w:pPr>
                  <w:r>
                    <w:rPr>
                      <w:color w:val="auto"/>
                    </w:rPr>
                    <w:t>五、蝰科</w:t>
                  </w:r>
                </w:p>
              </w:tc>
              <w:tc>
                <w:tcPr>
                  <w:tcW w:w="794" w:type="pct"/>
                  <w:gridSpan w:val="2"/>
                  <w:vAlign w:val="center"/>
                </w:tcPr>
                <w:p w14:paraId="791ADF14">
                  <w:pPr>
                    <w:pStyle w:val="55"/>
                    <w:rPr>
                      <w:color w:val="auto"/>
                    </w:rPr>
                  </w:pPr>
                </w:p>
              </w:tc>
              <w:tc>
                <w:tcPr>
                  <w:tcW w:w="795" w:type="pct"/>
                  <w:vAlign w:val="center"/>
                </w:tcPr>
                <w:p w14:paraId="16ECF92E">
                  <w:pPr>
                    <w:pStyle w:val="55"/>
                    <w:rPr>
                      <w:color w:val="auto"/>
                    </w:rPr>
                  </w:pPr>
                </w:p>
              </w:tc>
              <w:tc>
                <w:tcPr>
                  <w:tcW w:w="683" w:type="pct"/>
                  <w:vAlign w:val="center"/>
                </w:tcPr>
                <w:p w14:paraId="1C201761">
                  <w:pPr>
                    <w:pStyle w:val="55"/>
                    <w:rPr>
                      <w:color w:val="auto"/>
                    </w:rPr>
                  </w:pPr>
                </w:p>
              </w:tc>
              <w:tc>
                <w:tcPr>
                  <w:tcW w:w="667" w:type="pct"/>
                  <w:vAlign w:val="center"/>
                </w:tcPr>
                <w:p w14:paraId="162DAA86">
                  <w:pPr>
                    <w:pStyle w:val="55"/>
                    <w:rPr>
                      <w:color w:val="auto"/>
                    </w:rPr>
                  </w:pPr>
                </w:p>
              </w:tc>
            </w:tr>
            <w:tr w14:paraId="005DA4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2061" w:type="pct"/>
                  <w:vAlign w:val="center"/>
                </w:tcPr>
                <w:p w14:paraId="4C35991D">
                  <w:pPr>
                    <w:pStyle w:val="55"/>
                    <w:rPr>
                      <w:color w:val="auto"/>
                      <w:lang w:val="pt-BR"/>
                    </w:rPr>
                  </w:pPr>
                  <w:r>
                    <w:rPr>
                      <w:color w:val="auto"/>
                      <w:lang w:val="pt-BR"/>
                    </w:rPr>
                    <w:t>1.</w:t>
                  </w:r>
                  <w:r>
                    <w:rPr>
                      <w:color w:val="auto"/>
                    </w:rPr>
                    <w:t>短尾腹</w:t>
                  </w:r>
                  <w:r>
                    <w:rPr>
                      <w:i/>
                      <w:iCs/>
                      <w:color w:val="auto"/>
                      <w:lang w:val="pt-BR"/>
                    </w:rPr>
                    <w:t>Gloydius brevicaudus</w:t>
                  </w:r>
                </w:p>
              </w:tc>
              <w:tc>
                <w:tcPr>
                  <w:tcW w:w="794" w:type="pct"/>
                  <w:gridSpan w:val="2"/>
                  <w:vAlign w:val="center"/>
                </w:tcPr>
                <w:p w14:paraId="3F3FCD12">
                  <w:pPr>
                    <w:pStyle w:val="55"/>
                    <w:rPr>
                      <w:color w:val="auto"/>
                      <w:lang w:val="pt-BR"/>
                    </w:rPr>
                  </w:pPr>
                </w:p>
              </w:tc>
              <w:tc>
                <w:tcPr>
                  <w:tcW w:w="795" w:type="pct"/>
                  <w:vAlign w:val="center"/>
                </w:tcPr>
                <w:p w14:paraId="0DAAF5B9">
                  <w:pPr>
                    <w:pStyle w:val="55"/>
                    <w:rPr>
                      <w:color w:val="auto"/>
                      <w:lang w:val="pt-BR"/>
                    </w:rPr>
                  </w:pPr>
                </w:p>
              </w:tc>
              <w:tc>
                <w:tcPr>
                  <w:tcW w:w="683" w:type="pct"/>
                  <w:vAlign w:val="center"/>
                </w:tcPr>
                <w:p w14:paraId="72A166F0">
                  <w:pPr>
                    <w:pStyle w:val="55"/>
                    <w:rPr>
                      <w:color w:val="auto"/>
                    </w:rPr>
                  </w:pPr>
                  <w:r>
                    <w:rPr>
                      <w:color w:val="auto"/>
                    </w:rPr>
                    <w:t>√</w:t>
                  </w:r>
                </w:p>
              </w:tc>
              <w:tc>
                <w:tcPr>
                  <w:tcW w:w="667" w:type="pct"/>
                  <w:vAlign w:val="center"/>
                </w:tcPr>
                <w:p w14:paraId="34F6EFE3">
                  <w:pPr>
                    <w:pStyle w:val="55"/>
                    <w:rPr>
                      <w:color w:val="auto"/>
                    </w:rPr>
                  </w:pPr>
                  <w:r>
                    <w:rPr>
                      <w:color w:val="auto"/>
                    </w:rPr>
                    <w:t>++</w:t>
                  </w:r>
                </w:p>
              </w:tc>
            </w:tr>
          </w:tbl>
          <w:p w14:paraId="236DE5C5">
            <w:pPr>
              <w:pStyle w:val="51"/>
              <w:rPr>
                <w:color w:val="auto"/>
              </w:rPr>
            </w:pPr>
            <w:r>
              <w:rPr>
                <w:color w:val="auto"/>
              </w:rPr>
              <w:t>（3）两栖类</w:t>
            </w:r>
          </w:p>
          <w:p w14:paraId="4A148C5C">
            <w:pPr>
              <w:pStyle w:val="51"/>
              <w:rPr>
                <w:color w:val="auto"/>
              </w:rPr>
            </w:pPr>
            <w:r>
              <w:rPr>
                <w:rFonts w:hint="eastAsia"/>
                <w:color w:val="auto"/>
              </w:rPr>
              <w:t>项目</w:t>
            </w:r>
            <w:r>
              <w:rPr>
                <w:color w:val="auto"/>
              </w:rPr>
              <w:t>评价区两栖类动物比较少，主要为蛙类和蟾蜍类，</w:t>
            </w:r>
            <w:r>
              <w:rPr>
                <w:rFonts w:hint="eastAsia"/>
                <w:color w:val="auto"/>
              </w:rPr>
              <w:t>常见</w:t>
            </w:r>
            <w:r>
              <w:rPr>
                <w:color w:val="auto"/>
              </w:rPr>
              <w:t>两栖类动物目录见下表。</w:t>
            </w:r>
          </w:p>
          <w:p w14:paraId="11598CD3">
            <w:pPr>
              <w:pStyle w:val="53"/>
              <w:rPr>
                <w:color w:val="auto"/>
              </w:rPr>
            </w:pPr>
            <w:r>
              <w:rPr>
                <w:color w:val="auto"/>
              </w:rPr>
              <w:t>表</w:t>
            </w:r>
            <w:r>
              <w:rPr>
                <w:rFonts w:hint="eastAsia"/>
                <w:color w:val="auto"/>
              </w:rPr>
              <w:t>3-3</w:t>
            </w:r>
            <w:r>
              <w:rPr>
                <w:color w:val="auto"/>
              </w:rPr>
              <w:t xml:space="preserve"> </w:t>
            </w:r>
            <w:r>
              <w:rPr>
                <w:rFonts w:hint="eastAsia"/>
                <w:color w:val="auto"/>
              </w:rPr>
              <w:t xml:space="preserve"> 评价</w:t>
            </w:r>
            <w:r>
              <w:rPr>
                <w:color w:val="auto"/>
              </w:rPr>
              <w:t>区两栖动物名录</w:t>
            </w:r>
          </w:p>
          <w:tbl>
            <w:tblPr>
              <w:tblStyle w:val="2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3253"/>
              <w:gridCol w:w="1301"/>
              <w:gridCol w:w="8"/>
              <w:gridCol w:w="1295"/>
              <w:gridCol w:w="1084"/>
              <w:gridCol w:w="1080"/>
            </w:tblGrid>
            <w:tr w14:paraId="7586C4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2027" w:type="pct"/>
                  <w:vMerge w:val="restart"/>
                  <w:vAlign w:val="center"/>
                </w:tcPr>
                <w:p w14:paraId="337C479B">
                  <w:pPr>
                    <w:pStyle w:val="55"/>
                    <w:rPr>
                      <w:color w:val="auto"/>
                    </w:rPr>
                  </w:pPr>
                  <w:r>
                    <w:rPr>
                      <w:color w:val="auto"/>
                    </w:rPr>
                    <w:t>种类名称</w:t>
                  </w:r>
                </w:p>
              </w:tc>
              <w:tc>
                <w:tcPr>
                  <w:tcW w:w="2972" w:type="pct"/>
                  <w:gridSpan w:val="5"/>
                  <w:tcBorders>
                    <w:bottom w:val="single" w:color="auto" w:sz="4" w:space="0"/>
                  </w:tcBorders>
                  <w:vAlign w:val="center"/>
                </w:tcPr>
                <w:p w14:paraId="41D3CDB1">
                  <w:pPr>
                    <w:pStyle w:val="55"/>
                    <w:rPr>
                      <w:color w:val="auto"/>
                    </w:rPr>
                  </w:pPr>
                  <w:r>
                    <w:rPr>
                      <w:color w:val="auto"/>
                    </w:rPr>
                    <w:t>区系组成</w:t>
                  </w:r>
                </w:p>
              </w:tc>
            </w:tr>
            <w:tr w14:paraId="79E9D2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2027" w:type="pct"/>
                  <w:vMerge w:val="continue"/>
                  <w:vAlign w:val="center"/>
                </w:tcPr>
                <w:p w14:paraId="4E316F2F">
                  <w:pPr>
                    <w:pStyle w:val="55"/>
                    <w:rPr>
                      <w:color w:val="auto"/>
                    </w:rPr>
                  </w:pPr>
                </w:p>
              </w:tc>
              <w:tc>
                <w:tcPr>
                  <w:tcW w:w="816" w:type="pct"/>
                  <w:gridSpan w:val="2"/>
                  <w:tcBorders>
                    <w:top w:val="single" w:color="auto" w:sz="4" w:space="0"/>
                    <w:right w:val="single" w:color="auto" w:sz="4" w:space="0"/>
                  </w:tcBorders>
                  <w:vAlign w:val="center"/>
                </w:tcPr>
                <w:p w14:paraId="59834819">
                  <w:pPr>
                    <w:pStyle w:val="55"/>
                    <w:rPr>
                      <w:color w:val="auto"/>
                    </w:rPr>
                  </w:pPr>
                  <w:r>
                    <w:rPr>
                      <w:color w:val="auto"/>
                    </w:rPr>
                    <w:t>古北界种类</w:t>
                  </w:r>
                </w:p>
              </w:tc>
              <w:tc>
                <w:tcPr>
                  <w:tcW w:w="807" w:type="pct"/>
                  <w:tcBorders>
                    <w:top w:val="single" w:color="auto" w:sz="4" w:space="0"/>
                    <w:left w:val="single" w:color="auto" w:sz="4" w:space="0"/>
                    <w:right w:val="single" w:color="auto" w:sz="4" w:space="0"/>
                  </w:tcBorders>
                  <w:vAlign w:val="center"/>
                </w:tcPr>
                <w:p w14:paraId="1C71C1BF">
                  <w:pPr>
                    <w:pStyle w:val="55"/>
                    <w:rPr>
                      <w:color w:val="auto"/>
                    </w:rPr>
                  </w:pPr>
                  <w:r>
                    <w:rPr>
                      <w:color w:val="auto"/>
                    </w:rPr>
                    <w:t>东洋界种类</w:t>
                  </w:r>
                </w:p>
              </w:tc>
              <w:tc>
                <w:tcPr>
                  <w:tcW w:w="676" w:type="pct"/>
                  <w:tcBorders>
                    <w:top w:val="single" w:color="auto" w:sz="4" w:space="0"/>
                    <w:left w:val="single" w:color="auto" w:sz="4" w:space="0"/>
                  </w:tcBorders>
                  <w:vAlign w:val="center"/>
                </w:tcPr>
                <w:p w14:paraId="53228DFC">
                  <w:pPr>
                    <w:pStyle w:val="55"/>
                    <w:rPr>
                      <w:color w:val="auto"/>
                    </w:rPr>
                  </w:pPr>
                  <w:r>
                    <w:rPr>
                      <w:color w:val="auto"/>
                    </w:rPr>
                    <w:t>广布种类</w:t>
                  </w:r>
                </w:p>
              </w:tc>
              <w:tc>
                <w:tcPr>
                  <w:tcW w:w="672" w:type="pct"/>
                  <w:tcBorders>
                    <w:top w:val="single" w:color="auto" w:sz="4" w:space="0"/>
                  </w:tcBorders>
                  <w:vAlign w:val="center"/>
                </w:tcPr>
                <w:p w14:paraId="6FADCEF7">
                  <w:pPr>
                    <w:pStyle w:val="55"/>
                    <w:rPr>
                      <w:color w:val="auto"/>
                    </w:rPr>
                  </w:pPr>
                  <w:r>
                    <w:rPr>
                      <w:color w:val="auto"/>
                    </w:rPr>
                    <w:t>种群数量</w:t>
                  </w:r>
                </w:p>
              </w:tc>
            </w:tr>
            <w:tr w14:paraId="7CD28B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2027" w:type="pct"/>
                  <w:vAlign w:val="center"/>
                </w:tcPr>
                <w:p w14:paraId="1A3B0482">
                  <w:pPr>
                    <w:pStyle w:val="55"/>
                    <w:rPr>
                      <w:color w:val="auto"/>
                    </w:rPr>
                  </w:pPr>
                  <w:r>
                    <w:rPr>
                      <w:color w:val="auto"/>
                    </w:rPr>
                    <w:t>一、蟾蜍科</w:t>
                  </w:r>
                </w:p>
              </w:tc>
              <w:tc>
                <w:tcPr>
                  <w:tcW w:w="811" w:type="pct"/>
                  <w:tcBorders>
                    <w:right w:val="single" w:color="auto" w:sz="4" w:space="0"/>
                  </w:tcBorders>
                  <w:vAlign w:val="center"/>
                </w:tcPr>
                <w:p w14:paraId="65289F67">
                  <w:pPr>
                    <w:pStyle w:val="55"/>
                    <w:rPr>
                      <w:color w:val="auto"/>
                    </w:rPr>
                  </w:pPr>
                </w:p>
              </w:tc>
              <w:tc>
                <w:tcPr>
                  <w:tcW w:w="811" w:type="pct"/>
                  <w:gridSpan w:val="2"/>
                  <w:tcBorders>
                    <w:left w:val="single" w:color="auto" w:sz="4" w:space="0"/>
                  </w:tcBorders>
                  <w:vAlign w:val="center"/>
                </w:tcPr>
                <w:p w14:paraId="62782AC0">
                  <w:pPr>
                    <w:pStyle w:val="55"/>
                    <w:rPr>
                      <w:color w:val="auto"/>
                    </w:rPr>
                  </w:pPr>
                </w:p>
              </w:tc>
              <w:tc>
                <w:tcPr>
                  <w:tcW w:w="676" w:type="pct"/>
                  <w:vAlign w:val="center"/>
                </w:tcPr>
                <w:p w14:paraId="370CFD03">
                  <w:pPr>
                    <w:pStyle w:val="55"/>
                    <w:rPr>
                      <w:color w:val="auto"/>
                    </w:rPr>
                  </w:pPr>
                </w:p>
              </w:tc>
              <w:tc>
                <w:tcPr>
                  <w:tcW w:w="672" w:type="pct"/>
                  <w:vAlign w:val="center"/>
                </w:tcPr>
                <w:p w14:paraId="08534033">
                  <w:pPr>
                    <w:pStyle w:val="55"/>
                    <w:rPr>
                      <w:color w:val="auto"/>
                    </w:rPr>
                  </w:pPr>
                </w:p>
              </w:tc>
            </w:tr>
            <w:tr w14:paraId="041025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2027" w:type="pct"/>
                  <w:vAlign w:val="center"/>
                </w:tcPr>
                <w:p w14:paraId="343B45C3">
                  <w:pPr>
                    <w:pStyle w:val="55"/>
                    <w:rPr>
                      <w:color w:val="auto"/>
                    </w:rPr>
                  </w:pPr>
                  <w:r>
                    <w:rPr>
                      <w:color w:val="auto"/>
                    </w:rPr>
                    <w:t>1.中华大蟾蜍</w:t>
                  </w:r>
                  <w:r>
                    <w:rPr>
                      <w:i/>
                      <w:iCs/>
                      <w:color w:val="auto"/>
                    </w:rPr>
                    <w:t>Bufo bufogargarizans</w:t>
                  </w:r>
                </w:p>
              </w:tc>
              <w:tc>
                <w:tcPr>
                  <w:tcW w:w="811" w:type="pct"/>
                  <w:vAlign w:val="center"/>
                </w:tcPr>
                <w:p w14:paraId="60F0252D">
                  <w:pPr>
                    <w:pStyle w:val="55"/>
                    <w:rPr>
                      <w:color w:val="auto"/>
                    </w:rPr>
                  </w:pPr>
                </w:p>
              </w:tc>
              <w:tc>
                <w:tcPr>
                  <w:tcW w:w="811" w:type="pct"/>
                  <w:gridSpan w:val="2"/>
                  <w:vAlign w:val="center"/>
                </w:tcPr>
                <w:p w14:paraId="77CF194B">
                  <w:pPr>
                    <w:pStyle w:val="55"/>
                    <w:rPr>
                      <w:color w:val="auto"/>
                    </w:rPr>
                  </w:pPr>
                </w:p>
              </w:tc>
              <w:tc>
                <w:tcPr>
                  <w:tcW w:w="676" w:type="pct"/>
                  <w:vAlign w:val="center"/>
                </w:tcPr>
                <w:p w14:paraId="5F0A4C4D">
                  <w:pPr>
                    <w:pStyle w:val="55"/>
                    <w:rPr>
                      <w:color w:val="auto"/>
                    </w:rPr>
                  </w:pPr>
                  <w:r>
                    <w:rPr>
                      <w:color w:val="auto"/>
                    </w:rPr>
                    <w:t>√</w:t>
                  </w:r>
                </w:p>
              </w:tc>
              <w:tc>
                <w:tcPr>
                  <w:tcW w:w="672" w:type="pct"/>
                  <w:vAlign w:val="center"/>
                </w:tcPr>
                <w:p w14:paraId="291E2221">
                  <w:pPr>
                    <w:pStyle w:val="55"/>
                    <w:rPr>
                      <w:color w:val="auto"/>
                    </w:rPr>
                  </w:pPr>
                  <w:r>
                    <w:rPr>
                      <w:color w:val="auto"/>
                    </w:rPr>
                    <w:t>++</w:t>
                  </w:r>
                </w:p>
              </w:tc>
            </w:tr>
            <w:tr w14:paraId="03FB64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2027" w:type="pct"/>
                  <w:vAlign w:val="center"/>
                </w:tcPr>
                <w:p w14:paraId="7A68691B">
                  <w:pPr>
                    <w:pStyle w:val="55"/>
                    <w:rPr>
                      <w:color w:val="auto"/>
                    </w:rPr>
                  </w:pPr>
                  <w:r>
                    <w:rPr>
                      <w:color w:val="auto"/>
                    </w:rPr>
                    <w:t>二、蛙科</w:t>
                  </w:r>
                </w:p>
              </w:tc>
              <w:tc>
                <w:tcPr>
                  <w:tcW w:w="811" w:type="pct"/>
                  <w:vAlign w:val="center"/>
                </w:tcPr>
                <w:p w14:paraId="12953788">
                  <w:pPr>
                    <w:pStyle w:val="55"/>
                    <w:rPr>
                      <w:color w:val="auto"/>
                    </w:rPr>
                  </w:pPr>
                </w:p>
              </w:tc>
              <w:tc>
                <w:tcPr>
                  <w:tcW w:w="811" w:type="pct"/>
                  <w:gridSpan w:val="2"/>
                  <w:vAlign w:val="center"/>
                </w:tcPr>
                <w:p w14:paraId="018026AA">
                  <w:pPr>
                    <w:pStyle w:val="55"/>
                    <w:rPr>
                      <w:color w:val="auto"/>
                    </w:rPr>
                  </w:pPr>
                </w:p>
              </w:tc>
              <w:tc>
                <w:tcPr>
                  <w:tcW w:w="676" w:type="pct"/>
                  <w:vAlign w:val="center"/>
                </w:tcPr>
                <w:p w14:paraId="2C57FB76">
                  <w:pPr>
                    <w:pStyle w:val="55"/>
                    <w:rPr>
                      <w:color w:val="auto"/>
                    </w:rPr>
                  </w:pPr>
                </w:p>
              </w:tc>
              <w:tc>
                <w:tcPr>
                  <w:tcW w:w="672" w:type="pct"/>
                  <w:vAlign w:val="center"/>
                </w:tcPr>
                <w:p w14:paraId="46569E15">
                  <w:pPr>
                    <w:pStyle w:val="55"/>
                    <w:rPr>
                      <w:color w:val="auto"/>
                    </w:rPr>
                  </w:pPr>
                </w:p>
              </w:tc>
            </w:tr>
            <w:tr w14:paraId="1B0B2C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2027" w:type="pct"/>
                  <w:vAlign w:val="center"/>
                </w:tcPr>
                <w:p w14:paraId="5E3E307D">
                  <w:pPr>
                    <w:pStyle w:val="55"/>
                    <w:rPr>
                      <w:color w:val="auto"/>
                    </w:rPr>
                  </w:pPr>
                  <w:r>
                    <w:rPr>
                      <w:color w:val="auto"/>
                    </w:rPr>
                    <w:t xml:space="preserve">2.黑斑蛙 </w:t>
                  </w:r>
                  <w:r>
                    <w:rPr>
                      <w:i/>
                      <w:iCs/>
                      <w:color w:val="auto"/>
                    </w:rPr>
                    <w:t>Rana nigromaculata</w:t>
                  </w:r>
                </w:p>
              </w:tc>
              <w:tc>
                <w:tcPr>
                  <w:tcW w:w="811" w:type="pct"/>
                  <w:vAlign w:val="center"/>
                </w:tcPr>
                <w:p w14:paraId="12D72313">
                  <w:pPr>
                    <w:pStyle w:val="55"/>
                    <w:rPr>
                      <w:color w:val="auto"/>
                    </w:rPr>
                  </w:pPr>
                </w:p>
              </w:tc>
              <w:tc>
                <w:tcPr>
                  <w:tcW w:w="811" w:type="pct"/>
                  <w:gridSpan w:val="2"/>
                  <w:vAlign w:val="center"/>
                </w:tcPr>
                <w:p w14:paraId="62694673">
                  <w:pPr>
                    <w:pStyle w:val="55"/>
                    <w:rPr>
                      <w:color w:val="auto"/>
                    </w:rPr>
                  </w:pPr>
                </w:p>
              </w:tc>
              <w:tc>
                <w:tcPr>
                  <w:tcW w:w="676" w:type="pct"/>
                  <w:vAlign w:val="center"/>
                </w:tcPr>
                <w:p w14:paraId="7BC08C9B">
                  <w:pPr>
                    <w:pStyle w:val="55"/>
                    <w:rPr>
                      <w:color w:val="auto"/>
                    </w:rPr>
                  </w:pPr>
                  <w:r>
                    <w:rPr>
                      <w:color w:val="auto"/>
                    </w:rPr>
                    <w:t>√</w:t>
                  </w:r>
                </w:p>
              </w:tc>
              <w:tc>
                <w:tcPr>
                  <w:tcW w:w="672" w:type="pct"/>
                  <w:vAlign w:val="center"/>
                </w:tcPr>
                <w:p w14:paraId="24DF068E">
                  <w:pPr>
                    <w:pStyle w:val="55"/>
                    <w:rPr>
                      <w:color w:val="auto"/>
                    </w:rPr>
                  </w:pPr>
                  <w:r>
                    <w:rPr>
                      <w:color w:val="auto"/>
                    </w:rPr>
                    <w:t>++</w:t>
                  </w:r>
                </w:p>
              </w:tc>
            </w:tr>
            <w:tr w14:paraId="76CE12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2027" w:type="pct"/>
                  <w:vAlign w:val="center"/>
                </w:tcPr>
                <w:p w14:paraId="16C895C3">
                  <w:pPr>
                    <w:pStyle w:val="55"/>
                    <w:rPr>
                      <w:color w:val="auto"/>
                    </w:rPr>
                  </w:pPr>
                  <w:r>
                    <w:rPr>
                      <w:color w:val="auto"/>
                    </w:rPr>
                    <w:t>3.泽蛙</w:t>
                  </w:r>
                  <w:r>
                    <w:rPr>
                      <w:i/>
                      <w:iCs/>
                      <w:color w:val="auto"/>
                    </w:rPr>
                    <w:t>Rana limnocharis</w:t>
                  </w:r>
                </w:p>
              </w:tc>
              <w:tc>
                <w:tcPr>
                  <w:tcW w:w="811" w:type="pct"/>
                  <w:vAlign w:val="center"/>
                </w:tcPr>
                <w:p w14:paraId="28261CC1">
                  <w:pPr>
                    <w:pStyle w:val="55"/>
                    <w:rPr>
                      <w:color w:val="auto"/>
                    </w:rPr>
                  </w:pPr>
                </w:p>
              </w:tc>
              <w:tc>
                <w:tcPr>
                  <w:tcW w:w="811" w:type="pct"/>
                  <w:gridSpan w:val="2"/>
                  <w:vAlign w:val="center"/>
                </w:tcPr>
                <w:p w14:paraId="5929D375">
                  <w:pPr>
                    <w:pStyle w:val="55"/>
                    <w:rPr>
                      <w:color w:val="auto"/>
                    </w:rPr>
                  </w:pPr>
                </w:p>
              </w:tc>
              <w:tc>
                <w:tcPr>
                  <w:tcW w:w="676" w:type="pct"/>
                  <w:vAlign w:val="center"/>
                </w:tcPr>
                <w:p w14:paraId="34A203F3">
                  <w:pPr>
                    <w:pStyle w:val="55"/>
                    <w:rPr>
                      <w:color w:val="auto"/>
                    </w:rPr>
                  </w:pPr>
                  <w:r>
                    <w:rPr>
                      <w:color w:val="auto"/>
                    </w:rPr>
                    <w:t>√</w:t>
                  </w:r>
                </w:p>
              </w:tc>
              <w:tc>
                <w:tcPr>
                  <w:tcW w:w="672" w:type="pct"/>
                  <w:vAlign w:val="center"/>
                </w:tcPr>
                <w:p w14:paraId="467E4FF4">
                  <w:pPr>
                    <w:pStyle w:val="55"/>
                    <w:rPr>
                      <w:color w:val="auto"/>
                    </w:rPr>
                  </w:pPr>
                  <w:r>
                    <w:rPr>
                      <w:color w:val="auto"/>
                    </w:rPr>
                    <w:t>++</w:t>
                  </w:r>
                </w:p>
              </w:tc>
            </w:tr>
            <w:tr w14:paraId="4D4F23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2027" w:type="pct"/>
                  <w:vAlign w:val="center"/>
                </w:tcPr>
                <w:p w14:paraId="5AB59BB8">
                  <w:pPr>
                    <w:pStyle w:val="55"/>
                    <w:rPr>
                      <w:color w:val="auto"/>
                    </w:rPr>
                  </w:pPr>
                  <w:r>
                    <w:rPr>
                      <w:color w:val="auto"/>
                    </w:rPr>
                    <w:t>4. 金线蛙</w:t>
                  </w:r>
                  <w:r>
                    <w:rPr>
                      <w:i/>
                      <w:iCs/>
                      <w:color w:val="auto"/>
                    </w:rPr>
                    <w:t>Rana plancyi</w:t>
                  </w:r>
                </w:p>
              </w:tc>
              <w:tc>
                <w:tcPr>
                  <w:tcW w:w="811" w:type="pct"/>
                  <w:vAlign w:val="center"/>
                </w:tcPr>
                <w:p w14:paraId="0423C4FA">
                  <w:pPr>
                    <w:pStyle w:val="55"/>
                    <w:rPr>
                      <w:color w:val="auto"/>
                    </w:rPr>
                  </w:pPr>
                  <w:r>
                    <w:rPr>
                      <w:color w:val="auto"/>
                    </w:rPr>
                    <w:t>√</w:t>
                  </w:r>
                </w:p>
              </w:tc>
              <w:tc>
                <w:tcPr>
                  <w:tcW w:w="811" w:type="pct"/>
                  <w:gridSpan w:val="2"/>
                  <w:vAlign w:val="center"/>
                </w:tcPr>
                <w:p w14:paraId="6B486A35">
                  <w:pPr>
                    <w:pStyle w:val="55"/>
                    <w:rPr>
                      <w:color w:val="auto"/>
                    </w:rPr>
                  </w:pPr>
                </w:p>
              </w:tc>
              <w:tc>
                <w:tcPr>
                  <w:tcW w:w="676" w:type="pct"/>
                  <w:vAlign w:val="center"/>
                </w:tcPr>
                <w:p w14:paraId="541F66B8">
                  <w:pPr>
                    <w:pStyle w:val="55"/>
                    <w:rPr>
                      <w:color w:val="auto"/>
                    </w:rPr>
                  </w:pPr>
                  <w:r>
                    <w:rPr>
                      <w:color w:val="auto"/>
                    </w:rPr>
                    <w:t>√</w:t>
                  </w:r>
                </w:p>
              </w:tc>
              <w:tc>
                <w:tcPr>
                  <w:tcW w:w="672" w:type="pct"/>
                  <w:vAlign w:val="center"/>
                </w:tcPr>
                <w:p w14:paraId="53B4773C">
                  <w:pPr>
                    <w:pStyle w:val="55"/>
                    <w:rPr>
                      <w:color w:val="auto"/>
                    </w:rPr>
                  </w:pPr>
                  <w:r>
                    <w:rPr>
                      <w:color w:val="auto"/>
                    </w:rPr>
                    <w:t>+</w:t>
                  </w:r>
                </w:p>
              </w:tc>
            </w:tr>
            <w:tr w14:paraId="51E78C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2027" w:type="pct"/>
                  <w:vAlign w:val="center"/>
                </w:tcPr>
                <w:p w14:paraId="70060C4E">
                  <w:pPr>
                    <w:pStyle w:val="55"/>
                    <w:rPr>
                      <w:color w:val="auto"/>
                    </w:rPr>
                  </w:pPr>
                  <w:r>
                    <w:rPr>
                      <w:color w:val="auto"/>
                    </w:rPr>
                    <w:t>5. 牛蛙</w:t>
                  </w:r>
                  <w:r>
                    <w:rPr>
                      <w:i/>
                      <w:iCs/>
                      <w:color w:val="auto"/>
                    </w:rPr>
                    <w:t>Rana catesbeiana</w:t>
                  </w:r>
                </w:p>
              </w:tc>
              <w:tc>
                <w:tcPr>
                  <w:tcW w:w="811" w:type="pct"/>
                  <w:vAlign w:val="center"/>
                </w:tcPr>
                <w:p w14:paraId="3312EFB1">
                  <w:pPr>
                    <w:pStyle w:val="55"/>
                    <w:rPr>
                      <w:color w:val="auto"/>
                    </w:rPr>
                  </w:pPr>
                </w:p>
              </w:tc>
              <w:tc>
                <w:tcPr>
                  <w:tcW w:w="811" w:type="pct"/>
                  <w:gridSpan w:val="2"/>
                  <w:vAlign w:val="center"/>
                </w:tcPr>
                <w:p w14:paraId="78822DBE">
                  <w:pPr>
                    <w:pStyle w:val="55"/>
                    <w:rPr>
                      <w:color w:val="auto"/>
                    </w:rPr>
                  </w:pPr>
                </w:p>
              </w:tc>
              <w:tc>
                <w:tcPr>
                  <w:tcW w:w="676" w:type="pct"/>
                  <w:vAlign w:val="center"/>
                </w:tcPr>
                <w:p w14:paraId="3521C710">
                  <w:pPr>
                    <w:pStyle w:val="55"/>
                    <w:rPr>
                      <w:color w:val="auto"/>
                    </w:rPr>
                  </w:pPr>
                  <w:r>
                    <w:rPr>
                      <w:color w:val="auto"/>
                    </w:rPr>
                    <w:t>√</w:t>
                  </w:r>
                </w:p>
              </w:tc>
              <w:tc>
                <w:tcPr>
                  <w:tcW w:w="672" w:type="pct"/>
                  <w:vAlign w:val="center"/>
                </w:tcPr>
                <w:p w14:paraId="6BDE8029">
                  <w:pPr>
                    <w:pStyle w:val="55"/>
                    <w:rPr>
                      <w:color w:val="auto"/>
                    </w:rPr>
                  </w:pPr>
                  <w:r>
                    <w:rPr>
                      <w:color w:val="auto"/>
                    </w:rPr>
                    <w:t>+</w:t>
                  </w:r>
                </w:p>
              </w:tc>
            </w:tr>
            <w:tr w14:paraId="76B50A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2027" w:type="pct"/>
                  <w:vAlign w:val="center"/>
                </w:tcPr>
                <w:p w14:paraId="3B03CC74">
                  <w:pPr>
                    <w:pStyle w:val="55"/>
                    <w:rPr>
                      <w:color w:val="auto"/>
                    </w:rPr>
                  </w:pPr>
                  <w:r>
                    <w:rPr>
                      <w:color w:val="auto"/>
                    </w:rPr>
                    <w:t>三、姬蛙科</w:t>
                  </w:r>
                </w:p>
              </w:tc>
              <w:tc>
                <w:tcPr>
                  <w:tcW w:w="811" w:type="pct"/>
                  <w:vAlign w:val="center"/>
                </w:tcPr>
                <w:p w14:paraId="1BC74C38">
                  <w:pPr>
                    <w:pStyle w:val="55"/>
                    <w:rPr>
                      <w:color w:val="auto"/>
                    </w:rPr>
                  </w:pPr>
                </w:p>
              </w:tc>
              <w:tc>
                <w:tcPr>
                  <w:tcW w:w="811" w:type="pct"/>
                  <w:gridSpan w:val="2"/>
                  <w:vAlign w:val="center"/>
                </w:tcPr>
                <w:p w14:paraId="47C3BE29">
                  <w:pPr>
                    <w:pStyle w:val="55"/>
                    <w:rPr>
                      <w:color w:val="auto"/>
                    </w:rPr>
                  </w:pPr>
                </w:p>
              </w:tc>
              <w:tc>
                <w:tcPr>
                  <w:tcW w:w="676" w:type="pct"/>
                  <w:vAlign w:val="center"/>
                </w:tcPr>
                <w:p w14:paraId="3B62FF1D">
                  <w:pPr>
                    <w:pStyle w:val="55"/>
                    <w:rPr>
                      <w:color w:val="auto"/>
                    </w:rPr>
                  </w:pPr>
                </w:p>
              </w:tc>
              <w:tc>
                <w:tcPr>
                  <w:tcW w:w="672" w:type="pct"/>
                  <w:vAlign w:val="center"/>
                </w:tcPr>
                <w:p w14:paraId="5FE1DBAB">
                  <w:pPr>
                    <w:pStyle w:val="55"/>
                    <w:rPr>
                      <w:color w:val="auto"/>
                    </w:rPr>
                  </w:pPr>
                </w:p>
              </w:tc>
            </w:tr>
            <w:tr w14:paraId="2014E3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2027" w:type="pct"/>
                  <w:vAlign w:val="center"/>
                </w:tcPr>
                <w:p w14:paraId="1A67B411">
                  <w:pPr>
                    <w:pStyle w:val="55"/>
                    <w:rPr>
                      <w:color w:val="auto"/>
                    </w:rPr>
                  </w:pPr>
                  <w:r>
                    <w:rPr>
                      <w:color w:val="auto"/>
                    </w:rPr>
                    <w:t xml:space="preserve">6.北方狭口蛙 </w:t>
                  </w:r>
                  <w:r>
                    <w:rPr>
                      <w:i/>
                      <w:iCs/>
                      <w:color w:val="auto"/>
                    </w:rPr>
                    <w:t>Kaloula borealis</w:t>
                  </w:r>
                </w:p>
              </w:tc>
              <w:tc>
                <w:tcPr>
                  <w:tcW w:w="811" w:type="pct"/>
                  <w:vAlign w:val="center"/>
                </w:tcPr>
                <w:p w14:paraId="1773B796">
                  <w:pPr>
                    <w:pStyle w:val="55"/>
                    <w:rPr>
                      <w:color w:val="auto"/>
                    </w:rPr>
                  </w:pPr>
                  <w:r>
                    <w:rPr>
                      <w:color w:val="auto"/>
                    </w:rPr>
                    <w:t>√</w:t>
                  </w:r>
                </w:p>
              </w:tc>
              <w:tc>
                <w:tcPr>
                  <w:tcW w:w="811" w:type="pct"/>
                  <w:gridSpan w:val="2"/>
                  <w:vAlign w:val="center"/>
                </w:tcPr>
                <w:p w14:paraId="4D56ACF0">
                  <w:pPr>
                    <w:pStyle w:val="55"/>
                    <w:rPr>
                      <w:color w:val="auto"/>
                    </w:rPr>
                  </w:pPr>
                </w:p>
              </w:tc>
              <w:tc>
                <w:tcPr>
                  <w:tcW w:w="676" w:type="pct"/>
                  <w:vAlign w:val="center"/>
                </w:tcPr>
                <w:p w14:paraId="11355CEA">
                  <w:pPr>
                    <w:pStyle w:val="55"/>
                    <w:rPr>
                      <w:color w:val="auto"/>
                    </w:rPr>
                  </w:pPr>
                </w:p>
              </w:tc>
              <w:tc>
                <w:tcPr>
                  <w:tcW w:w="672" w:type="pct"/>
                  <w:vAlign w:val="center"/>
                </w:tcPr>
                <w:p w14:paraId="473A3BCC">
                  <w:pPr>
                    <w:pStyle w:val="55"/>
                    <w:rPr>
                      <w:color w:val="auto"/>
                    </w:rPr>
                  </w:pPr>
                  <w:r>
                    <w:rPr>
                      <w:color w:val="auto"/>
                    </w:rPr>
                    <w:t>+</w:t>
                  </w:r>
                </w:p>
              </w:tc>
            </w:tr>
            <w:tr w14:paraId="06EB6A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2027" w:type="pct"/>
                  <w:vAlign w:val="center"/>
                </w:tcPr>
                <w:p w14:paraId="5C5C9FB9">
                  <w:pPr>
                    <w:pStyle w:val="55"/>
                    <w:rPr>
                      <w:color w:val="auto"/>
                    </w:rPr>
                  </w:pPr>
                  <w:r>
                    <w:rPr>
                      <w:color w:val="auto"/>
                    </w:rPr>
                    <w:t>7.合征姬蛙</w:t>
                  </w:r>
                  <w:r>
                    <w:rPr>
                      <w:i/>
                      <w:iCs/>
                      <w:color w:val="auto"/>
                    </w:rPr>
                    <w:t>Microhyla ixture</w:t>
                  </w:r>
                </w:p>
              </w:tc>
              <w:tc>
                <w:tcPr>
                  <w:tcW w:w="811" w:type="pct"/>
                  <w:vAlign w:val="center"/>
                </w:tcPr>
                <w:p w14:paraId="68685CA3">
                  <w:pPr>
                    <w:pStyle w:val="55"/>
                    <w:rPr>
                      <w:color w:val="auto"/>
                    </w:rPr>
                  </w:pPr>
                </w:p>
              </w:tc>
              <w:tc>
                <w:tcPr>
                  <w:tcW w:w="811" w:type="pct"/>
                  <w:gridSpan w:val="2"/>
                  <w:vAlign w:val="center"/>
                </w:tcPr>
                <w:p w14:paraId="06B6D0A8">
                  <w:pPr>
                    <w:pStyle w:val="55"/>
                    <w:rPr>
                      <w:color w:val="auto"/>
                    </w:rPr>
                  </w:pPr>
                </w:p>
              </w:tc>
              <w:tc>
                <w:tcPr>
                  <w:tcW w:w="676" w:type="pct"/>
                  <w:vAlign w:val="center"/>
                </w:tcPr>
                <w:p w14:paraId="2E6F5EAD">
                  <w:pPr>
                    <w:pStyle w:val="55"/>
                    <w:rPr>
                      <w:color w:val="auto"/>
                    </w:rPr>
                  </w:pPr>
                  <w:r>
                    <w:rPr>
                      <w:color w:val="auto"/>
                    </w:rPr>
                    <w:t>√</w:t>
                  </w:r>
                </w:p>
              </w:tc>
              <w:tc>
                <w:tcPr>
                  <w:tcW w:w="672" w:type="pct"/>
                  <w:vAlign w:val="center"/>
                </w:tcPr>
                <w:p w14:paraId="018FDBAF">
                  <w:pPr>
                    <w:pStyle w:val="55"/>
                    <w:rPr>
                      <w:color w:val="auto"/>
                    </w:rPr>
                  </w:pPr>
                  <w:r>
                    <w:rPr>
                      <w:color w:val="auto"/>
                    </w:rPr>
                    <w:t>+</w:t>
                  </w:r>
                </w:p>
              </w:tc>
            </w:tr>
          </w:tbl>
          <w:p w14:paraId="10736DE3">
            <w:pPr>
              <w:pStyle w:val="51"/>
              <w:rPr>
                <w:color w:val="auto"/>
              </w:rPr>
            </w:pPr>
            <w:r>
              <w:rPr>
                <w:color w:val="auto"/>
              </w:rPr>
              <w:t>（4）鸟类</w:t>
            </w:r>
          </w:p>
          <w:p w14:paraId="374B4883">
            <w:pPr>
              <w:pStyle w:val="51"/>
              <w:rPr>
                <w:color w:val="auto"/>
              </w:rPr>
            </w:pPr>
            <w:r>
              <w:rPr>
                <w:color w:val="auto"/>
              </w:rPr>
              <w:t>本项目位于平原地区，区域现状以耕地</w:t>
            </w:r>
            <w:r>
              <w:rPr>
                <w:rFonts w:hint="eastAsia"/>
                <w:color w:val="auto"/>
              </w:rPr>
              <w:t>为主</w:t>
            </w:r>
            <w:r>
              <w:rPr>
                <w:color w:val="auto"/>
              </w:rPr>
              <w:t>，只在河道、沟渠以及村庄附近有一定人工植被，河道浅滩水域有一定水生灌丛，形成了独特的自然地理环境，这些区域适合鸟类生存。</w:t>
            </w:r>
          </w:p>
          <w:p w14:paraId="5E299DC5">
            <w:pPr>
              <w:pStyle w:val="51"/>
              <w:rPr>
                <w:color w:val="auto"/>
              </w:rPr>
            </w:pPr>
            <w:r>
              <w:rPr>
                <w:rFonts w:hint="eastAsia"/>
                <w:color w:val="auto"/>
              </w:rPr>
              <w:t>项目区</w:t>
            </w:r>
            <w:r>
              <w:rPr>
                <w:color w:val="auto"/>
              </w:rPr>
              <w:t>常见</w:t>
            </w:r>
            <w:r>
              <w:rPr>
                <w:rFonts w:hint="eastAsia"/>
                <w:color w:val="auto"/>
              </w:rPr>
              <w:t>的鸟类</w:t>
            </w:r>
            <w:r>
              <w:rPr>
                <w:color w:val="auto"/>
              </w:rPr>
              <w:t>物种</w:t>
            </w:r>
            <w:r>
              <w:rPr>
                <w:rFonts w:hint="eastAsia"/>
                <w:color w:val="auto"/>
              </w:rPr>
              <w:t>主要有珠颈斑鸠（</w:t>
            </w:r>
            <w:r>
              <w:rPr>
                <w:i/>
                <w:iCs/>
                <w:color w:val="auto"/>
              </w:rPr>
              <w:t>Streptopelia chinensis</w:t>
            </w:r>
            <w:r>
              <w:rPr>
                <w:rFonts w:hint="eastAsia"/>
                <w:color w:val="auto"/>
              </w:rPr>
              <w:t>）、</w:t>
            </w:r>
            <w:r>
              <w:rPr>
                <w:color w:val="auto"/>
              </w:rPr>
              <w:t>戴胜</w:t>
            </w:r>
            <w:r>
              <w:rPr>
                <w:rFonts w:hint="eastAsia"/>
                <w:color w:val="auto"/>
              </w:rPr>
              <w:t>（</w:t>
            </w:r>
            <w:r>
              <w:rPr>
                <w:i/>
                <w:iCs/>
                <w:color w:val="auto"/>
              </w:rPr>
              <w:t>Upupa epop</w:t>
            </w:r>
            <w:r>
              <w:rPr>
                <w:rFonts w:hint="eastAsia"/>
                <w:color w:val="auto"/>
              </w:rPr>
              <w:t>）、</w:t>
            </w:r>
            <w:r>
              <w:rPr>
                <w:color w:val="auto"/>
              </w:rPr>
              <w:t>白鹡鸰</w:t>
            </w:r>
            <w:r>
              <w:rPr>
                <w:rFonts w:hint="eastAsia"/>
                <w:color w:val="auto"/>
              </w:rPr>
              <w:t>（</w:t>
            </w:r>
            <w:r>
              <w:rPr>
                <w:i/>
                <w:iCs/>
                <w:color w:val="auto"/>
              </w:rPr>
              <w:t>Motacilla alba</w:t>
            </w:r>
            <w:r>
              <w:rPr>
                <w:rFonts w:hint="eastAsia"/>
                <w:color w:val="auto"/>
              </w:rPr>
              <w:t>）、</w:t>
            </w:r>
            <w:r>
              <w:rPr>
                <w:color w:val="auto"/>
              </w:rPr>
              <w:t>白头鹎</w:t>
            </w:r>
            <w:r>
              <w:rPr>
                <w:rFonts w:hint="eastAsia"/>
                <w:color w:val="auto"/>
              </w:rPr>
              <w:t>（</w:t>
            </w:r>
            <w:r>
              <w:rPr>
                <w:i/>
                <w:iCs/>
                <w:color w:val="auto"/>
              </w:rPr>
              <w:t>Pycnonotus sinensis</w:t>
            </w:r>
            <w:r>
              <w:rPr>
                <w:rFonts w:hint="eastAsia"/>
                <w:color w:val="auto"/>
              </w:rPr>
              <w:t>）、</w:t>
            </w:r>
            <w:r>
              <w:rPr>
                <w:color w:val="auto"/>
              </w:rPr>
              <w:t>灰椋鸟</w:t>
            </w:r>
            <w:r>
              <w:rPr>
                <w:rFonts w:hint="eastAsia"/>
                <w:color w:val="auto"/>
              </w:rPr>
              <w:t>（</w:t>
            </w:r>
            <w:r>
              <w:rPr>
                <w:i/>
                <w:iCs/>
                <w:color w:val="auto"/>
              </w:rPr>
              <w:t>Sturnus cineraceus</w:t>
            </w:r>
            <w:r>
              <w:rPr>
                <w:rFonts w:hint="eastAsia"/>
                <w:color w:val="auto"/>
              </w:rPr>
              <w:t>）、</w:t>
            </w:r>
            <w:r>
              <w:rPr>
                <w:color w:val="auto"/>
              </w:rPr>
              <w:t>喜鹊</w:t>
            </w:r>
            <w:r>
              <w:rPr>
                <w:rFonts w:hint="eastAsia"/>
                <w:color w:val="auto"/>
              </w:rPr>
              <w:t>（</w:t>
            </w:r>
            <w:r>
              <w:rPr>
                <w:i/>
                <w:iCs/>
                <w:color w:val="auto"/>
              </w:rPr>
              <w:t>Pica pica</w:t>
            </w:r>
            <w:r>
              <w:rPr>
                <w:rFonts w:hint="eastAsia"/>
                <w:color w:val="auto"/>
              </w:rPr>
              <w:t>）、</w:t>
            </w:r>
            <w:r>
              <w:rPr>
                <w:color w:val="auto"/>
              </w:rPr>
              <w:t>乌鸫</w:t>
            </w:r>
            <w:r>
              <w:rPr>
                <w:rFonts w:hint="eastAsia"/>
                <w:color w:val="auto"/>
              </w:rPr>
              <w:t>（</w:t>
            </w:r>
            <w:r>
              <w:rPr>
                <w:i/>
                <w:iCs/>
                <w:color w:val="auto"/>
              </w:rPr>
              <w:t>Turdus merula</w:t>
            </w:r>
            <w:r>
              <w:rPr>
                <w:rFonts w:hint="eastAsia"/>
                <w:color w:val="auto"/>
              </w:rPr>
              <w:t>）、</w:t>
            </w:r>
            <w:r>
              <w:rPr>
                <w:color w:val="auto"/>
              </w:rPr>
              <w:t>大山雀</w:t>
            </w:r>
            <w:r>
              <w:rPr>
                <w:rFonts w:hint="eastAsia"/>
                <w:color w:val="auto"/>
              </w:rPr>
              <w:t>（</w:t>
            </w:r>
            <w:r>
              <w:rPr>
                <w:i/>
                <w:iCs/>
                <w:color w:val="auto"/>
              </w:rPr>
              <w:t>Parus major</w:t>
            </w:r>
            <w:r>
              <w:rPr>
                <w:rFonts w:hint="eastAsia"/>
                <w:color w:val="auto"/>
              </w:rPr>
              <w:t>）及</w:t>
            </w:r>
            <w:r>
              <w:rPr>
                <w:color w:val="auto"/>
              </w:rPr>
              <w:t>麻雀</w:t>
            </w:r>
            <w:r>
              <w:rPr>
                <w:rFonts w:hint="eastAsia"/>
                <w:color w:val="auto"/>
              </w:rPr>
              <w:t>（</w:t>
            </w:r>
            <w:r>
              <w:rPr>
                <w:i/>
                <w:iCs/>
                <w:color w:val="auto"/>
              </w:rPr>
              <w:t>Passer montanus</w:t>
            </w:r>
            <w:r>
              <w:rPr>
                <w:rFonts w:hint="eastAsia"/>
                <w:color w:val="auto"/>
              </w:rPr>
              <w:t>）。</w:t>
            </w:r>
          </w:p>
          <w:p w14:paraId="7D967E5B">
            <w:pPr>
              <w:pStyle w:val="48"/>
              <w:rPr>
                <w:color w:val="auto"/>
              </w:rPr>
            </w:pPr>
            <w:r>
              <w:rPr>
                <w:rFonts w:hint="eastAsia"/>
                <w:color w:val="auto"/>
              </w:rPr>
              <w:t>（四）水环境</w:t>
            </w:r>
          </w:p>
          <w:p w14:paraId="117A6990">
            <w:pPr>
              <w:pStyle w:val="51"/>
              <w:rPr>
                <w:color w:val="auto"/>
              </w:rPr>
            </w:pPr>
            <w:r>
              <w:rPr>
                <w:rFonts w:hint="eastAsia"/>
                <w:color w:val="auto"/>
              </w:rPr>
              <w:t>根据《2023年淮南市生态环境质量状况公报》：</w:t>
            </w:r>
          </w:p>
          <w:p w14:paraId="20308092">
            <w:pPr>
              <w:pStyle w:val="51"/>
              <w:rPr>
                <w:color w:val="auto"/>
              </w:rPr>
            </w:pPr>
            <w:r>
              <w:rPr>
                <w:rFonts w:hint="eastAsia"/>
                <w:color w:val="auto"/>
              </w:rPr>
              <w:t>①地表水。2023年，全市地表水24个监测断面中优良水质比例为95.8%，比上年提升了16.6个百分点，Ⅳ类水质比例4.2%，总体水质状况优。</w:t>
            </w:r>
          </w:p>
          <w:p w14:paraId="7FC130E9">
            <w:pPr>
              <w:pStyle w:val="51"/>
              <w:rPr>
                <w:color w:val="auto"/>
              </w:rPr>
            </w:pPr>
            <w:r>
              <w:rPr>
                <w:rFonts w:hint="eastAsia"/>
                <w:color w:val="auto"/>
              </w:rPr>
              <w:t>全市8个国控断面中优良水质比例为87.5%，Ⅳ类水质比例12.5%，总体水质状况良好；11个省控断面中优良水质比例为100%，总体水质状况优。</w:t>
            </w:r>
          </w:p>
          <w:p w14:paraId="317E4C9D">
            <w:pPr>
              <w:pStyle w:val="51"/>
              <w:rPr>
                <w:color w:val="auto"/>
              </w:rPr>
            </w:pPr>
            <w:r>
              <w:rPr>
                <w:rFonts w:hint="eastAsia"/>
                <w:color w:val="auto"/>
              </w:rPr>
              <w:t>河流：全市辖区内淮河干流水质状况为优，西淝河水质状况为优，东淝河、永幸河、架河、泥河、瓦西干渠、陡涧河、万小河、便民沟和丁家沟水质状况为良好。20个监测断面中优良水质比例为100%，比上年提升了15个百分点。其中新城口、西淝河闸下断面水质均有所好转（Ⅲ类→Ⅱ类），泥河入河口、便民沟焦岗闸、丁家沟河口和安丰塘水质均有所好转（Ⅳ类→Ⅲ类），其他断面水质保持稳定。</w:t>
            </w:r>
          </w:p>
          <w:p w14:paraId="554DE126">
            <w:pPr>
              <w:pStyle w:val="51"/>
              <w:rPr>
                <w:color w:val="auto"/>
              </w:rPr>
            </w:pPr>
            <w:r>
              <w:rPr>
                <w:rFonts w:hint="eastAsia"/>
                <w:color w:val="auto"/>
              </w:rPr>
              <w:t>②地下水。2023年，全市地下水区域考核点位寿县八公山乡团结村-珍珠泉水质类别符合Ⅱ类，寿县迎合镇常圩村水质（3046B）、凤台县政府大院内和潘集区贺疃乡朱集西煤矿工业广场3个点位水质类别均符合Ⅳ类，寿县迎合镇常圩村（3046A）水质类别符合Ⅴ类；污染风险监控点位凤台县桂集镇王圩村水质类别符合Ⅳ类。与上年相比，各点位水质类别保持稳定，均无明显变化。</w:t>
            </w:r>
          </w:p>
          <w:p w14:paraId="27C35EE6">
            <w:pPr>
              <w:pStyle w:val="48"/>
              <w:rPr>
                <w:color w:val="auto"/>
              </w:rPr>
            </w:pPr>
            <w:r>
              <w:rPr>
                <w:rFonts w:hint="eastAsia"/>
                <w:color w:val="auto"/>
              </w:rPr>
              <w:t>（五）大气环境</w:t>
            </w:r>
          </w:p>
          <w:p w14:paraId="0D1C6D35">
            <w:pPr>
              <w:pStyle w:val="51"/>
              <w:rPr>
                <w:color w:val="auto"/>
              </w:rPr>
            </w:pPr>
            <w:r>
              <w:rPr>
                <w:rFonts w:hint="eastAsia"/>
                <w:color w:val="auto"/>
              </w:rPr>
              <w:t>项目所在区域达标判定优先采用国家或地方生态环境主管部门公开发布的评价基准年环境质量公告或环境质量报告中的数据或结论。本项目位于淮南市潘集区境内，本次评价采用淮南市生态环境局于2024年6月3日在其网站公开发布的《2023年淮南市环境质量状况公报》，项目区域空气环境质量现状评价见下表。</w:t>
            </w:r>
          </w:p>
          <w:p w14:paraId="169640F4">
            <w:pPr>
              <w:pStyle w:val="53"/>
              <w:rPr>
                <w:color w:val="auto"/>
              </w:rPr>
            </w:pPr>
            <w:r>
              <w:rPr>
                <w:rFonts w:hint="eastAsia"/>
                <w:color w:val="auto"/>
              </w:rPr>
              <w:t>表3-4  区域大气污染物浓度值</w:t>
            </w:r>
          </w:p>
          <w:tbl>
            <w:tblPr>
              <w:tblStyle w:val="25"/>
              <w:tblpPr w:leftFromText="181" w:rightFromText="181" w:bottomFromText="170" w:vertAnchor="text" w:tblpY="1"/>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1"/>
              <w:gridCol w:w="3287"/>
              <w:gridCol w:w="1067"/>
              <w:gridCol w:w="1070"/>
              <w:gridCol w:w="800"/>
              <w:gridCol w:w="1072"/>
            </w:tblGrid>
            <w:tr w14:paraId="193AF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55" w:type="pct"/>
                  <w:vAlign w:val="center"/>
                </w:tcPr>
                <w:p w14:paraId="1D469B0C">
                  <w:pPr>
                    <w:pStyle w:val="55"/>
                    <w:rPr>
                      <w:color w:val="auto"/>
                    </w:rPr>
                  </w:pPr>
                  <w:r>
                    <w:rPr>
                      <w:rFonts w:hint="eastAsia"/>
                      <w:color w:val="auto"/>
                    </w:rPr>
                    <w:t>污染物</w:t>
                  </w:r>
                </w:p>
              </w:tc>
              <w:tc>
                <w:tcPr>
                  <w:tcW w:w="2046" w:type="pct"/>
                  <w:vAlign w:val="center"/>
                </w:tcPr>
                <w:p w14:paraId="38B6DCFF">
                  <w:pPr>
                    <w:pStyle w:val="55"/>
                    <w:rPr>
                      <w:color w:val="auto"/>
                    </w:rPr>
                  </w:pPr>
                  <w:r>
                    <w:rPr>
                      <w:rFonts w:hint="eastAsia"/>
                      <w:color w:val="auto"/>
                    </w:rPr>
                    <w:t>年评价指标</w:t>
                  </w:r>
                </w:p>
              </w:tc>
              <w:tc>
                <w:tcPr>
                  <w:tcW w:w="664" w:type="pct"/>
                  <w:vAlign w:val="center"/>
                </w:tcPr>
                <w:p w14:paraId="5A4900F8">
                  <w:pPr>
                    <w:pStyle w:val="55"/>
                    <w:rPr>
                      <w:color w:val="auto"/>
                    </w:rPr>
                  </w:pPr>
                  <w:r>
                    <w:rPr>
                      <w:rFonts w:hint="eastAsia"/>
                      <w:color w:val="auto"/>
                    </w:rPr>
                    <w:t>现状浓度(µg/m³)</w:t>
                  </w:r>
                </w:p>
              </w:tc>
              <w:tc>
                <w:tcPr>
                  <w:tcW w:w="666" w:type="pct"/>
                  <w:vAlign w:val="center"/>
                </w:tcPr>
                <w:p w14:paraId="3DB71E3C">
                  <w:pPr>
                    <w:pStyle w:val="55"/>
                    <w:rPr>
                      <w:color w:val="auto"/>
                    </w:rPr>
                  </w:pPr>
                  <w:r>
                    <w:rPr>
                      <w:rFonts w:hint="eastAsia"/>
                      <w:color w:val="auto"/>
                    </w:rPr>
                    <w:t>标准值(µg/m³)</w:t>
                  </w:r>
                </w:p>
              </w:tc>
              <w:tc>
                <w:tcPr>
                  <w:tcW w:w="498" w:type="pct"/>
                  <w:vAlign w:val="center"/>
                </w:tcPr>
                <w:p w14:paraId="350FAC1B">
                  <w:pPr>
                    <w:pStyle w:val="55"/>
                    <w:rPr>
                      <w:color w:val="auto"/>
                    </w:rPr>
                  </w:pPr>
                  <w:r>
                    <w:rPr>
                      <w:rFonts w:hint="eastAsia"/>
                      <w:color w:val="auto"/>
                    </w:rPr>
                    <w:t>占标率</w:t>
                  </w:r>
                </w:p>
                <w:p w14:paraId="354A4626">
                  <w:pPr>
                    <w:pStyle w:val="55"/>
                    <w:rPr>
                      <w:color w:val="auto"/>
                    </w:rPr>
                  </w:pPr>
                  <w:r>
                    <w:rPr>
                      <w:rFonts w:hint="eastAsia"/>
                      <w:color w:val="auto"/>
                    </w:rPr>
                    <w:t>%</w:t>
                  </w:r>
                </w:p>
              </w:tc>
              <w:tc>
                <w:tcPr>
                  <w:tcW w:w="668" w:type="pct"/>
                  <w:vAlign w:val="center"/>
                </w:tcPr>
                <w:p w14:paraId="7D71FE70">
                  <w:pPr>
                    <w:pStyle w:val="55"/>
                    <w:rPr>
                      <w:color w:val="auto"/>
                    </w:rPr>
                  </w:pPr>
                  <w:r>
                    <w:rPr>
                      <w:rFonts w:hint="eastAsia"/>
                      <w:color w:val="auto"/>
                    </w:rPr>
                    <w:t>达标情况</w:t>
                  </w:r>
                </w:p>
              </w:tc>
            </w:tr>
            <w:tr w14:paraId="501BF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55" w:type="pct"/>
                  <w:vAlign w:val="center"/>
                </w:tcPr>
                <w:p w14:paraId="0655D995">
                  <w:pPr>
                    <w:pStyle w:val="55"/>
                    <w:rPr>
                      <w:color w:val="auto"/>
                    </w:rPr>
                  </w:pPr>
                  <w:r>
                    <w:rPr>
                      <w:rFonts w:hint="eastAsia"/>
                      <w:color w:val="auto"/>
                    </w:rPr>
                    <w:t>SO</w:t>
                  </w:r>
                  <w:r>
                    <w:rPr>
                      <w:rFonts w:hint="eastAsia"/>
                      <w:color w:val="auto"/>
                      <w:vertAlign w:val="subscript"/>
                    </w:rPr>
                    <w:t>2</w:t>
                  </w:r>
                </w:p>
              </w:tc>
              <w:tc>
                <w:tcPr>
                  <w:tcW w:w="2046" w:type="pct"/>
                  <w:vAlign w:val="center"/>
                </w:tcPr>
                <w:p w14:paraId="2688D08B">
                  <w:pPr>
                    <w:pStyle w:val="55"/>
                    <w:rPr>
                      <w:color w:val="auto"/>
                    </w:rPr>
                  </w:pPr>
                  <w:r>
                    <w:rPr>
                      <w:rFonts w:hint="eastAsia"/>
                      <w:color w:val="auto"/>
                    </w:rPr>
                    <w:t>年均值</w:t>
                  </w:r>
                </w:p>
              </w:tc>
              <w:tc>
                <w:tcPr>
                  <w:tcW w:w="664" w:type="pct"/>
                  <w:vAlign w:val="center"/>
                </w:tcPr>
                <w:p w14:paraId="69B52CCD">
                  <w:pPr>
                    <w:pStyle w:val="55"/>
                    <w:rPr>
                      <w:color w:val="auto"/>
                    </w:rPr>
                  </w:pPr>
                  <w:r>
                    <w:rPr>
                      <w:rFonts w:hint="eastAsia"/>
                      <w:color w:val="auto"/>
                    </w:rPr>
                    <w:t>8</w:t>
                  </w:r>
                </w:p>
              </w:tc>
              <w:tc>
                <w:tcPr>
                  <w:tcW w:w="666" w:type="pct"/>
                  <w:vAlign w:val="center"/>
                </w:tcPr>
                <w:p w14:paraId="6684992D">
                  <w:pPr>
                    <w:pStyle w:val="55"/>
                    <w:rPr>
                      <w:color w:val="auto"/>
                    </w:rPr>
                  </w:pPr>
                  <w:r>
                    <w:rPr>
                      <w:rFonts w:hint="eastAsia"/>
                      <w:color w:val="auto"/>
                    </w:rPr>
                    <w:t>60</w:t>
                  </w:r>
                </w:p>
              </w:tc>
              <w:tc>
                <w:tcPr>
                  <w:tcW w:w="498" w:type="pct"/>
                  <w:vAlign w:val="center"/>
                </w:tcPr>
                <w:p w14:paraId="07F531FC">
                  <w:pPr>
                    <w:pStyle w:val="55"/>
                    <w:rPr>
                      <w:color w:val="auto"/>
                    </w:rPr>
                  </w:pPr>
                  <w:r>
                    <w:rPr>
                      <w:rFonts w:hint="eastAsia"/>
                      <w:color w:val="auto"/>
                    </w:rPr>
                    <w:t>13.3</w:t>
                  </w:r>
                </w:p>
              </w:tc>
              <w:tc>
                <w:tcPr>
                  <w:tcW w:w="668" w:type="pct"/>
                  <w:vAlign w:val="center"/>
                </w:tcPr>
                <w:p w14:paraId="648B53D5">
                  <w:pPr>
                    <w:pStyle w:val="55"/>
                    <w:rPr>
                      <w:color w:val="auto"/>
                    </w:rPr>
                  </w:pPr>
                  <w:r>
                    <w:rPr>
                      <w:rFonts w:hint="eastAsia"/>
                      <w:color w:val="auto"/>
                    </w:rPr>
                    <w:t>达标</w:t>
                  </w:r>
                </w:p>
              </w:tc>
            </w:tr>
            <w:tr w14:paraId="1FAD0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55" w:type="pct"/>
                  <w:vAlign w:val="center"/>
                </w:tcPr>
                <w:p w14:paraId="5AE8AA83">
                  <w:pPr>
                    <w:pStyle w:val="55"/>
                    <w:rPr>
                      <w:color w:val="auto"/>
                    </w:rPr>
                  </w:pPr>
                  <w:r>
                    <w:rPr>
                      <w:rFonts w:hint="eastAsia"/>
                      <w:color w:val="auto"/>
                    </w:rPr>
                    <w:t>NO</w:t>
                  </w:r>
                  <w:r>
                    <w:rPr>
                      <w:rFonts w:hint="eastAsia"/>
                      <w:color w:val="auto"/>
                      <w:vertAlign w:val="subscript"/>
                    </w:rPr>
                    <w:t>2</w:t>
                  </w:r>
                </w:p>
              </w:tc>
              <w:tc>
                <w:tcPr>
                  <w:tcW w:w="2046" w:type="pct"/>
                  <w:vAlign w:val="center"/>
                </w:tcPr>
                <w:p w14:paraId="2AE25A81">
                  <w:pPr>
                    <w:pStyle w:val="55"/>
                    <w:rPr>
                      <w:color w:val="auto"/>
                    </w:rPr>
                  </w:pPr>
                  <w:r>
                    <w:rPr>
                      <w:rFonts w:hint="eastAsia"/>
                      <w:color w:val="auto"/>
                    </w:rPr>
                    <w:t>年均值</w:t>
                  </w:r>
                </w:p>
              </w:tc>
              <w:tc>
                <w:tcPr>
                  <w:tcW w:w="664" w:type="pct"/>
                  <w:vAlign w:val="center"/>
                </w:tcPr>
                <w:p w14:paraId="48B6C474">
                  <w:pPr>
                    <w:pStyle w:val="55"/>
                    <w:rPr>
                      <w:color w:val="auto"/>
                    </w:rPr>
                  </w:pPr>
                  <w:r>
                    <w:rPr>
                      <w:rFonts w:hint="eastAsia"/>
                      <w:color w:val="auto"/>
                    </w:rPr>
                    <w:t>21</w:t>
                  </w:r>
                </w:p>
              </w:tc>
              <w:tc>
                <w:tcPr>
                  <w:tcW w:w="666" w:type="pct"/>
                  <w:vAlign w:val="center"/>
                </w:tcPr>
                <w:p w14:paraId="269B7BD2">
                  <w:pPr>
                    <w:pStyle w:val="55"/>
                    <w:rPr>
                      <w:color w:val="auto"/>
                    </w:rPr>
                  </w:pPr>
                  <w:r>
                    <w:rPr>
                      <w:rFonts w:hint="eastAsia"/>
                      <w:color w:val="auto"/>
                    </w:rPr>
                    <w:t>40</w:t>
                  </w:r>
                </w:p>
              </w:tc>
              <w:tc>
                <w:tcPr>
                  <w:tcW w:w="498" w:type="pct"/>
                  <w:vAlign w:val="center"/>
                </w:tcPr>
                <w:p w14:paraId="35E9ED6C">
                  <w:pPr>
                    <w:pStyle w:val="55"/>
                    <w:rPr>
                      <w:color w:val="auto"/>
                    </w:rPr>
                  </w:pPr>
                  <w:r>
                    <w:rPr>
                      <w:rFonts w:hint="eastAsia"/>
                      <w:color w:val="auto"/>
                    </w:rPr>
                    <w:t>52.5</w:t>
                  </w:r>
                </w:p>
              </w:tc>
              <w:tc>
                <w:tcPr>
                  <w:tcW w:w="668" w:type="pct"/>
                  <w:vAlign w:val="center"/>
                </w:tcPr>
                <w:p w14:paraId="6A4622AC">
                  <w:pPr>
                    <w:pStyle w:val="55"/>
                    <w:rPr>
                      <w:color w:val="auto"/>
                    </w:rPr>
                  </w:pPr>
                  <w:r>
                    <w:rPr>
                      <w:rFonts w:hint="eastAsia"/>
                      <w:color w:val="auto"/>
                    </w:rPr>
                    <w:t>达标</w:t>
                  </w:r>
                </w:p>
              </w:tc>
            </w:tr>
            <w:tr w14:paraId="59687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55" w:type="pct"/>
                  <w:vAlign w:val="center"/>
                </w:tcPr>
                <w:p w14:paraId="4B6DA3EB">
                  <w:pPr>
                    <w:pStyle w:val="55"/>
                    <w:rPr>
                      <w:color w:val="auto"/>
                    </w:rPr>
                  </w:pPr>
                  <w:r>
                    <w:rPr>
                      <w:rFonts w:hint="eastAsia"/>
                      <w:color w:val="auto"/>
                    </w:rPr>
                    <w:t>CO</w:t>
                  </w:r>
                </w:p>
              </w:tc>
              <w:tc>
                <w:tcPr>
                  <w:tcW w:w="2046" w:type="pct"/>
                  <w:vAlign w:val="center"/>
                </w:tcPr>
                <w:p w14:paraId="48363F98">
                  <w:pPr>
                    <w:pStyle w:val="55"/>
                    <w:rPr>
                      <w:color w:val="auto"/>
                    </w:rPr>
                  </w:pPr>
                  <w:r>
                    <w:rPr>
                      <w:rFonts w:hint="eastAsia"/>
                      <w:color w:val="auto"/>
                    </w:rPr>
                    <w:t>日均值第95百分位数</w:t>
                  </w:r>
                </w:p>
              </w:tc>
              <w:tc>
                <w:tcPr>
                  <w:tcW w:w="664" w:type="pct"/>
                  <w:vAlign w:val="center"/>
                </w:tcPr>
                <w:p w14:paraId="64328029">
                  <w:pPr>
                    <w:pStyle w:val="55"/>
                    <w:rPr>
                      <w:color w:val="auto"/>
                    </w:rPr>
                  </w:pPr>
                  <w:r>
                    <w:rPr>
                      <w:rFonts w:hint="eastAsia"/>
                      <w:color w:val="auto"/>
                    </w:rPr>
                    <w:t>700</w:t>
                  </w:r>
                </w:p>
              </w:tc>
              <w:tc>
                <w:tcPr>
                  <w:tcW w:w="666" w:type="pct"/>
                  <w:vAlign w:val="center"/>
                </w:tcPr>
                <w:p w14:paraId="006B8BDA">
                  <w:pPr>
                    <w:pStyle w:val="55"/>
                    <w:rPr>
                      <w:color w:val="auto"/>
                    </w:rPr>
                  </w:pPr>
                  <w:r>
                    <w:rPr>
                      <w:rFonts w:hint="eastAsia"/>
                      <w:color w:val="auto"/>
                    </w:rPr>
                    <w:t>4000</w:t>
                  </w:r>
                </w:p>
              </w:tc>
              <w:tc>
                <w:tcPr>
                  <w:tcW w:w="498" w:type="pct"/>
                  <w:vAlign w:val="center"/>
                </w:tcPr>
                <w:p w14:paraId="38E0CD56">
                  <w:pPr>
                    <w:pStyle w:val="55"/>
                    <w:rPr>
                      <w:color w:val="auto"/>
                    </w:rPr>
                  </w:pPr>
                  <w:r>
                    <w:rPr>
                      <w:rFonts w:hint="eastAsia"/>
                      <w:color w:val="auto"/>
                    </w:rPr>
                    <w:t>17.5</w:t>
                  </w:r>
                </w:p>
              </w:tc>
              <w:tc>
                <w:tcPr>
                  <w:tcW w:w="668" w:type="pct"/>
                  <w:vAlign w:val="center"/>
                </w:tcPr>
                <w:p w14:paraId="23323D5A">
                  <w:pPr>
                    <w:pStyle w:val="55"/>
                    <w:rPr>
                      <w:color w:val="auto"/>
                    </w:rPr>
                  </w:pPr>
                  <w:r>
                    <w:rPr>
                      <w:rFonts w:hint="eastAsia"/>
                      <w:color w:val="auto"/>
                    </w:rPr>
                    <w:t>达标</w:t>
                  </w:r>
                </w:p>
              </w:tc>
            </w:tr>
            <w:tr w14:paraId="616B3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55" w:type="pct"/>
                  <w:vAlign w:val="center"/>
                </w:tcPr>
                <w:p w14:paraId="173F6FF9">
                  <w:pPr>
                    <w:pStyle w:val="55"/>
                    <w:rPr>
                      <w:color w:val="auto"/>
                    </w:rPr>
                  </w:pPr>
                  <w:r>
                    <w:rPr>
                      <w:rFonts w:hint="eastAsia"/>
                      <w:color w:val="auto"/>
                    </w:rPr>
                    <w:t>O</w:t>
                  </w:r>
                  <w:r>
                    <w:rPr>
                      <w:rFonts w:hint="eastAsia"/>
                      <w:color w:val="auto"/>
                      <w:vertAlign w:val="subscript"/>
                    </w:rPr>
                    <w:t>3</w:t>
                  </w:r>
                </w:p>
              </w:tc>
              <w:tc>
                <w:tcPr>
                  <w:tcW w:w="2046" w:type="pct"/>
                  <w:vAlign w:val="center"/>
                </w:tcPr>
                <w:p w14:paraId="77B75EF2">
                  <w:pPr>
                    <w:pStyle w:val="55"/>
                    <w:rPr>
                      <w:color w:val="auto"/>
                    </w:rPr>
                  </w:pPr>
                  <w:r>
                    <w:rPr>
                      <w:rFonts w:hint="eastAsia"/>
                      <w:color w:val="auto"/>
                    </w:rPr>
                    <w:t>日最大8小时平均值第90百分位数</w:t>
                  </w:r>
                </w:p>
              </w:tc>
              <w:tc>
                <w:tcPr>
                  <w:tcW w:w="664" w:type="pct"/>
                  <w:vAlign w:val="center"/>
                </w:tcPr>
                <w:p w14:paraId="50C272A8">
                  <w:pPr>
                    <w:pStyle w:val="55"/>
                    <w:rPr>
                      <w:color w:val="auto"/>
                    </w:rPr>
                  </w:pPr>
                  <w:r>
                    <w:rPr>
                      <w:rFonts w:hint="eastAsia"/>
                      <w:color w:val="auto"/>
                    </w:rPr>
                    <w:t>157</w:t>
                  </w:r>
                </w:p>
              </w:tc>
              <w:tc>
                <w:tcPr>
                  <w:tcW w:w="666" w:type="pct"/>
                  <w:vAlign w:val="center"/>
                </w:tcPr>
                <w:p w14:paraId="4EB583E7">
                  <w:pPr>
                    <w:pStyle w:val="55"/>
                    <w:rPr>
                      <w:color w:val="auto"/>
                    </w:rPr>
                  </w:pPr>
                  <w:r>
                    <w:rPr>
                      <w:rFonts w:hint="eastAsia"/>
                      <w:color w:val="auto"/>
                    </w:rPr>
                    <w:t>160</w:t>
                  </w:r>
                </w:p>
              </w:tc>
              <w:tc>
                <w:tcPr>
                  <w:tcW w:w="498" w:type="pct"/>
                  <w:vAlign w:val="center"/>
                </w:tcPr>
                <w:p w14:paraId="24920BD6">
                  <w:pPr>
                    <w:pStyle w:val="55"/>
                    <w:rPr>
                      <w:color w:val="auto"/>
                    </w:rPr>
                  </w:pPr>
                  <w:r>
                    <w:rPr>
                      <w:rFonts w:hint="eastAsia"/>
                      <w:color w:val="auto"/>
                    </w:rPr>
                    <w:t>98.13</w:t>
                  </w:r>
                </w:p>
              </w:tc>
              <w:tc>
                <w:tcPr>
                  <w:tcW w:w="668" w:type="pct"/>
                  <w:vAlign w:val="center"/>
                </w:tcPr>
                <w:p w14:paraId="11DCDF32">
                  <w:pPr>
                    <w:pStyle w:val="55"/>
                    <w:rPr>
                      <w:color w:val="auto"/>
                    </w:rPr>
                  </w:pPr>
                  <w:r>
                    <w:rPr>
                      <w:rFonts w:hint="eastAsia"/>
                      <w:color w:val="auto"/>
                    </w:rPr>
                    <w:t>达标</w:t>
                  </w:r>
                </w:p>
              </w:tc>
            </w:tr>
            <w:tr w14:paraId="318F7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55" w:type="pct"/>
                  <w:vAlign w:val="center"/>
                </w:tcPr>
                <w:p w14:paraId="69D4DD7B">
                  <w:pPr>
                    <w:pStyle w:val="55"/>
                    <w:rPr>
                      <w:color w:val="auto"/>
                    </w:rPr>
                  </w:pPr>
                  <w:r>
                    <w:rPr>
                      <w:rFonts w:hint="eastAsia"/>
                      <w:color w:val="auto"/>
                    </w:rPr>
                    <w:t>PM</w:t>
                  </w:r>
                  <w:r>
                    <w:rPr>
                      <w:rFonts w:hint="eastAsia"/>
                      <w:color w:val="auto"/>
                      <w:vertAlign w:val="subscript"/>
                    </w:rPr>
                    <w:t>10</w:t>
                  </w:r>
                </w:p>
              </w:tc>
              <w:tc>
                <w:tcPr>
                  <w:tcW w:w="2046" w:type="pct"/>
                  <w:vAlign w:val="center"/>
                </w:tcPr>
                <w:p w14:paraId="264199B1">
                  <w:pPr>
                    <w:pStyle w:val="55"/>
                    <w:rPr>
                      <w:color w:val="auto"/>
                    </w:rPr>
                  </w:pPr>
                  <w:r>
                    <w:rPr>
                      <w:rFonts w:hint="eastAsia"/>
                      <w:color w:val="auto"/>
                    </w:rPr>
                    <w:t>年均值</w:t>
                  </w:r>
                </w:p>
              </w:tc>
              <w:tc>
                <w:tcPr>
                  <w:tcW w:w="664" w:type="pct"/>
                  <w:vAlign w:val="center"/>
                </w:tcPr>
                <w:p w14:paraId="3DB1E541">
                  <w:pPr>
                    <w:pStyle w:val="55"/>
                    <w:rPr>
                      <w:color w:val="auto"/>
                    </w:rPr>
                  </w:pPr>
                  <w:r>
                    <w:rPr>
                      <w:rFonts w:hint="eastAsia"/>
                      <w:color w:val="auto"/>
                    </w:rPr>
                    <w:t>65.9</w:t>
                  </w:r>
                </w:p>
              </w:tc>
              <w:tc>
                <w:tcPr>
                  <w:tcW w:w="666" w:type="pct"/>
                  <w:vAlign w:val="center"/>
                </w:tcPr>
                <w:p w14:paraId="6CB4D32A">
                  <w:pPr>
                    <w:pStyle w:val="55"/>
                    <w:rPr>
                      <w:color w:val="auto"/>
                    </w:rPr>
                  </w:pPr>
                  <w:r>
                    <w:rPr>
                      <w:rFonts w:hint="eastAsia"/>
                      <w:color w:val="auto"/>
                    </w:rPr>
                    <w:t>70</w:t>
                  </w:r>
                </w:p>
              </w:tc>
              <w:tc>
                <w:tcPr>
                  <w:tcW w:w="498" w:type="pct"/>
                  <w:vAlign w:val="center"/>
                </w:tcPr>
                <w:p w14:paraId="7015E951">
                  <w:pPr>
                    <w:pStyle w:val="55"/>
                    <w:rPr>
                      <w:color w:val="auto"/>
                    </w:rPr>
                  </w:pPr>
                  <w:r>
                    <w:rPr>
                      <w:rFonts w:hint="eastAsia"/>
                      <w:color w:val="auto"/>
                    </w:rPr>
                    <w:t>94.14</w:t>
                  </w:r>
                </w:p>
              </w:tc>
              <w:tc>
                <w:tcPr>
                  <w:tcW w:w="668" w:type="pct"/>
                  <w:vAlign w:val="center"/>
                </w:tcPr>
                <w:p w14:paraId="13A4BA65">
                  <w:pPr>
                    <w:pStyle w:val="55"/>
                    <w:rPr>
                      <w:color w:val="auto"/>
                    </w:rPr>
                  </w:pPr>
                  <w:r>
                    <w:rPr>
                      <w:rFonts w:hint="eastAsia"/>
                      <w:color w:val="auto"/>
                    </w:rPr>
                    <w:t>达标</w:t>
                  </w:r>
                </w:p>
              </w:tc>
            </w:tr>
            <w:tr w14:paraId="470AE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55" w:type="pct"/>
                  <w:vAlign w:val="center"/>
                </w:tcPr>
                <w:p w14:paraId="673438ED">
                  <w:pPr>
                    <w:pStyle w:val="55"/>
                    <w:rPr>
                      <w:color w:val="auto"/>
                    </w:rPr>
                  </w:pPr>
                  <w:r>
                    <w:rPr>
                      <w:rFonts w:hint="eastAsia"/>
                      <w:color w:val="auto"/>
                    </w:rPr>
                    <w:t>PM</w:t>
                  </w:r>
                  <w:r>
                    <w:rPr>
                      <w:rFonts w:hint="eastAsia"/>
                      <w:color w:val="auto"/>
                      <w:vertAlign w:val="subscript"/>
                    </w:rPr>
                    <w:t>2.5</w:t>
                  </w:r>
                </w:p>
              </w:tc>
              <w:tc>
                <w:tcPr>
                  <w:tcW w:w="2046" w:type="pct"/>
                  <w:vAlign w:val="center"/>
                </w:tcPr>
                <w:p w14:paraId="5978D21C">
                  <w:pPr>
                    <w:pStyle w:val="55"/>
                    <w:rPr>
                      <w:color w:val="auto"/>
                    </w:rPr>
                  </w:pPr>
                  <w:r>
                    <w:rPr>
                      <w:rFonts w:hint="eastAsia"/>
                      <w:color w:val="auto"/>
                    </w:rPr>
                    <w:t>年均值</w:t>
                  </w:r>
                </w:p>
              </w:tc>
              <w:tc>
                <w:tcPr>
                  <w:tcW w:w="664" w:type="pct"/>
                  <w:vAlign w:val="center"/>
                </w:tcPr>
                <w:p w14:paraId="0B21593D">
                  <w:pPr>
                    <w:pStyle w:val="55"/>
                    <w:rPr>
                      <w:color w:val="auto"/>
                    </w:rPr>
                  </w:pPr>
                  <w:r>
                    <w:rPr>
                      <w:rFonts w:hint="eastAsia"/>
                      <w:color w:val="auto"/>
                    </w:rPr>
                    <w:t>38.7</w:t>
                  </w:r>
                </w:p>
              </w:tc>
              <w:tc>
                <w:tcPr>
                  <w:tcW w:w="666" w:type="pct"/>
                  <w:vAlign w:val="center"/>
                </w:tcPr>
                <w:p w14:paraId="19691D34">
                  <w:pPr>
                    <w:pStyle w:val="55"/>
                    <w:rPr>
                      <w:color w:val="auto"/>
                    </w:rPr>
                  </w:pPr>
                  <w:r>
                    <w:rPr>
                      <w:rFonts w:hint="eastAsia"/>
                      <w:color w:val="auto"/>
                    </w:rPr>
                    <w:t>35</w:t>
                  </w:r>
                </w:p>
              </w:tc>
              <w:tc>
                <w:tcPr>
                  <w:tcW w:w="498" w:type="pct"/>
                  <w:vAlign w:val="center"/>
                </w:tcPr>
                <w:p w14:paraId="70921586">
                  <w:pPr>
                    <w:pStyle w:val="55"/>
                    <w:rPr>
                      <w:color w:val="auto"/>
                    </w:rPr>
                  </w:pPr>
                  <w:r>
                    <w:rPr>
                      <w:rFonts w:hint="eastAsia"/>
                      <w:color w:val="auto"/>
                    </w:rPr>
                    <w:t>110.57</w:t>
                  </w:r>
                </w:p>
              </w:tc>
              <w:tc>
                <w:tcPr>
                  <w:tcW w:w="668" w:type="pct"/>
                  <w:vAlign w:val="center"/>
                </w:tcPr>
                <w:p w14:paraId="2F50BA61">
                  <w:pPr>
                    <w:pStyle w:val="55"/>
                    <w:rPr>
                      <w:color w:val="auto"/>
                    </w:rPr>
                  </w:pPr>
                  <w:r>
                    <w:rPr>
                      <w:rFonts w:hint="eastAsia"/>
                      <w:color w:val="auto"/>
                    </w:rPr>
                    <w:t>不达标</w:t>
                  </w:r>
                </w:p>
              </w:tc>
            </w:tr>
          </w:tbl>
          <w:p w14:paraId="089CE6A2">
            <w:pPr>
              <w:pStyle w:val="51"/>
              <w:rPr>
                <w:b/>
                <w:color w:val="auto"/>
              </w:rPr>
            </w:pPr>
            <w:r>
              <w:rPr>
                <w:rFonts w:hint="eastAsia"/>
                <w:color w:val="auto"/>
              </w:rPr>
              <w:t>综上，2023年淮南市二氧化硫（SO</w:t>
            </w:r>
            <w:r>
              <w:rPr>
                <w:rFonts w:hint="eastAsia"/>
                <w:color w:val="auto"/>
                <w:vertAlign w:val="subscript"/>
              </w:rPr>
              <w:t>2</w:t>
            </w:r>
            <w:r>
              <w:rPr>
                <w:rFonts w:hint="eastAsia"/>
                <w:color w:val="auto"/>
              </w:rPr>
              <w:t>）、二氧化氮（NO</w:t>
            </w:r>
            <w:r>
              <w:rPr>
                <w:rFonts w:hint="eastAsia"/>
                <w:color w:val="auto"/>
                <w:vertAlign w:val="subscript"/>
              </w:rPr>
              <w:t>2</w:t>
            </w:r>
            <w:r>
              <w:rPr>
                <w:rFonts w:hint="eastAsia"/>
                <w:color w:val="auto"/>
              </w:rPr>
              <w:t>）、一氧化碳（CO）、可吸入颗粒物（PM</w:t>
            </w:r>
            <w:r>
              <w:rPr>
                <w:rFonts w:hint="eastAsia"/>
                <w:color w:val="auto"/>
                <w:vertAlign w:val="subscript"/>
              </w:rPr>
              <w:t>10</w:t>
            </w:r>
            <w:r>
              <w:rPr>
                <w:rFonts w:hint="eastAsia"/>
                <w:color w:val="auto"/>
              </w:rPr>
              <w:t>年均浓度）、臭氧（O</w:t>
            </w:r>
            <w:r>
              <w:rPr>
                <w:rFonts w:hint="eastAsia"/>
                <w:color w:val="auto"/>
                <w:vertAlign w:val="subscript"/>
              </w:rPr>
              <w:t>3</w:t>
            </w:r>
            <w:r>
              <w:rPr>
                <w:rFonts w:hint="eastAsia"/>
                <w:color w:val="auto"/>
              </w:rPr>
              <w:t>）年均浓度均符合《环境空气质量标准》（GB3095-2012）二级标准，细颗粒物（PM</w:t>
            </w:r>
            <w:r>
              <w:rPr>
                <w:rFonts w:hint="eastAsia"/>
                <w:color w:val="auto"/>
                <w:vertAlign w:val="subscript"/>
              </w:rPr>
              <w:t>2.5</w:t>
            </w:r>
            <w:r>
              <w:rPr>
                <w:rFonts w:hint="eastAsia"/>
                <w:color w:val="auto"/>
              </w:rPr>
              <w:t>）年均浓度超过《环境空气质量标准》（GB3095-2012）二级标准，因此，项目所在评价区域为不达标区。</w:t>
            </w:r>
          </w:p>
          <w:p w14:paraId="06488F13">
            <w:pPr>
              <w:pStyle w:val="48"/>
              <w:rPr>
                <w:color w:val="auto"/>
              </w:rPr>
            </w:pPr>
            <w:r>
              <w:rPr>
                <w:rFonts w:hint="eastAsia"/>
                <w:color w:val="auto"/>
              </w:rPr>
              <w:t>（六）声环境</w:t>
            </w:r>
          </w:p>
          <w:p w14:paraId="28A5848D">
            <w:pPr>
              <w:pStyle w:val="51"/>
              <w:rPr>
                <w:color w:val="auto"/>
              </w:rPr>
            </w:pPr>
            <w:r>
              <w:rPr>
                <w:rFonts w:hint="eastAsia"/>
                <w:color w:val="auto"/>
              </w:rPr>
              <w:t>为了解项目区域声环境现状，我公司委托合肥鑫鼎环保科技</w:t>
            </w:r>
            <w:r>
              <w:rPr>
                <w:color w:val="auto"/>
              </w:rPr>
              <w:t>有限责任公司</w:t>
            </w:r>
            <w:r>
              <w:rPr>
                <w:rFonts w:hint="eastAsia"/>
                <w:color w:val="auto"/>
              </w:rPr>
              <w:t>于2025年1月20日对本次升压站及输电线路进行了声环境现状监测。监测单位合肥鑫鼎环保科技</w:t>
            </w:r>
            <w:r>
              <w:rPr>
                <w:color w:val="auto"/>
              </w:rPr>
              <w:t>有限责任公司</w:t>
            </w:r>
            <w:r>
              <w:rPr>
                <w:rFonts w:hint="eastAsia"/>
                <w:color w:val="auto"/>
              </w:rPr>
              <w:t>已通过CMA计量认证，证书编号：211212050683，具备相应的检测资质和检测能力，为确保检测报告的公正性、科学性和权威性，制定了相关的质量控制措施。</w:t>
            </w:r>
          </w:p>
          <w:p w14:paraId="70DAD4FC">
            <w:pPr>
              <w:pStyle w:val="51"/>
              <w:rPr>
                <w:color w:val="auto"/>
              </w:rPr>
            </w:pPr>
            <w:r>
              <w:rPr>
                <w:rFonts w:hint="eastAsia"/>
                <w:color w:val="auto"/>
              </w:rPr>
              <w:t>①监测布点与监测项目</w:t>
            </w:r>
          </w:p>
          <w:p w14:paraId="1629B77E">
            <w:pPr>
              <w:pStyle w:val="51"/>
              <w:rPr>
                <w:color w:val="auto"/>
              </w:rPr>
            </w:pPr>
            <w:r>
              <w:rPr>
                <w:rFonts w:hint="eastAsia"/>
                <w:color w:val="auto"/>
              </w:rPr>
              <w:t>监测因子：等效连续A声级。</w:t>
            </w:r>
          </w:p>
          <w:p w14:paraId="59711EA2">
            <w:pPr>
              <w:pStyle w:val="51"/>
              <w:rPr>
                <w:color w:val="auto"/>
              </w:rPr>
            </w:pPr>
            <w:r>
              <w:rPr>
                <w:rFonts w:hint="eastAsia"/>
                <w:color w:val="auto"/>
              </w:rPr>
              <w:t>监测频次：昼间（6：00~22：00）和夜间（22：00~次日6：00）各监测1次。</w:t>
            </w:r>
          </w:p>
          <w:p w14:paraId="63B12017">
            <w:pPr>
              <w:pStyle w:val="51"/>
              <w:rPr>
                <w:color w:val="auto"/>
              </w:rPr>
            </w:pPr>
            <w:r>
              <w:rPr>
                <w:rFonts w:hint="eastAsia"/>
                <w:color w:val="auto"/>
              </w:rPr>
              <w:t>监测布点原则：现状测点应布设在可能同时受到既有声源和建设项目声源影响的声环境保护目标处，以及有代表性的声环境保护目标处。</w:t>
            </w:r>
          </w:p>
          <w:p w14:paraId="1D28FA22">
            <w:pPr>
              <w:pStyle w:val="51"/>
              <w:rPr>
                <w:color w:val="auto"/>
              </w:rPr>
            </w:pPr>
            <w:r>
              <w:rPr>
                <w:rFonts w:hint="eastAsia"/>
                <w:color w:val="auto"/>
              </w:rPr>
              <w:t>项目声环境监测点位的代表性：本项目声环境保护目标涉及勇敢村、中郢村、桂集村、西龚村4个行政村，设置17个声环境监测点位，本项目声环境监测点位布设在距离输电线路较近的声环境保护目标处，具有代表性，监测点位图见附图8。</w:t>
            </w:r>
          </w:p>
          <w:p w14:paraId="4810B3C8">
            <w:pPr>
              <w:pStyle w:val="51"/>
              <w:rPr>
                <w:color w:val="auto"/>
              </w:rPr>
            </w:pPr>
            <w:r>
              <w:rPr>
                <w:rFonts w:hint="eastAsia"/>
                <w:color w:val="auto"/>
              </w:rPr>
              <w:t>②监测方法</w:t>
            </w:r>
          </w:p>
          <w:p w14:paraId="43CDD9CC">
            <w:pPr>
              <w:pStyle w:val="51"/>
              <w:rPr>
                <w:color w:val="auto"/>
              </w:rPr>
            </w:pPr>
            <w:r>
              <w:rPr>
                <w:rFonts w:hint="eastAsia"/>
                <w:color w:val="auto"/>
              </w:rPr>
              <w:t>《声环境质量标准》（GB3096-2008）。</w:t>
            </w:r>
          </w:p>
          <w:p w14:paraId="4B292E4A">
            <w:pPr>
              <w:pStyle w:val="51"/>
              <w:rPr>
                <w:color w:val="auto"/>
              </w:rPr>
            </w:pPr>
            <w:r>
              <w:rPr>
                <w:rFonts w:hint="eastAsia"/>
                <w:color w:val="auto"/>
              </w:rPr>
              <w:t>③</w:t>
            </w:r>
            <w:r>
              <w:rPr>
                <w:color w:val="auto"/>
              </w:rPr>
              <w:t>监测时间、监测天气和监测仪器</w:t>
            </w:r>
          </w:p>
          <w:p w14:paraId="05E1BC28">
            <w:pPr>
              <w:pStyle w:val="53"/>
              <w:rPr>
                <w:color w:val="auto"/>
              </w:rPr>
            </w:pPr>
            <w:r>
              <w:rPr>
                <w:color w:val="auto"/>
              </w:rPr>
              <w:t>表3-</w:t>
            </w:r>
            <w:r>
              <w:rPr>
                <w:rFonts w:hint="eastAsia"/>
                <w:color w:val="auto"/>
              </w:rPr>
              <w:t>5</w:t>
            </w:r>
            <w:r>
              <w:rPr>
                <w:color w:val="auto"/>
              </w:rPr>
              <w:t xml:space="preserve">  本工程现状检测条件</w:t>
            </w:r>
          </w:p>
          <w:tbl>
            <w:tblPr>
              <w:tblStyle w:val="26"/>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0"/>
              <w:gridCol w:w="1133"/>
              <w:gridCol w:w="1974"/>
              <w:gridCol w:w="1974"/>
              <w:gridCol w:w="1974"/>
            </w:tblGrid>
            <w:tr w14:paraId="219E4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4" w:type="pct"/>
                  <w:vAlign w:val="center"/>
                </w:tcPr>
                <w:p w14:paraId="3FFBF3E4">
                  <w:pPr>
                    <w:pStyle w:val="55"/>
                    <w:rPr>
                      <w:color w:val="auto"/>
                    </w:rPr>
                  </w:pPr>
                  <w:r>
                    <w:rPr>
                      <w:rFonts w:hint="eastAsia"/>
                      <w:color w:val="auto"/>
                    </w:rPr>
                    <w:t>日期</w:t>
                  </w:r>
                </w:p>
              </w:tc>
              <w:tc>
                <w:tcPr>
                  <w:tcW w:w="706" w:type="pct"/>
                  <w:vAlign w:val="center"/>
                </w:tcPr>
                <w:p w14:paraId="3FC855DC">
                  <w:pPr>
                    <w:pStyle w:val="55"/>
                    <w:rPr>
                      <w:color w:val="auto"/>
                    </w:rPr>
                  </w:pPr>
                  <w:r>
                    <w:rPr>
                      <w:rFonts w:hint="eastAsia"/>
                      <w:color w:val="auto"/>
                    </w:rPr>
                    <w:t>天气</w:t>
                  </w:r>
                </w:p>
              </w:tc>
              <w:tc>
                <w:tcPr>
                  <w:tcW w:w="1229" w:type="pct"/>
                  <w:vAlign w:val="center"/>
                </w:tcPr>
                <w:p w14:paraId="03929F35">
                  <w:pPr>
                    <w:pStyle w:val="55"/>
                    <w:rPr>
                      <w:color w:val="auto"/>
                    </w:rPr>
                  </w:pPr>
                  <w:r>
                    <w:rPr>
                      <w:rFonts w:hint="eastAsia"/>
                      <w:color w:val="auto"/>
                    </w:rPr>
                    <w:t>环境温度（℃）</w:t>
                  </w:r>
                </w:p>
              </w:tc>
              <w:tc>
                <w:tcPr>
                  <w:tcW w:w="1229" w:type="pct"/>
                  <w:vAlign w:val="center"/>
                </w:tcPr>
                <w:p w14:paraId="2AF27644">
                  <w:pPr>
                    <w:pStyle w:val="55"/>
                    <w:rPr>
                      <w:color w:val="auto"/>
                    </w:rPr>
                  </w:pPr>
                  <w:r>
                    <w:rPr>
                      <w:rFonts w:hint="eastAsia"/>
                      <w:color w:val="auto"/>
                    </w:rPr>
                    <w:t>环境湿度（%）</w:t>
                  </w:r>
                </w:p>
              </w:tc>
              <w:tc>
                <w:tcPr>
                  <w:tcW w:w="1229" w:type="pct"/>
                  <w:vAlign w:val="center"/>
                </w:tcPr>
                <w:p w14:paraId="32AFE984">
                  <w:pPr>
                    <w:pStyle w:val="55"/>
                    <w:rPr>
                      <w:color w:val="auto"/>
                    </w:rPr>
                  </w:pPr>
                  <w:r>
                    <w:rPr>
                      <w:color w:val="auto"/>
                    </w:rPr>
                    <w:t>风速(m/s)</w:t>
                  </w:r>
                </w:p>
              </w:tc>
            </w:tr>
            <w:tr w14:paraId="7B8E8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4" w:type="pct"/>
                  <w:vAlign w:val="center"/>
                </w:tcPr>
                <w:p w14:paraId="50E92197">
                  <w:pPr>
                    <w:pStyle w:val="55"/>
                    <w:rPr>
                      <w:color w:val="auto"/>
                    </w:rPr>
                  </w:pPr>
                  <w:r>
                    <w:rPr>
                      <w:rFonts w:hint="eastAsia"/>
                      <w:color w:val="auto"/>
                    </w:rPr>
                    <w:t>2025.1.20</w:t>
                  </w:r>
                </w:p>
              </w:tc>
              <w:tc>
                <w:tcPr>
                  <w:tcW w:w="706" w:type="pct"/>
                  <w:vAlign w:val="center"/>
                </w:tcPr>
                <w:p w14:paraId="1ABA70F4">
                  <w:pPr>
                    <w:pStyle w:val="55"/>
                    <w:rPr>
                      <w:color w:val="auto"/>
                    </w:rPr>
                  </w:pPr>
                  <w:r>
                    <w:rPr>
                      <w:rFonts w:hint="eastAsia"/>
                      <w:color w:val="auto"/>
                    </w:rPr>
                    <w:t>昼间：晴</w:t>
                  </w:r>
                </w:p>
                <w:p w14:paraId="7D8C04F9">
                  <w:pPr>
                    <w:pStyle w:val="55"/>
                    <w:rPr>
                      <w:color w:val="auto"/>
                    </w:rPr>
                  </w:pPr>
                  <w:r>
                    <w:rPr>
                      <w:rFonts w:hint="eastAsia"/>
                      <w:color w:val="auto"/>
                    </w:rPr>
                    <w:t>夜间：晴</w:t>
                  </w:r>
                </w:p>
              </w:tc>
              <w:tc>
                <w:tcPr>
                  <w:tcW w:w="1229" w:type="pct"/>
                  <w:vAlign w:val="center"/>
                </w:tcPr>
                <w:p w14:paraId="7FA7B778">
                  <w:pPr>
                    <w:pStyle w:val="55"/>
                    <w:rPr>
                      <w:color w:val="auto"/>
                    </w:rPr>
                  </w:pPr>
                  <w:r>
                    <w:rPr>
                      <w:rFonts w:hint="eastAsia"/>
                      <w:color w:val="auto"/>
                    </w:rPr>
                    <w:t>昼间：9~14</w:t>
                  </w:r>
                </w:p>
                <w:p w14:paraId="60366FE7">
                  <w:pPr>
                    <w:pStyle w:val="55"/>
                    <w:rPr>
                      <w:color w:val="auto"/>
                    </w:rPr>
                  </w:pPr>
                  <w:r>
                    <w:rPr>
                      <w:rFonts w:hint="eastAsia"/>
                      <w:color w:val="auto"/>
                    </w:rPr>
                    <w:t>夜间：2~3</w:t>
                  </w:r>
                </w:p>
              </w:tc>
              <w:tc>
                <w:tcPr>
                  <w:tcW w:w="1229" w:type="pct"/>
                  <w:vAlign w:val="center"/>
                </w:tcPr>
                <w:p w14:paraId="236FCDC2">
                  <w:pPr>
                    <w:pStyle w:val="55"/>
                    <w:rPr>
                      <w:color w:val="auto"/>
                    </w:rPr>
                  </w:pPr>
                  <w:r>
                    <w:rPr>
                      <w:rFonts w:hint="eastAsia"/>
                      <w:color w:val="auto"/>
                    </w:rPr>
                    <w:t>昼间：31~40</w:t>
                  </w:r>
                </w:p>
                <w:p w14:paraId="133540FA">
                  <w:pPr>
                    <w:pStyle w:val="55"/>
                    <w:rPr>
                      <w:color w:val="auto"/>
                    </w:rPr>
                  </w:pPr>
                  <w:r>
                    <w:rPr>
                      <w:rFonts w:hint="eastAsia"/>
                      <w:color w:val="auto"/>
                    </w:rPr>
                    <w:t>夜间：68~73</w:t>
                  </w:r>
                </w:p>
              </w:tc>
              <w:tc>
                <w:tcPr>
                  <w:tcW w:w="1229" w:type="pct"/>
                  <w:vAlign w:val="center"/>
                </w:tcPr>
                <w:p w14:paraId="7D0A84D1">
                  <w:pPr>
                    <w:pStyle w:val="55"/>
                    <w:rPr>
                      <w:color w:val="auto"/>
                    </w:rPr>
                  </w:pPr>
                  <w:r>
                    <w:rPr>
                      <w:rFonts w:hint="eastAsia"/>
                      <w:color w:val="auto"/>
                    </w:rPr>
                    <w:t>昼间：1.0~1.5</w:t>
                  </w:r>
                </w:p>
                <w:p w14:paraId="17964981">
                  <w:pPr>
                    <w:pStyle w:val="55"/>
                    <w:rPr>
                      <w:color w:val="auto"/>
                    </w:rPr>
                  </w:pPr>
                  <w:r>
                    <w:rPr>
                      <w:rFonts w:hint="eastAsia"/>
                      <w:color w:val="auto"/>
                    </w:rPr>
                    <w:t>夜间：0.5~1.0</w:t>
                  </w:r>
                </w:p>
              </w:tc>
            </w:tr>
          </w:tbl>
          <w:p w14:paraId="269796DE">
            <w:pPr>
              <w:pStyle w:val="53"/>
              <w:rPr>
                <w:color w:val="auto"/>
              </w:rPr>
            </w:pPr>
            <w:r>
              <w:rPr>
                <w:rFonts w:hint="eastAsia"/>
                <w:color w:val="auto"/>
              </w:rPr>
              <w:t>表3-6  监测仪器一览表</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6"/>
              <w:gridCol w:w="1146"/>
              <w:gridCol w:w="1874"/>
              <w:gridCol w:w="1154"/>
              <w:gridCol w:w="1419"/>
              <w:gridCol w:w="1215"/>
            </w:tblGrid>
            <w:tr w14:paraId="36990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71" w:type="pct"/>
                  <w:gridSpan w:val="2"/>
                  <w:vAlign w:val="center"/>
                </w:tcPr>
                <w:p w14:paraId="20837B85">
                  <w:pPr>
                    <w:pStyle w:val="55"/>
                    <w:rPr>
                      <w:color w:val="auto"/>
                    </w:rPr>
                  </w:pPr>
                  <w:r>
                    <w:rPr>
                      <w:rFonts w:hint="eastAsia"/>
                      <w:color w:val="auto"/>
                    </w:rPr>
                    <w:t>仪器名称及编号</w:t>
                  </w:r>
                </w:p>
              </w:tc>
              <w:tc>
                <w:tcPr>
                  <w:tcW w:w="1168" w:type="pct"/>
                  <w:vAlign w:val="center"/>
                </w:tcPr>
                <w:p w14:paraId="6F2671FC">
                  <w:pPr>
                    <w:pStyle w:val="55"/>
                    <w:rPr>
                      <w:color w:val="auto"/>
                    </w:rPr>
                  </w:pPr>
                  <w:r>
                    <w:rPr>
                      <w:rFonts w:hint="eastAsia"/>
                      <w:color w:val="auto"/>
                    </w:rPr>
                    <w:t>技术指标</w:t>
                  </w:r>
                </w:p>
              </w:tc>
              <w:tc>
                <w:tcPr>
                  <w:tcW w:w="719" w:type="pct"/>
                  <w:vAlign w:val="center"/>
                </w:tcPr>
                <w:p w14:paraId="30EFB421">
                  <w:pPr>
                    <w:pStyle w:val="55"/>
                    <w:rPr>
                      <w:color w:val="auto"/>
                    </w:rPr>
                  </w:pPr>
                  <w:r>
                    <w:rPr>
                      <w:rFonts w:hint="eastAsia"/>
                      <w:color w:val="auto"/>
                    </w:rPr>
                    <w:t>检定单位</w:t>
                  </w:r>
                </w:p>
              </w:tc>
              <w:tc>
                <w:tcPr>
                  <w:tcW w:w="884" w:type="pct"/>
                  <w:vAlign w:val="center"/>
                </w:tcPr>
                <w:p w14:paraId="76DE18E5">
                  <w:pPr>
                    <w:pStyle w:val="55"/>
                    <w:rPr>
                      <w:color w:val="auto"/>
                    </w:rPr>
                  </w:pPr>
                  <w:r>
                    <w:rPr>
                      <w:rFonts w:hint="eastAsia"/>
                      <w:color w:val="auto"/>
                    </w:rPr>
                    <w:t>证书编号</w:t>
                  </w:r>
                </w:p>
              </w:tc>
              <w:tc>
                <w:tcPr>
                  <w:tcW w:w="757" w:type="pct"/>
                  <w:vAlign w:val="center"/>
                </w:tcPr>
                <w:p w14:paraId="416E1143">
                  <w:pPr>
                    <w:pStyle w:val="55"/>
                    <w:rPr>
                      <w:color w:val="auto"/>
                    </w:rPr>
                  </w:pPr>
                  <w:r>
                    <w:rPr>
                      <w:rFonts w:hint="eastAsia"/>
                      <w:color w:val="auto"/>
                    </w:rPr>
                    <w:t>检定/校准</w:t>
                  </w:r>
                  <w:r>
                    <w:rPr>
                      <w:color w:val="auto"/>
                    </w:rPr>
                    <w:t>有效期</w:t>
                  </w:r>
                </w:p>
              </w:tc>
            </w:tr>
            <w:tr w14:paraId="78379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57" w:type="pct"/>
                  <w:vAlign w:val="center"/>
                </w:tcPr>
                <w:p w14:paraId="2865ECB2">
                  <w:pPr>
                    <w:pStyle w:val="55"/>
                    <w:rPr>
                      <w:color w:val="auto"/>
                    </w:rPr>
                  </w:pPr>
                  <w:r>
                    <w:rPr>
                      <w:rFonts w:hint="eastAsia"/>
                      <w:color w:val="auto"/>
                    </w:rPr>
                    <w:t>AWA5688</w:t>
                  </w:r>
                </w:p>
                <w:p w14:paraId="693637DC">
                  <w:pPr>
                    <w:pStyle w:val="55"/>
                    <w:rPr>
                      <w:color w:val="auto"/>
                    </w:rPr>
                  </w:pPr>
                  <w:r>
                    <w:rPr>
                      <w:rFonts w:hint="eastAsia"/>
                      <w:color w:val="auto"/>
                    </w:rPr>
                    <w:t>多功能声级计/AWA6022A型声校准器</w:t>
                  </w:r>
                </w:p>
              </w:tc>
              <w:tc>
                <w:tcPr>
                  <w:tcW w:w="713" w:type="pct"/>
                  <w:vAlign w:val="center"/>
                </w:tcPr>
                <w:p w14:paraId="6009F2E6">
                  <w:pPr>
                    <w:pStyle w:val="55"/>
                    <w:rPr>
                      <w:color w:val="auto"/>
                    </w:rPr>
                  </w:pPr>
                  <w:r>
                    <w:rPr>
                      <w:rFonts w:hint="eastAsia"/>
                      <w:color w:val="auto"/>
                    </w:rPr>
                    <w:t>10350639/2028561</w:t>
                  </w:r>
                </w:p>
              </w:tc>
              <w:tc>
                <w:tcPr>
                  <w:tcW w:w="1168" w:type="pct"/>
                  <w:vAlign w:val="center"/>
                </w:tcPr>
                <w:p w14:paraId="78B844AF">
                  <w:pPr>
                    <w:pStyle w:val="55"/>
                    <w:rPr>
                      <w:color w:val="auto"/>
                    </w:rPr>
                  </w:pPr>
                  <w:r>
                    <w:rPr>
                      <w:rFonts w:hint="eastAsia"/>
                      <w:color w:val="auto"/>
                    </w:rPr>
                    <w:t>量程范围28dB（A）~133dB（A）；频率范围20Hz～12.5kHz；标准声压级：94dB；频率范围：1000Hz</w:t>
                  </w:r>
                </w:p>
              </w:tc>
              <w:tc>
                <w:tcPr>
                  <w:tcW w:w="719" w:type="pct"/>
                  <w:vAlign w:val="center"/>
                </w:tcPr>
                <w:p w14:paraId="502FD354">
                  <w:pPr>
                    <w:pStyle w:val="55"/>
                    <w:rPr>
                      <w:color w:val="auto"/>
                    </w:rPr>
                  </w:pPr>
                  <w:r>
                    <w:rPr>
                      <w:rFonts w:hint="eastAsia"/>
                      <w:color w:val="auto"/>
                    </w:rPr>
                    <w:t>安徽省计量科学研究院</w:t>
                  </w:r>
                </w:p>
              </w:tc>
              <w:tc>
                <w:tcPr>
                  <w:tcW w:w="884" w:type="pct"/>
                  <w:vAlign w:val="center"/>
                </w:tcPr>
                <w:p w14:paraId="55CB0AC4">
                  <w:pPr>
                    <w:pStyle w:val="55"/>
                    <w:rPr>
                      <w:color w:val="auto"/>
                    </w:rPr>
                  </w:pPr>
                  <w:r>
                    <w:rPr>
                      <w:rFonts w:hint="eastAsia"/>
                      <w:color w:val="auto"/>
                    </w:rPr>
                    <w:t>LX2025B-011654/LX2025B-011653</w:t>
                  </w:r>
                </w:p>
              </w:tc>
              <w:tc>
                <w:tcPr>
                  <w:tcW w:w="757" w:type="pct"/>
                  <w:vAlign w:val="center"/>
                </w:tcPr>
                <w:p w14:paraId="6968E574">
                  <w:pPr>
                    <w:pStyle w:val="55"/>
                    <w:rPr>
                      <w:color w:val="auto"/>
                    </w:rPr>
                  </w:pPr>
                  <w:r>
                    <w:rPr>
                      <w:rFonts w:hint="eastAsia"/>
                      <w:color w:val="auto"/>
                    </w:rPr>
                    <w:t>2025.11.17</w:t>
                  </w:r>
                </w:p>
              </w:tc>
            </w:tr>
          </w:tbl>
          <w:p w14:paraId="07502651">
            <w:pPr>
              <w:pStyle w:val="51"/>
              <w:rPr>
                <w:color w:val="auto"/>
              </w:rPr>
            </w:pPr>
            <w:r>
              <w:rPr>
                <w:rFonts w:hint="eastAsia"/>
                <w:color w:val="auto"/>
              </w:rPr>
              <w:t>④</w:t>
            </w:r>
            <w:r>
              <w:rPr>
                <w:color w:val="auto"/>
              </w:rPr>
              <w:t>现状监测结果统计分析</w:t>
            </w:r>
          </w:p>
          <w:p w14:paraId="28DAA700">
            <w:pPr>
              <w:pStyle w:val="51"/>
              <w:rPr>
                <w:color w:val="auto"/>
              </w:rPr>
            </w:pPr>
            <w:r>
              <w:rPr>
                <w:color w:val="auto"/>
              </w:rPr>
              <w:t>本项目噪声现状数据委托合肥鑫鼎环保科技有限责任公司监测，监测时间为</w:t>
            </w:r>
            <w:r>
              <w:rPr>
                <w:rFonts w:hint="eastAsia"/>
                <w:color w:val="auto"/>
              </w:rPr>
              <w:t>2025年1月20日</w:t>
            </w:r>
            <w:r>
              <w:rPr>
                <w:color w:val="auto"/>
              </w:rPr>
              <w:t>，声环境质量现状监测结果统计分析见表3-</w:t>
            </w:r>
            <w:r>
              <w:rPr>
                <w:rFonts w:hint="eastAsia"/>
                <w:color w:val="auto"/>
              </w:rPr>
              <w:t>7</w:t>
            </w:r>
            <w:r>
              <w:rPr>
                <w:color w:val="auto"/>
              </w:rPr>
              <w:t>。</w:t>
            </w:r>
          </w:p>
          <w:p w14:paraId="67457FF7">
            <w:pPr>
              <w:pStyle w:val="53"/>
              <w:rPr>
                <w:color w:val="auto"/>
              </w:rPr>
            </w:pPr>
            <w:r>
              <w:rPr>
                <w:color w:val="auto"/>
              </w:rPr>
              <w:t>表3-</w:t>
            </w:r>
            <w:r>
              <w:rPr>
                <w:rFonts w:hint="eastAsia"/>
                <w:color w:val="auto"/>
              </w:rPr>
              <w:t xml:space="preserve">7 </w:t>
            </w:r>
            <w:r>
              <w:rPr>
                <w:color w:val="auto"/>
              </w:rPr>
              <w:t xml:space="preserve"> 声环境现状监测结果一览表</w:t>
            </w:r>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3516"/>
              <w:gridCol w:w="1122"/>
              <w:gridCol w:w="1257"/>
              <w:gridCol w:w="1481"/>
            </w:tblGrid>
            <w:tr w14:paraId="0570D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04" w:type="pct"/>
                  <w:vMerge w:val="restart"/>
                  <w:vAlign w:val="center"/>
                </w:tcPr>
                <w:p w14:paraId="704B262E">
                  <w:pPr>
                    <w:pStyle w:val="55"/>
                    <w:rPr>
                      <w:color w:val="auto"/>
                    </w:rPr>
                  </w:pPr>
                  <w:r>
                    <w:rPr>
                      <w:color w:val="auto"/>
                    </w:rPr>
                    <w:t>测点编号</w:t>
                  </w:r>
                </w:p>
              </w:tc>
              <w:tc>
                <w:tcPr>
                  <w:tcW w:w="2191" w:type="pct"/>
                  <w:vMerge w:val="restart"/>
                  <w:vAlign w:val="center"/>
                </w:tcPr>
                <w:p w14:paraId="0E04B1CB">
                  <w:pPr>
                    <w:pStyle w:val="55"/>
                    <w:rPr>
                      <w:color w:val="auto"/>
                    </w:rPr>
                  </w:pPr>
                  <w:r>
                    <w:rPr>
                      <w:color w:val="auto"/>
                    </w:rPr>
                    <w:t>测点位置</w:t>
                  </w:r>
                </w:p>
              </w:tc>
              <w:tc>
                <w:tcPr>
                  <w:tcW w:w="1482" w:type="pct"/>
                  <w:gridSpan w:val="2"/>
                  <w:vAlign w:val="center"/>
                </w:tcPr>
                <w:p w14:paraId="65256E9E">
                  <w:pPr>
                    <w:pStyle w:val="55"/>
                    <w:rPr>
                      <w:color w:val="auto"/>
                    </w:rPr>
                  </w:pPr>
                  <w:r>
                    <w:rPr>
                      <w:rFonts w:hint="eastAsia"/>
                      <w:color w:val="auto"/>
                    </w:rPr>
                    <w:t>2025年1月20日</w:t>
                  </w:r>
                </w:p>
              </w:tc>
              <w:tc>
                <w:tcPr>
                  <w:tcW w:w="921" w:type="pct"/>
                  <w:vMerge w:val="restart"/>
                  <w:vAlign w:val="center"/>
                </w:tcPr>
                <w:p w14:paraId="6811943D">
                  <w:pPr>
                    <w:pStyle w:val="55"/>
                    <w:rPr>
                      <w:color w:val="auto"/>
                    </w:rPr>
                  </w:pPr>
                  <w:r>
                    <w:rPr>
                      <w:rFonts w:hint="eastAsia"/>
                      <w:color w:val="auto"/>
                    </w:rPr>
                    <w:t>执行标准</w:t>
                  </w:r>
                </w:p>
              </w:tc>
            </w:tr>
            <w:tr w14:paraId="3051A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04" w:type="pct"/>
                  <w:vMerge w:val="continue"/>
                  <w:vAlign w:val="center"/>
                </w:tcPr>
                <w:p w14:paraId="54F9E733">
                  <w:pPr>
                    <w:pStyle w:val="55"/>
                    <w:rPr>
                      <w:color w:val="auto"/>
                    </w:rPr>
                  </w:pPr>
                </w:p>
              </w:tc>
              <w:tc>
                <w:tcPr>
                  <w:tcW w:w="2191" w:type="pct"/>
                  <w:vMerge w:val="continue"/>
                  <w:vAlign w:val="center"/>
                </w:tcPr>
                <w:p w14:paraId="1227840B">
                  <w:pPr>
                    <w:pStyle w:val="55"/>
                    <w:rPr>
                      <w:color w:val="auto"/>
                    </w:rPr>
                  </w:pPr>
                </w:p>
              </w:tc>
              <w:tc>
                <w:tcPr>
                  <w:tcW w:w="699" w:type="pct"/>
                  <w:vAlign w:val="center"/>
                </w:tcPr>
                <w:p w14:paraId="11015EC9">
                  <w:pPr>
                    <w:pStyle w:val="55"/>
                    <w:rPr>
                      <w:color w:val="auto"/>
                    </w:rPr>
                  </w:pPr>
                  <w:r>
                    <w:rPr>
                      <w:color w:val="auto"/>
                    </w:rPr>
                    <w:t>昼间</w:t>
                  </w:r>
                </w:p>
              </w:tc>
              <w:tc>
                <w:tcPr>
                  <w:tcW w:w="783" w:type="pct"/>
                  <w:vAlign w:val="center"/>
                </w:tcPr>
                <w:p w14:paraId="7C9DEEC0">
                  <w:pPr>
                    <w:pStyle w:val="55"/>
                    <w:rPr>
                      <w:color w:val="auto"/>
                    </w:rPr>
                  </w:pPr>
                  <w:r>
                    <w:rPr>
                      <w:color w:val="auto"/>
                    </w:rPr>
                    <w:t>夜间</w:t>
                  </w:r>
                </w:p>
              </w:tc>
              <w:tc>
                <w:tcPr>
                  <w:tcW w:w="921" w:type="pct"/>
                  <w:vMerge w:val="continue"/>
                  <w:vAlign w:val="center"/>
                </w:tcPr>
                <w:p w14:paraId="51DD429F">
                  <w:pPr>
                    <w:pStyle w:val="55"/>
                    <w:rPr>
                      <w:color w:val="auto"/>
                    </w:rPr>
                  </w:pPr>
                </w:p>
              </w:tc>
            </w:tr>
            <w:tr w14:paraId="45F9E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5000" w:type="pct"/>
                  <w:gridSpan w:val="5"/>
                  <w:vAlign w:val="center"/>
                </w:tcPr>
                <w:p w14:paraId="475293B9">
                  <w:pPr>
                    <w:pStyle w:val="55"/>
                    <w:rPr>
                      <w:color w:val="auto"/>
                    </w:rPr>
                  </w:pPr>
                  <w:r>
                    <w:rPr>
                      <w:rFonts w:hint="eastAsia"/>
                      <w:color w:val="auto"/>
                    </w:rPr>
                    <w:t>升压站</w:t>
                  </w:r>
                </w:p>
              </w:tc>
            </w:tr>
            <w:tr w14:paraId="35306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04" w:type="pct"/>
                  <w:vAlign w:val="center"/>
                </w:tcPr>
                <w:p w14:paraId="1F7C4CBE">
                  <w:pPr>
                    <w:pStyle w:val="55"/>
                    <w:rPr>
                      <w:color w:val="auto"/>
                    </w:rPr>
                  </w:pPr>
                  <w:r>
                    <w:rPr>
                      <w:rFonts w:hint="eastAsia"/>
                      <w:color w:val="auto"/>
                    </w:rPr>
                    <w:t>1</w:t>
                  </w:r>
                </w:p>
              </w:tc>
              <w:tc>
                <w:tcPr>
                  <w:tcW w:w="2191" w:type="pct"/>
                  <w:vAlign w:val="center"/>
                </w:tcPr>
                <w:p w14:paraId="7E98E891">
                  <w:pPr>
                    <w:pStyle w:val="55"/>
                    <w:rPr>
                      <w:color w:val="auto"/>
                    </w:rPr>
                  </w:pPr>
                  <w:r>
                    <w:rPr>
                      <w:rFonts w:hint="eastAsia"/>
                      <w:color w:val="auto"/>
                    </w:rPr>
                    <w:t>拟建升压站东站界</w:t>
                  </w:r>
                </w:p>
              </w:tc>
              <w:tc>
                <w:tcPr>
                  <w:tcW w:w="699" w:type="pct"/>
                  <w:shd w:val="clear" w:color="auto" w:fill="auto"/>
                  <w:vAlign w:val="center"/>
                </w:tcPr>
                <w:p w14:paraId="4B1EF0D2">
                  <w:pPr>
                    <w:jc w:val="center"/>
                    <w:rPr>
                      <w:rFonts w:eastAsia="仿宋_GB2312"/>
                      <w:bCs/>
                      <w:szCs w:val="21"/>
                    </w:rPr>
                  </w:pPr>
                  <w:r>
                    <w:rPr>
                      <w:rFonts w:hint="eastAsia" w:eastAsia="仿宋_GB2312"/>
                      <w:bCs/>
                      <w:szCs w:val="21"/>
                    </w:rPr>
                    <w:t>46</w:t>
                  </w:r>
                </w:p>
              </w:tc>
              <w:tc>
                <w:tcPr>
                  <w:tcW w:w="783" w:type="pct"/>
                  <w:shd w:val="clear" w:color="auto" w:fill="auto"/>
                  <w:vAlign w:val="center"/>
                </w:tcPr>
                <w:p w14:paraId="7D0982B9">
                  <w:pPr>
                    <w:jc w:val="center"/>
                    <w:rPr>
                      <w:rFonts w:eastAsia="仿宋_GB2312"/>
                      <w:bCs/>
                      <w:szCs w:val="21"/>
                    </w:rPr>
                  </w:pPr>
                  <w:r>
                    <w:rPr>
                      <w:rFonts w:hint="eastAsia" w:eastAsia="仿宋_GB2312"/>
                      <w:bCs/>
                      <w:szCs w:val="21"/>
                    </w:rPr>
                    <w:t>41</w:t>
                  </w:r>
                </w:p>
              </w:tc>
              <w:tc>
                <w:tcPr>
                  <w:tcW w:w="921" w:type="pct"/>
                  <w:vMerge w:val="restart"/>
                  <w:vAlign w:val="center"/>
                </w:tcPr>
                <w:p w14:paraId="70E8FC9F">
                  <w:pPr>
                    <w:pStyle w:val="55"/>
                    <w:rPr>
                      <w:color w:val="auto"/>
                    </w:rPr>
                  </w:pPr>
                  <w:r>
                    <w:rPr>
                      <w:color w:val="auto"/>
                    </w:rPr>
                    <w:t>《声环境质量标准》（GB3096-2008）</w:t>
                  </w:r>
                  <w:r>
                    <w:rPr>
                      <w:rFonts w:hint="eastAsia"/>
                      <w:color w:val="auto"/>
                    </w:rPr>
                    <w:t>2</w:t>
                  </w:r>
                  <w:r>
                    <w:rPr>
                      <w:color w:val="auto"/>
                    </w:rPr>
                    <w:t>类标准</w:t>
                  </w:r>
                </w:p>
              </w:tc>
            </w:tr>
            <w:tr w14:paraId="54C16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04" w:type="pct"/>
                  <w:vAlign w:val="center"/>
                </w:tcPr>
                <w:p w14:paraId="1CA1CFB0">
                  <w:pPr>
                    <w:pStyle w:val="55"/>
                    <w:rPr>
                      <w:color w:val="auto"/>
                    </w:rPr>
                  </w:pPr>
                  <w:r>
                    <w:rPr>
                      <w:rFonts w:hint="eastAsia"/>
                      <w:color w:val="auto"/>
                    </w:rPr>
                    <w:t>2</w:t>
                  </w:r>
                </w:p>
              </w:tc>
              <w:tc>
                <w:tcPr>
                  <w:tcW w:w="2191" w:type="pct"/>
                  <w:vAlign w:val="center"/>
                </w:tcPr>
                <w:p w14:paraId="06A9413F">
                  <w:pPr>
                    <w:pStyle w:val="55"/>
                    <w:rPr>
                      <w:color w:val="auto"/>
                    </w:rPr>
                  </w:pPr>
                  <w:r>
                    <w:rPr>
                      <w:rFonts w:hint="eastAsia"/>
                      <w:color w:val="auto"/>
                    </w:rPr>
                    <w:t>拟建升压站南站界</w:t>
                  </w:r>
                </w:p>
              </w:tc>
              <w:tc>
                <w:tcPr>
                  <w:tcW w:w="699" w:type="pct"/>
                  <w:shd w:val="clear" w:color="auto" w:fill="auto"/>
                  <w:vAlign w:val="center"/>
                </w:tcPr>
                <w:p w14:paraId="2638CB1B">
                  <w:pPr>
                    <w:jc w:val="center"/>
                    <w:rPr>
                      <w:rFonts w:eastAsia="仿宋_GB2312"/>
                      <w:bCs/>
                      <w:szCs w:val="21"/>
                    </w:rPr>
                  </w:pPr>
                  <w:r>
                    <w:rPr>
                      <w:rFonts w:hint="eastAsia" w:eastAsia="仿宋_GB2312"/>
                      <w:bCs/>
                      <w:szCs w:val="21"/>
                    </w:rPr>
                    <w:t>47</w:t>
                  </w:r>
                </w:p>
              </w:tc>
              <w:tc>
                <w:tcPr>
                  <w:tcW w:w="783" w:type="pct"/>
                  <w:shd w:val="clear" w:color="auto" w:fill="auto"/>
                  <w:vAlign w:val="center"/>
                </w:tcPr>
                <w:p w14:paraId="6BD48DA4">
                  <w:pPr>
                    <w:jc w:val="center"/>
                    <w:rPr>
                      <w:rFonts w:eastAsia="仿宋_GB2312"/>
                      <w:kern w:val="0"/>
                      <w:szCs w:val="21"/>
                    </w:rPr>
                  </w:pPr>
                  <w:r>
                    <w:rPr>
                      <w:rFonts w:hint="eastAsia" w:eastAsia="仿宋_GB2312"/>
                      <w:kern w:val="0"/>
                      <w:szCs w:val="21"/>
                    </w:rPr>
                    <w:t>41</w:t>
                  </w:r>
                </w:p>
              </w:tc>
              <w:tc>
                <w:tcPr>
                  <w:tcW w:w="921" w:type="pct"/>
                  <w:vMerge w:val="continue"/>
                  <w:vAlign w:val="center"/>
                </w:tcPr>
                <w:p w14:paraId="544ACDAE">
                  <w:pPr>
                    <w:pStyle w:val="55"/>
                    <w:rPr>
                      <w:color w:val="auto"/>
                    </w:rPr>
                  </w:pPr>
                </w:p>
              </w:tc>
            </w:tr>
            <w:tr w14:paraId="45158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04" w:type="pct"/>
                  <w:vAlign w:val="center"/>
                </w:tcPr>
                <w:p w14:paraId="1A46D477">
                  <w:pPr>
                    <w:pStyle w:val="55"/>
                    <w:rPr>
                      <w:color w:val="auto"/>
                    </w:rPr>
                  </w:pPr>
                  <w:r>
                    <w:rPr>
                      <w:rFonts w:hint="eastAsia"/>
                      <w:color w:val="auto"/>
                    </w:rPr>
                    <w:t>3</w:t>
                  </w:r>
                </w:p>
              </w:tc>
              <w:tc>
                <w:tcPr>
                  <w:tcW w:w="2191" w:type="pct"/>
                  <w:vAlign w:val="center"/>
                </w:tcPr>
                <w:p w14:paraId="2A51A7D5">
                  <w:pPr>
                    <w:pStyle w:val="55"/>
                    <w:rPr>
                      <w:color w:val="auto"/>
                    </w:rPr>
                  </w:pPr>
                  <w:r>
                    <w:rPr>
                      <w:rFonts w:hint="eastAsia"/>
                      <w:color w:val="auto"/>
                    </w:rPr>
                    <w:t>拟建升压站西站界</w:t>
                  </w:r>
                </w:p>
              </w:tc>
              <w:tc>
                <w:tcPr>
                  <w:tcW w:w="699" w:type="pct"/>
                  <w:shd w:val="clear" w:color="auto" w:fill="auto"/>
                  <w:vAlign w:val="center"/>
                </w:tcPr>
                <w:p w14:paraId="19A05E9D">
                  <w:pPr>
                    <w:jc w:val="center"/>
                    <w:rPr>
                      <w:rFonts w:eastAsia="仿宋_GB2312"/>
                      <w:kern w:val="0"/>
                      <w:szCs w:val="21"/>
                    </w:rPr>
                  </w:pPr>
                  <w:r>
                    <w:rPr>
                      <w:rFonts w:hint="eastAsia" w:eastAsia="仿宋_GB2312"/>
                      <w:kern w:val="0"/>
                      <w:szCs w:val="21"/>
                    </w:rPr>
                    <w:t>48</w:t>
                  </w:r>
                </w:p>
              </w:tc>
              <w:tc>
                <w:tcPr>
                  <w:tcW w:w="783" w:type="pct"/>
                  <w:shd w:val="clear" w:color="auto" w:fill="auto"/>
                  <w:vAlign w:val="center"/>
                </w:tcPr>
                <w:p w14:paraId="385A6468">
                  <w:pPr>
                    <w:jc w:val="center"/>
                    <w:rPr>
                      <w:rFonts w:eastAsia="仿宋_GB2312"/>
                      <w:kern w:val="0"/>
                      <w:szCs w:val="21"/>
                    </w:rPr>
                  </w:pPr>
                  <w:r>
                    <w:rPr>
                      <w:rFonts w:hint="eastAsia" w:eastAsia="仿宋_GB2312"/>
                      <w:kern w:val="0"/>
                      <w:szCs w:val="21"/>
                    </w:rPr>
                    <w:t>43</w:t>
                  </w:r>
                </w:p>
              </w:tc>
              <w:tc>
                <w:tcPr>
                  <w:tcW w:w="921" w:type="pct"/>
                  <w:vMerge w:val="continue"/>
                  <w:vAlign w:val="center"/>
                </w:tcPr>
                <w:p w14:paraId="7ECACC89">
                  <w:pPr>
                    <w:pStyle w:val="55"/>
                    <w:rPr>
                      <w:color w:val="auto"/>
                    </w:rPr>
                  </w:pPr>
                </w:p>
              </w:tc>
            </w:tr>
            <w:tr w14:paraId="34665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 w:hRule="atLeast"/>
                <w:jc w:val="center"/>
              </w:trPr>
              <w:tc>
                <w:tcPr>
                  <w:tcW w:w="404" w:type="pct"/>
                  <w:vAlign w:val="center"/>
                </w:tcPr>
                <w:p w14:paraId="66D0C0C7">
                  <w:pPr>
                    <w:pStyle w:val="55"/>
                    <w:rPr>
                      <w:color w:val="auto"/>
                    </w:rPr>
                  </w:pPr>
                  <w:r>
                    <w:rPr>
                      <w:rFonts w:hint="eastAsia"/>
                      <w:color w:val="auto"/>
                    </w:rPr>
                    <w:t>4</w:t>
                  </w:r>
                </w:p>
              </w:tc>
              <w:tc>
                <w:tcPr>
                  <w:tcW w:w="2191" w:type="pct"/>
                  <w:vAlign w:val="center"/>
                </w:tcPr>
                <w:p w14:paraId="71806DB4">
                  <w:pPr>
                    <w:pStyle w:val="55"/>
                    <w:rPr>
                      <w:color w:val="auto"/>
                    </w:rPr>
                  </w:pPr>
                  <w:r>
                    <w:rPr>
                      <w:rFonts w:hint="eastAsia"/>
                      <w:color w:val="auto"/>
                    </w:rPr>
                    <w:t>拟建升压站北站界</w:t>
                  </w:r>
                </w:p>
              </w:tc>
              <w:tc>
                <w:tcPr>
                  <w:tcW w:w="699" w:type="pct"/>
                  <w:shd w:val="clear" w:color="auto" w:fill="auto"/>
                  <w:vAlign w:val="center"/>
                </w:tcPr>
                <w:p w14:paraId="66FD834E">
                  <w:pPr>
                    <w:jc w:val="center"/>
                    <w:rPr>
                      <w:rFonts w:eastAsia="仿宋_GB2312"/>
                      <w:szCs w:val="21"/>
                    </w:rPr>
                  </w:pPr>
                  <w:r>
                    <w:rPr>
                      <w:rFonts w:hint="eastAsia" w:eastAsia="仿宋_GB2312"/>
                      <w:szCs w:val="21"/>
                    </w:rPr>
                    <w:t>47</w:t>
                  </w:r>
                </w:p>
              </w:tc>
              <w:tc>
                <w:tcPr>
                  <w:tcW w:w="783" w:type="pct"/>
                  <w:shd w:val="clear" w:color="auto" w:fill="auto"/>
                  <w:vAlign w:val="center"/>
                </w:tcPr>
                <w:p w14:paraId="26A33D5A">
                  <w:pPr>
                    <w:jc w:val="center"/>
                    <w:rPr>
                      <w:rFonts w:eastAsia="仿宋_GB2312"/>
                      <w:kern w:val="0"/>
                      <w:szCs w:val="21"/>
                    </w:rPr>
                  </w:pPr>
                  <w:r>
                    <w:rPr>
                      <w:rFonts w:hint="eastAsia" w:eastAsia="仿宋_GB2312"/>
                      <w:kern w:val="0"/>
                      <w:szCs w:val="21"/>
                    </w:rPr>
                    <w:t>42</w:t>
                  </w:r>
                </w:p>
              </w:tc>
              <w:tc>
                <w:tcPr>
                  <w:tcW w:w="921" w:type="pct"/>
                  <w:vMerge w:val="continue"/>
                  <w:vAlign w:val="center"/>
                </w:tcPr>
                <w:p w14:paraId="5F755C64">
                  <w:pPr>
                    <w:pStyle w:val="55"/>
                    <w:rPr>
                      <w:color w:val="auto"/>
                    </w:rPr>
                  </w:pPr>
                </w:p>
              </w:tc>
            </w:tr>
            <w:tr w14:paraId="7F43F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04" w:type="pct"/>
                  <w:vAlign w:val="center"/>
                </w:tcPr>
                <w:p w14:paraId="5574D5B8">
                  <w:pPr>
                    <w:pStyle w:val="55"/>
                    <w:rPr>
                      <w:color w:val="auto"/>
                    </w:rPr>
                  </w:pPr>
                  <w:r>
                    <w:rPr>
                      <w:rFonts w:hint="eastAsia"/>
                      <w:color w:val="auto"/>
                    </w:rPr>
                    <w:t>5</w:t>
                  </w:r>
                </w:p>
              </w:tc>
              <w:tc>
                <w:tcPr>
                  <w:tcW w:w="2191" w:type="pct"/>
                  <w:vAlign w:val="center"/>
                </w:tcPr>
                <w:p w14:paraId="7E37D22D">
                  <w:pPr>
                    <w:pStyle w:val="55"/>
                    <w:rPr>
                      <w:color w:val="auto"/>
                    </w:rPr>
                  </w:pPr>
                  <w:r>
                    <w:rPr>
                      <w:rFonts w:hint="eastAsia"/>
                      <w:color w:val="auto"/>
                    </w:rPr>
                    <w:t>升压站西北侧8m，凤台县桂集镇水质净化站南侧1m处</w:t>
                  </w:r>
                </w:p>
              </w:tc>
              <w:tc>
                <w:tcPr>
                  <w:tcW w:w="699" w:type="pct"/>
                  <w:shd w:val="clear" w:color="auto" w:fill="auto"/>
                  <w:vAlign w:val="center"/>
                </w:tcPr>
                <w:p w14:paraId="3E86FC7D">
                  <w:pPr>
                    <w:jc w:val="center"/>
                    <w:rPr>
                      <w:rFonts w:eastAsia="仿宋_GB2312"/>
                      <w:szCs w:val="21"/>
                    </w:rPr>
                  </w:pPr>
                  <w:r>
                    <w:rPr>
                      <w:rFonts w:hint="eastAsia" w:eastAsia="仿宋_GB2312"/>
                      <w:szCs w:val="21"/>
                    </w:rPr>
                    <w:t>46</w:t>
                  </w:r>
                </w:p>
              </w:tc>
              <w:tc>
                <w:tcPr>
                  <w:tcW w:w="783" w:type="pct"/>
                  <w:shd w:val="clear" w:color="auto" w:fill="auto"/>
                  <w:vAlign w:val="center"/>
                </w:tcPr>
                <w:p w14:paraId="5B910FDD">
                  <w:pPr>
                    <w:jc w:val="center"/>
                    <w:rPr>
                      <w:rFonts w:eastAsia="仿宋_GB2312"/>
                      <w:kern w:val="0"/>
                      <w:szCs w:val="21"/>
                    </w:rPr>
                  </w:pPr>
                  <w:r>
                    <w:rPr>
                      <w:rFonts w:hint="eastAsia" w:eastAsia="仿宋_GB2312"/>
                      <w:kern w:val="0"/>
                      <w:szCs w:val="21"/>
                    </w:rPr>
                    <w:t>41</w:t>
                  </w:r>
                </w:p>
              </w:tc>
              <w:tc>
                <w:tcPr>
                  <w:tcW w:w="921" w:type="pct"/>
                  <w:vMerge w:val="continue"/>
                  <w:vAlign w:val="center"/>
                </w:tcPr>
                <w:p w14:paraId="671A83EC">
                  <w:pPr>
                    <w:pStyle w:val="55"/>
                    <w:rPr>
                      <w:color w:val="auto"/>
                    </w:rPr>
                  </w:pPr>
                </w:p>
              </w:tc>
            </w:tr>
            <w:tr w14:paraId="36C07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04" w:type="pct"/>
                  <w:vAlign w:val="center"/>
                </w:tcPr>
                <w:p w14:paraId="6C9432CE">
                  <w:pPr>
                    <w:pStyle w:val="55"/>
                    <w:rPr>
                      <w:color w:val="auto"/>
                    </w:rPr>
                  </w:pPr>
                  <w:r>
                    <w:rPr>
                      <w:rFonts w:hint="eastAsia"/>
                      <w:color w:val="auto"/>
                    </w:rPr>
                    <w:t>6</w:t>
                  </w:r>
                </w:p>
              </w:tc>
              <w:tc>
                <w:tcPr>
                  <w:tcW w:w="2191" w:type="pct"/>
                  <w:vAlign w:val="center"/>
                </w:tcPr>
                <w:p w14:paraId="0C6E0658">
                  <w:pPr>
                    <w:pStyle w:val="55"/>
                    <w:rPr>
                      <w:color w:val="auto"/>
                    </w:rPr>
                  </w:pPr>
                  <w:r>
                    <w:rPr>
                      <w:rFonts w:hint="eastAsia"/>
                      <w:color w:val="auto"/>
                    </w:rPr>
                    <w:t>升压站西北侧22m，凤台县桂集镇桂集村八里村3层平顶民房南侧1m处</w:t>
                  </w:r>
                </w:p>
              </w:tc>
              <w:tc>
                <w:tcPr>
                  <w:tcW w:w="699" w:type="pct"/>
                  <w:shd w:val="clear" w:color="auto" w:fill="auto"/>
                  <w:vAlign w:val="center"/>
                </w:tcPr>
                <w:p w14:paraId="73F61B08">
                  <w:pPr>
                    <w:jc w:val="center"/>
                    <w:rPr>
                      <w:rFonts w:eastAsia="仿宋_GB2312"/>
                      <w:szCs w:val="21"/>
                    </w:rPr>
                  </w:pPr>
                  <w:r>
                    <w:rPr>
                      <w:rFonts w:hint="eastAsia" w:eastAsia="仿宋_GB2312"/>
                      <w:szCs w:val="21"/>
                    </w:rPr>
                    <w:t>45</w:t>
                  </w:r>
                </w:p>
              </w:tc>
              <w:tc>
                <w:tcPr>
                  <w:tcW w:w="783" w:type="pct"/>
                  <w:shd w:val="clear" w:color="auto" w:fill="auto"/>
                  <w:vAlign w:val="center"/>
                </w:tcPr>
                <w:p w14:paraId="43780388">
                  <w:pPr>
                    <w:jc w:val="center"/>
                    <w:rPr>
                      <w:rFonts w:eastAsia="仿宋_GB2312"/>
                      <w:kern w:val="0"/>
                      <w:szCs w:val="21"/>
                    </w:rPr>
                  </w:pPr>
                  <w:r>
                    <w:rPr>
                      <w:rFonts w:hint="eastAsia" w:eastAsia="仿宋_GB2312"/>
                      <w:kern w:val="0"/>
                      <w:szCs w:val="21"/>
                    </w:rPr>
                    <w:t>42</w:t>
                  </w:r>
                </w:p>
              </w:tc>
              <w:tc>
                <w:tcPr>
                  <w:tcW w:w="921" w:type="pct"/>
                  <w:vMerge w:val="continue"/>
                  <w:vAlign w:val="center"/>
                </w:tcPr>
                <w:p w14:paraId="6E2C5B89">
                  <w:pPr>
                    <w:pStyle w:val="55"/>
                    <w:rPr>
                      <w:color w:val="auto"/>
                    </w:rPr>
                  </w:pPr>
                </w:p>
              </w:tc>
            </w:tr>
            <w:tr w14:paraId="221F0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04" w:type="pct"/>
                  <w:vAlign w:val="center"/>
                </w:tcPr>
                <w:p w14:paraId="1175EDEF">
                  <w:pPr>
                    <w:pStyle w:val="55"/>
                    <w:rPr>
                      <w:color w:val="auto"/>
                    </w:rPr>
                  </w:pPr>
                  <w:r>
                    <w:rPr>
                      <w:rFonts w:hint="eastAsia"/>
                      <w:color w:val="auto"/>
                    </w:rPr>
                    <w:t>7</w:t>
                  </w:r>
                </w:p>
              </w:tc>
              <w:tc>
                <w:tcPr>
                  <w:tcW w:w="2191" w:type="pct"/>
                  <w:vAlign w:val="center"/>
                </w:tcPr>
                <w:p w14:paraId="7435A7B6">
                  <w:pPr>
                    <w:pStyle w:val="55"/>
                    <w:rPr>
                      <w:color w:val="auto"/>
                    </w:rPr>
                  </w:pPr>
                  <w:r>
                    <w:rPr>
                      <w:rFonts w:hint="eastAsia"/>
                      <w:color w:val="auto"/>
                    </w:rPr>
                    <w:t>升压站东南侧106m，凤台县桂集镇桂集村桂福新区5号楼西侧一层房西侧1m处</w:t>
                  </w:r>
                </w:p>
              </w:tc>
              <w:tc>
                <w:tcPr>
                  <w:tcW w:w="699" w:type="pct"/>
                  <w:shd w:val="clear" w:color="auto" w:fill="auto"/>
                  <w:vAlign w:val="center"/>
                </w:tcPr>
                <w:p w14:paraId="496FF2AB">
                  <w:pPr>
                    <w:jc w:val="center"/>
                    <w:rPr>
                      <w:rFonts w:eastAsia="仿宋_GB2312"/>
                      <w:szCs w:val="21"/>
                    </w:rPr>
                  </w:pPr>
                  <w:r>
                    <w:rPr>
                      <w:rFonts w:hint="eastAsia" w:eastAsia="仿宋_GB2312"/>
                      <w:szCs w:val="21"/>
                    </w:rPr>
                    <w:t>44</w:t>
                  </w:r>
                </w:p>
              </w:tc>
              <w:tc>
                <w:tcPr>
                  <w:tcW w:w="783" w:type="pct"/>
                  <w:shd w:val="clear" w:color="auto" w:fill="auto"/>
                  <w:vAlign w:val="center"/>
                </w:tcPr>
                <w:p w14:paraId="66BD6635">
                  <w:pPr>
                    <w:jc w:val="center"/>
                    <w:rPr>
                      <w:rFonts w:eastAsia="仿宋_GB2312"/>
                      <w:kern w:val="0"/>
                      <w:szCs w:val="21"/>
                    </w:rPr>
                  </w:pPr>
                  <w:r>
                    <w:rPr>
                      <w:rFonts w:hint="eastAsia" w:eastAsia="仿宋_GB2312"/>
                      <w:kern w:val="0"/>
                      <w:szCs w:val="21"/>
                    </w:rPr>
                    <w:t>40</w:t>
                  </w:r>
                </w:p>
              </w:tc>
              <w:tc>
                <w:tcPr>
                  <w:tcW w:w="921" w:type="pct"/>
                  <w:vMerge w:val="continue"/>
                  <w:vAlign w:val="center"/>
                </w:tcPr>
                <w:p w14:paraId="0B06E22A">
                  <w:pPr>
                    <w:pStyle w:val="55"/>
                    <w:rPr>
                      <w:color w:val="auto"/>
                    </w:rPr>
                  </w:pPr>
                </w:p>
              </w:tc>
            </w:tr>
            <w:tr w14:paraId="04C42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5000" w:type="pct"/>
                  <w:gridSpan w:val="5"/>
                  <w:vAlign w:val="center"/>
                </w:tcPr>
                <w:p w14:paraId="1CABC57E">
                  <w:pPr>
                    <w:pStyle w:val="55"/>
                    <w:rPr>
                      <w:color w:val="auto"/>
                    </w:rPr>
                  </w:pPr>
                  <w:r>
                    <w:rPr>
                      <w:rFonts w:hint="eastAsia"/>
                      <w:color w:val="auto"/>
                    </w:rPr>
                    <w:t>输送线路</w:t>
                  </w:r>
                </w:p>
              </w:tc>
            </w:tr>
            <w:tr w14:paraId="03DAF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 w:hRule="atLeast"/>
                <w:jc w:val="center"/>
              </w:trPr>
              <w:tc>
                <w:tcPr>
                  <w:tcW w:w="404" w:type="pct"/>
                  <w:vAlign w:val="center"/>
                </w:tcPr>
                <w:p w14:paraId="7349FEF0">
                  <w:pPr>
                    <w:pStyle w:val="55"/>
                    <w:rPr>
                      <w:color w:val="auto"/>
                    </w:rPr>
                  </w:pPr>
                  <w:r>
                    <w:rPr>
                      <w:rFonts w:hint="eastAsia"/>
                      <w:color w:val="auto"/>
                    </w:rPr>
                    <w:t>1</w:t>
                  </w:r>
                </w:p>
              </w:tc>
              <w:tc>
                <w:tcPr>
                  <w:tcW w:w="2191" w:type="pct"/>
                  <w:shd w:val="clear" w:color="auto" w:fill="auto"/>
                  <w:vAlign w:val="center"/>
                </w:tcPr>
                <w:p w14:paraId="78C62FE6">
                  <w:pPr>
                    <w:pStyle w:val="55"/>
                    <w:rPr>
                      <w:color w:val="auto"/>
                    </w:rPr>
                  </w:pPr>
                  <w:r>
                    <w:rPr>
                      <w:rFonts w:hint="eastAsia"/>
                      <w:color w:val="auto"/>
                    </w:rPr>
                    <w:t>线路边导线东北侧13m，凤台县桂集镇勇敢村后乡组袁纪鑫家1层平顶民房南侧1m处</w:t>
                  </w:r>
                </w:p>
              </w:tc>
              <w:tc>
                <w:tcPr>
                  <w:tcW w:w="699" w:type="pct"/>
                  <w:shd w:val="clear" w:color="auto" w:fill="auto"/>
                  <w:vAlign w:val="center"/>
                </w:tcPr>
                <w:p w14:paraId="66288E5A">
                  <w:pPr>
                    <w:jc w:val="center"/>
                    <w:rPr>
                      <w:rFonts w:eastAsia="仿宋_GB2312"/>
                      <w:bCs/>
                      <w:szCs w:val="21"/>
                    </w:rPr>
                  </w:pPr>
                  <w:r>
                    <w:rPr>
                      <w:rFonts w:hint="eastAsia" w:eastAsia="仿宋_GB2312"/>
                      <w:bCs/>
                      <w:szCs w:val="21"/>
                    </w:rPr>
                    <w:t>48</w:t>
                  </w:r>
                </w:p>
              </w:tc>
              <w:tc>
                <w:tcPr>
                  <w:tcW w:w="783" w:type="pct"/>
                  <w:shd w:val="clear" w:color="auto" w:fill="auto"/>
                  <w:vAlign w:val="center"/>
                </w:tcPr>
                <w:p w14:paraId="3CEA0004">
                  <w:pPr>
                    <w:jc w:val="center"/>
                    <w:rPr>
                      <w:rFonts w:eastAsia="仿宋_GB2312"/>
                      <w:bCs/>
                      <w:szCs w:val="21"/>
                    </w:rPr>
                  </w:pPr>
                  <w:r>
                    <w:rPr>
                      <w:rFonts w:hint="eastAsia" w:eastAsia="仿宋_GB2312"/>
                      <w:bCs/>
                      <w:szCs w:val="21"/>
                    </w:rPr>
                    <w:t>39</w:t>
                  </w:r>
                </w:p>
              </w:tc>
              <w:tc>
                <w:tcPr>
                  <w:tcW w:w="921" w:type="pct"/>
                  <w:vMerge w:val="restart"/>
                  <w:vAlign w:val="center"/>
                </w:tcPr>
                <w:p w14:paraId="780F73D0">
                  <w:pPr>
                    <w:pStyle w:val="55"/>
                    <w:rPr>
                      <w:color w:val="auto"/>
                    </w:rPr>
                  </w:pPr>
                  <w:r>
                    <w:rPr>
                      <w:color w:val="auto"/>
                    </w:rPr>
                    <w:t>《声环境质量标准》（GB3096-2008）</w:t>
                  </w:r>
                  <w:r>
                    <w:rPr>
                      <w:rFonts w:hint="eastAsia"/>
                      <w:color w:val="auto"/>
                    </w:rPr>
                    <w:t>1</w:t>
                  </w:r>
                  <w:r>
                    <w:rPr>
                      <w:color w:val="auto"/>
                    </w:rPr>
                    <w:t>类标准</w:t>
                  </w:r>
                </w:p>
              </w:tc>
            </w:tr>
            <w:tr w14:paraId="348DC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04" w:type="pct"/>
                  <w:vAlign w:val="center"/>
                </w:tcPr>
                <w:p w14:paraId="01F65713">
                  <w:pPr>
                    <w:pStyle w:val="55"/>
                    <w:rPr>
                      <w:color w:val="auto"/>
                    </w:rPr>
                  </w:pPr>
                  <w:r>
                    <w:rPr>
                      <w:rFonts w:hint="eastAsia"/>
                      <w:color w:val="auto"/>
                    </w:rPr>
                    <w:t>2</w:t>
                  </w:r>
                </w:p>
              </w:tc>
              <w:tc>
                <w:tcPr>
                  <w:tcW w:w="2191" w:type="pct"/>
                  <w:shd w:val="clear" w:color="auto" w:fill="auto"/>
                  <w:vAlign w:val="center"/>
                </w:tcPr>
                <w:p w14:paraId="6277255A">
                  <w:pPr>
                    <w:pStyle w:val="55"/>
                    <w:rPr>
                      <w:color w:val="auto"/>
                    </w:rPr>
                  </w:pPr>
                  <w:r>
                    <w:rPr>
                      <w:rFonts w:hint="eastAsia"/>
                      <w:color w:val="auto"/>
                    </w:rPr>
                    <w:t>线路下方，凤台县桂集镇勇敢村桥王组王某家养殖场北侧1m处</w:t>
                  </w:r>
                </w:p>
              </w:tc>
              <w:tc>
                <w:tcPr>
                  <w:tcW w:w="699" w:type="pct"/>
                  <w:shd w:val="clear" w:color="auto" w:fill="auto"/>
                  <w:vAlign w:val="center"/>
                </w:tcPr>
                <w:p w14:paraId="0FE0E968">
                  <w:pPr>
                    <w:jc w:val="center"/>
                    <w:rPr>
                      <w:rFonts w:eastAsia="仿宋_GB2312"/>
                      <w:bCs/>
                      <w:szCs w:val="21"/>
                    </w:rPr>
                  </w:pPr>
                  <w:r>
                    <w:rPr>
                      <w:rFonts w:hint="eastAsia" w:eastAsia="仿宋_GB2312"/>
                      <w:bCs/>
                      <w:szCs w:val="21"/>
                    </w:rPr>
                    <w:t>49</w:t>
                  </w:r>
                </w:p>
              </w:tc>
              <w:tc>
                <w:tcPr>
                  <w:tcW w:w="783" w:type="pct"/>
                  <w:shd w:val="clear" w:color="auto" w:fill="auto"/>
                  <w:vAlign w:val="center"/>
                </w:tcPr>
                <w:p w14:paraId="426700FD">
                  <w:pPr>
                    <w:jc w:val="center"/>
                    <w:rPr>
                      <w:rFonts w:eastAsia="仿宋_GB2312"/>
                      <w:kern w:val="0"/>
                      <w:szCs w:val="21"/>
                    </w:rPr>
                  </w:pPr>
                  <w:r>
                    <w:rPr>
                      <w:rFonts w:hint="eastAsia" w:eastAsia="仿宋_GB2312"/>
                      <w:kern w:val="0"/>
                      <w:szCs w:val="21"/>
                    </w:rPr>
                    <w:t>38</w:t>
                  </w:r>
                </w:p>
              </w:tc>
              <w:tc>
                <w:tcPr>
                  <w:tcW w:w="921" w:type="pct"/>
                  <w:vMerge w:val="continue"/>
                  <w:vAlign w:val="center"/>
                </w:tcPr>
                <w:p w14:paraId="049DCB52">
                  <w:pPr>
                    <w:pStyle w:val="55"/>
                    <w:rPr>
                      <w:color w:val="auto"/>
                    </w:rPr>
                  </w:pPr>
                </w:p>
              </w:tc>
            </w:tr>
            <w:tr w14:paraId="2778B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 w:hRule="atLeast"/>
                <w:jc w:val="center"/>
              </w:trPr>
              <w:tc>
                <w:tcPr>
                  <w:tcW w:w="404" w:type="pct"/>
                  <w:vAlign w:val="center"/>
                </w:tcPr>
                <w:p w14:paraId="3D3FC595">
                  <w:pPr>
                    <w:pStyle w:val="55"/>
                    <w:rPr>
                      <w:color w:val="auto"/>
                    </w:rPr>
                  </w:pPr>
                  <w:r>
                    <w:rPr>
                      <w:rFonts w:hint="eastAsia"/>
                      <w:color w:val="auto"/>
                    </w:rPr>
                    <w:t>3</w:t>
                  </w:r>
                </w:p>
              </w:tc>
              <w:tc>
                <w:tcPr>
                  <w:tcW w:w="2191" w:type="pct"/>
                  <w:shd w:val="clear" w:color="auto" w:fill="auto"/>
                  <w:vAlign w:val="center"/>
                </w:tcPr>
                <w:p w14:paraId="528BB2D4">
                  <w:pPr>
                    <w:pStyle w:val="55"/>
                    <w:rPr>
                      <w:color w:val="auto"/>
                    </w:rPr>
                  </w:pPr>
                  <w:r>
                    <w:rPr>
                      <w:rFonts w:hint="eastAsia"/>
                      <w:color w:val="auto"/>
                    </w:rPr>
                    <w:t>线路边导线西南侧5m，凤台县桂集镇勇敢村桥王组王某家1层坡顶民房东侧1m处</w:t>
                  </w:r>
                </w:p>
              </w:tc>
              <w:tc>
                <w:tcPr>
                  <w:tcW w:w="699" w:type="pct"/>
                  <w:shd w:val="clear" w:color="auto" w:fill="auto"/>
                  <w:vAlign w:val="center"/>
                </w:tcPr>
                <w:p w14:paraId="545856B7">
                  <w:pPr>
                    <w:jc w:val="center"/>
                    <w:rPr>
                      <w:rFonts w:eastAsia="仿宋_GB2312"/>
                      <w:kern w:val="0"/>
                      <w:szCs w:val="21"/>
                    </w:rPr>
                  </w:pPr>
                  <w:r>
                    <w:rPr>
                      <w:rFonts w:hint="eastAsia" w:eastAsia="仿宋_GB2312"/>
                      <w:kern w:val="0"/>
                      <w:szCs w:val="21"/>
                    </w:rPr>
                    <w:t>47</w:t>
                  </w:r>
                </w:p>
              </w:tc>
              <w:tc>
                <w:tcPr>
                  <w:tcW w:w="783" w:type="pct"/>
                  <w:shd w:val="clear" w:color="auto" w:fill="auto"/>
                  <w:vAlign w:val="center"/>
                </w:tcPr>
                <w:p w14:paraId="5C03934E">
                  <w:pPr>
                    <w:jc w:val="center"/>
                    <w:rPr>
                      <w:rFonts w:eastAsia="仿宋_GB2312"/>
                      <w:kern w:val="0"/>
                      <w:szCs w:val="21"/>
                    </w:rPr>
                  </w:pPr>
                  <w:r>
                    <w:rPr>
                      <w:rFonts w:hint="eastAsia" w:eastAsia="仿宋_GB2312"/>
                      <w:kern w:val="0"/>
                      <w:szCs w:val="21"/>
                    </w:rPr>
                    <w:t>38</w:t>
                  </w:r>
                </w:p>
              </w:tc>
              <w:tc>
                <w:tcPr>
                  <w:tcW w:w="921" w:type="pct"/>
                  <w:vMerge w:val="continue"/>
                  <w:vAlign w:val="center"/>
                </w:tcPr>
                <w:p w14:paraId="1036F599">
                  <w:pPr>
                    <w:pStyle w:val="55"/>
                    <w:rPr>
                      <w:color w:val="auto"/>
                    </w:rPr>
                  </w:pPr>
                </w:p>
              </w:tc>
            </w:tr>
            <w:tr w14:paraId="3AFE9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04" w:type="pct"/>
                  <w:vAlign w:val="center"/>
                </w:tcPr>
                <w:p w14:paraId="5CD389C1">
                  <w:pPr>
                    <w:pStyle w:val="55"/>
                    <w:rPr>
                      <w:color w:val="auto"/>
                    </w:rPr>
                  </w:pPr>
                  <w:r>
                    <w:rPr>
                      <w:rFonts w:hint="eastAsia"/>
                      <w:color w:val="auto"/>
                    </w:rPr>
                    <w:t>4</w:t>
                  </w:r>
                </w:p>
              </w:tc>
              <w:tc>
                <w:tcPr>
                  <w:tcW w:w="2191" w:type="pct"/>
                  <w:shd w:val="clear" w:color="auto" w:fill="auto"/>
                  <w:vAlign w:val="center"/>
                </w:tcPr>
                <w:p w14:paraId="3A589571">
                  <w:pPr>
                    <w:pStyle w:val="55"/>
                    <w:rPr>
                      <w:color w:val="auto"/>
                    </w:rPr>
                  </w:pPr>
                  <w:r>
                    <w:rPr>
                      <w:rFonts w:hint="eastAsia"/>
                      <w:color w:val="auto"/>
                    </w:rPr>
                    <w:t>线路边导线东侧25m，凤台县桂集镇中郢村拐王组王学明家1层坡顶板房西侧1m处</w:t>
                  </w:r>
                </w:p>
              </w:tc>
              <w:tc>
                <w:tcPr>
                  <w:tcW w:w="699" w:type="pct"/>
                  <w:shd w:val="clear" w:color="auto" w:fill="auto"/>
                  <w:vAlign w:val="center"/>
                </w:tcPr>
                <w:p w14:paraId="7369F234">
                  <w:pPr>
                    <w:jc w:val="center"/>
                    <w:rPr>
                      <w:rFonts w:eastAsia="仿宋_GB2312"/>
                      <w:szCs w:val="21"/>
                    </w:rPr>
                  </w:pPr>
                  <w:r>
                    <w:rPr>
                      <w:rFonts w:hint="eastAsia" w:eastAsia="仿宋_GB2312"/>
                      <w:szCs w:val="21"/>
                    </w:rPr>
                    <w:t>41</w:t>
                  </w:r>
                </w:p>
              </w:tc>
              <w:tc>
                <w:tcPr>
                  <w:tcW w:w="783" w:type="pct"/>
                  <w:shd w:val="clear" w:color="auto" w:fill="auto"/>
                  <w:vAlign w:val="center"/>
                </w:tcPr>
                <w:p w14:paraId="427DB325">
                  <w:pPr>
                    <w:jc w:val="center"/>
                    <w:rPr>
                      <w:rFonts w:eastAsia="仿宋_GB2312"/>
                      <w:kern w:val="0"/>
                      <w:szCs w:val="21"/>
                    </w:rPr>
                  </w:pPr>
                  <w:r>
                    <w:rPr>
                      <w:rFonts w:hint="eastAsia" w:eastAsia="仿宋_GB2312"/>
                      <w:kern w:val="0"/>
                      <w:szCs w:val="21"/>
                    </w:rPr>
                    <w:t>37</w:t>
                  </w:r>
                </w:p>
              </w:tc>
              <w:tc>
                <w:tcPr>
                  <w:tcW w:w="921" w:type="pct"/>
                  <w:vMerge w:val="continue"/>
                  <w:vAlign w:val="center"/>
                </w:tcPr>
                <w:p w14:paraId="6B4E6ED3">
                  <w:pPr>
                    <w:pStyle w:val="55"/>
                    <w:rPr>
                      <w:color w:val="auto"/>
                    </w:rPr>
                  </w:pPr>
                </w:p>
              </w:tc>
            </w:tr>
            <w:tr w14:paraId="7EDE3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 w:hRule="atLeast"/>
                <w:jc w:val="center"/>
              </w:trPr>
              <w:tc>
                <w:tcPr>
                  <w:tcW w:w="404" w:type="pct"/>
                  <w:vAlign w:val="center"/>
                </w:tcPr>
                <w:p w14:paraId="536AC9B0">
                  <w:pPr>
                    <w:pStyle w:val="55"/>
                    <w:rPr>
                      <w:color w:val="auto"/>
                    </w:rPr>
                  </w:pPr>
                  <w:r>
                    <w:rPr>
                      <w:rFonts w:hint="eastAsia"/>
                      <w:color w:val="auto"/>
                    </w:rPr>
                    <w:t>5</w:t>
                  </w:r>
                </w:p>
              </w:tc>
              <w:tc>
                <w:tcPr>
                  <w:tcW w:w="2191" w:type="pct"/>
                  <w:shd w:val="clear" w:color="auto" w:fill="auto"/>
                  <w:vAlign w:val="center"/>
                </w:tcPr>
                <w:p w14:paraId="42C83FE7">
                  <w:pPr>
                    <w:pStyle w:val="55"/>
                    <w:rPr>
                      <w:color w:val="auto"/>
                    </w:rPr>
                  </w:pPr>
                  <w:r>
                    <w:rPr>
                      <w:rFonts w:hint="eastAsia"/>
                      <w:color w:val="auto"/>
                    </w:rPr>
                    <w:t>线路边导线东北侧8m，凤台县桂集镇中郢村凤大路南端门面房南侧1m处</w:t>
                  </w:r>
                </w:p>
              </w:tc>
              <w:tc>
                <w:tcPr>
                  <w:tcW w:w="699" w:type="pct"/>
                  <w:shd w:val="clear" w:color="auto" w:fill="auto"/>
                  <w:vAlign w:val="center"/>
                </w:tcPr>
                <w:p w14:paraId="17484807">
                  <w:pPr>
                    <w:jc w:val="center"/>
                    <w:rPr>
                      <w:rFonts w:eastAsia="仿宋_GB2312"/>
                      <w:szCs w:val="21"/>
                    </w:rPr>
                  </w:pPr>
                  <w:r>
                    <w:rPr>
                      <w:rFonts w:hint="eastAsia" w:eastAsia="仿宋_GB2312"/>
                      <w:szCs w:val="21"/>
                    </w:rPr>
                    <w:t>42</w:t>
                  </w:r>
                </w:p>
              </w:tc>
              <w:tc>
                <w:tcPr>
                  <w:tcW w:w="783" w:type="pct"/>
                  <w:shd w:val="clear" w:color="auto" w:fill="auto"/>
                  <w:vAlign w:val="center"/>
                </w:tcPr>
                <w:p w14:paraId="4AFFF67B">
                  <w:pPr>
                    <w:jc w:val="center"/>
                    <w:rPr>
                      <w:rFonts w:eastAsia="仿宋_GB2312"/>
                      <w:kern w:val="0"/>
                      <w:szCs w:val="21"/>
                    </w:rPr>
                  </w:pPr>
                  <w:r>
                    <w:rPr>
                      <w:rFonts w:hint="eastAsia" w:eastAsia="仿宋_GB2312"/>
                      <w:kern w:val="0"/>
                      <w:szCs w:val="21"/>
                    </w:rPr>
                    <w:t>37</w:t>
                  </w:r>
                </w:p>
              </w:tc>
              <w:tc>
                <w:tcPr>
                  <w:tcW w:w="921" w:type="pct"/>
                  <w:vMerge w:val="continue"/>
                  <w:vAlign w:val="center"/>
                </w:tcPr>
                <w:p w14:paraId="589FA087">
                  <w:pPr>
                    <w:pStyle w:val="55"/>
                    <w:rPr>
                      <w:color w:val="auto"/>
                    </w:rPr>
                  </w:pPr>
                </w:p>
              </w:tc>
            </w:tr>
            <w:tr w14:paraId="2E26F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04" w:type="pct"/>
                  <w:vAlign w:val="center"/>
                </w:tcPr>
                <w:p w14:paraId="2F1822D5">
                  <w:pPr>
                    <w:pStyle w:val="55"/>
                    <w:rPr>
                      <w:color w:val="auto"/>
                    </w:rPr>
                  </w:pPr>
                  <w:r>
                    <w:rPr>
                      <w:rFonts w:hint="eastAsia"/>
                      <w:color w:val="auto"/>
                    </w:rPr>
                    <w:t>6</w:t>
                  </w:r>
                </w:p>
              </w:tc>
              <w:tc>
                <w:tcPr>
                  <w:tcW w:w="2191" w:type="pct"/>
                  <w:shd w:val="clear" w:color="auto" w:fill="auto"/>
                  <w:vAlign w:val="center"/>
                </w:tcPr>
                <w:p w14:paraId="4BFD1C12">
                  <w:pPr>
                    <w:pStyle w:val="55"/>
                    <w:rPr>
                      <w:color w:val="auto"/>
                    </w:rPr>
                  </w:pPr>
                  <w:r>
                    <w:rPr>
                      <w:rFonts w:hint="eastAsia"/>
                      <w:color w:val="auto"/>
                    </w:rPr>
                    <w:t>线路边导线西南侧31m，凤台县桂集镇西龚村西北园组1层坡顶民房南侧1m处</w:t>
                  </w:r>
                </w:p>
              </w:tc>
              <w:tc>
                <w:tcPr>
                  <w:tcW w:w="699" w:type="pct"/>
                  <w:shd w:val="clear" w:color="auto" w:fill="auto"/>
                  <w:vAlign w:val="center"/>
                </w:tcPr>
                <w:p w14:paraId="482ABE72">
                  <w:pPr>
                    <w:jc w:val="center"/>
                    <w:rPr>
                      <w:rFonts w:eastAsia="仿宋_GB2312"/>
                      <w:szCs w:val="21"/>
                    </w:rPr>
                  </w:pPr>
                  <w:r>
                    <w:rPr>
                      <w:rFonts w:hint="eastAsia" w:eastAsia="仿宋_GB2312"/>
                      <w:szCs w:val="21"/>
                    </w:rPr>
                    <w:t>44</w:t>
                  </w:r>
                </w:p>
              </w:tc>
              <w:tc>
                <w:tcPr>
                  <w:tcW w:w="783" w:type="pct"/>
                  <w:shd w:val="clear" w:color="auto" w:fill="auto"/>
                  <w:vAlign w:val="center"/>
                </w:tcPr>
                <w:p w14:paraId="2AD90870">
                  <w:pPr>
                    <w:jc w:val="center"/>
                    <w:rPr>
                      <w:rFonts w:eastAsia="仿宋_GB2312"/>
                      <w:kern w:val="0"/>
                      <w:szCs w:val="21"/>
                    </w:rPr>
                  </w:pPr>
                  <w:r>
                    <w:rPr>
                      <w:rFonts w:hint="eastAsia" w:eastAsia="仿宋_GB2312"/>
                      <w:kern w:val="0"/>
                      <w:szCs w:val="21"/>
                    </w:rPr>
                    <w:t>38</w:t>
                  </w:r>
                </w:p>
              </w:tc>
              <w:tc>
                <w:tcPr>
                  <w:tcW w:w="921" w:type="pct"/>
                  <w:vMerge w:val="continue"/>
                  <w:vAlign w:val="center"/>
                </w:tcPr>
                <w:p w14:paraId="63256F2D">
                  <w:pPr>
                    <w:pStyle w:val="55"/>
                    <w:rPr>
                      <w:color w:val="auto"/>
                    </w:rPr>
                  </w:pPr>
                </w:p>
              </w:tc>
            </w:tr>
            <w:tr w14:paraId="6EED8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04" w:type="pct"/>
                  <w:vAlign w:val="center"/>
                </w:tcPr>
                <w:p w14:paraId="28E801C8">
                  <w:pPr>
                    <w:pStyle w:val="55"/>
                    <w:rPr>
                      <w:color w:val="auto"/>
                    </w:rPr>
                  </w:pPr>
                  <w:r>
                    <w:rPr>
                      <w:rFonts w:hint="eastAsia"/>
                      <w:color w:val="auto"/>
                    </w:rPr>
                    <w:t>7</w:t>
                  </w:r>
                </w:p>
              </w:tc>
              <w:tc>
                <w:tcPr>
                  <w:tcW w:w="2191" w:type="pct"/>
                  <w:shd w:val="clear" w:color="auto" w:fill="auto"/>
                  <w:vAlign w:val="center"/>
                </w:tcPr>
                <w:p w14:paraId="67990E3A">
                  <w:pPr>
                    <w:pStyle w:val="55"/>
                    <w:rPr>
                      <w:color w:val="auto"/>
                    </w:rPr>
                  </w:pPr>
                  <w:r>
                    <w:rPr>
                      <w:rFonts w:hint="eastAsia"/>
                      <w:color w:val="auto"/>
                    </w:rPr>
                    <w:t>线路边导线北侧23m，凤台县桂集镇西龚村西北园组桂某家2层平顶民房西侧1m处</w:t>
                  </w:r>
                </w:p>
              </w:tc>
              <w:tc>
                <w:tcPr>
                  <w:tcW w:w="699" w:type="pct"/>
                  <w:shd w:val="clear" w:color="auto" w:fill="auto"/>
                  <w:vAlign w:val="center"/>
                </w:tcPr>
                <w:p w14:paraId="75C3A63A">
                  <w:pPr>
                    <w:jc w:val="center"/>
                    <w:rPr>
                      <w:rFonts w:eastAsia="仿宋_GB2312"/>
                      <w:szCs w:val="21"/>
                    </w:rPr>
                  </w:pPr>
                  <w:r>
                    <w:rPr>
                      <w:rFonts w:hint="eastAsia" w:eastAsia="仿宋_GB2312"/>
                      <w:szCs w:val="21"/>
                    </w:rPr>
                    <w:t>48</w:t>
                  </w:r>
                </w:p>
              </w:tc>
              <w:tc>
                <w:tcPr>
                  <w:tcW w:w="783" w:type="pct"/>
                  <w:shd w:val="clear" w:color="auto" w:fill="auto"/>
                  <w:vAlign w:val="center"/>
                </w:tcPr>
                <w:p w14:paraId="6DCCF322">
                  <w:pPr>
                    <w:jc w:val="center"/>
                    <w:rPr>
                      <w:rFonts w:eastAsia="仿宋_GB2312"/>
                      <w:kern w:val="0"/>
                      <w:szCs w:val="21"/>
                    </w:rPr>
                  </w:pPr>
                  <w:r>
                    <w:rPr>
                      <w:rFonts w:hint="eastAsia" w:eastAsia="仿宋_GB2312"/>
                      <w:kern w:val="0"/>
                      <w:szCs w:val="21"/>
                    </w:rPr>
                    <w:t>38</w:t>
                  </w:r>
                </w:p>
              </w:tc>
              <w:tc>
                <w:tcPr>
                  <w:tcW w:w="921" w:type="pct"/>
                  <w:vMerge w:val="continue"/>
                  <w:vAlign w:val="center"/>
                </w:tcPr>
                <w:p w14:paraId="6A984720">
                  <w:pPr>
                    <w:pStyle w:val="55"/>
                    <w:rPr>
                      <w:color w:val="auto"/>
                    </w:rPr>
                  </w:pPr>
                </w:p>
              </w:tc>
            </w:tr>
            <w:tr w14:paraId="080B6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04" w:type="pct"/>
                  <w:vAlign w:val="center"/>
                </w:tcPr>
                <w:p w14:paraId="294D70E2">
                  <w:pPr>
                    <w:pStyle w:val="55"/>
                    <w:rPr>
                      <w:color w:val="auto"/>
                    </w:rPr>
                  </w:pPr>
                  <w:r>
                    <w:rPr>
                      <w:rFonts w:hint="eastAsia"/>
                      <w:color w:val="auto"/>
                    </w:rPr>
                    <w:t>8</w:t>
                  </w:r>
                </w:p>
              </w:tc>
              <w:tc>
                <w:tcPr>
                  <w:tcW w:w="2191" w:type="pct"/>
                  <w:shd w:val="clear" w:color="auto" w:fill="auto"/>
                  <w:vAlign w:val="center"/>
                </w:tcPr>
                <w:p w14:paraId="1AF0512A">
                  <w:pPr>
                    <w:pStyle w:val="55"/>
                    <w:rPr>
                      <w:color w:val="auto"/>
                    </w:rPr>
                  </w:pPr>
                  <w:r>
                    <w:rPr>
                      <w:rFonts w:hint="eastAsia"/>
                      <w:color w:val="auto"/>
                    </w:rPr>
                    <w:t>线路边导线西北侧30m，凤台县桂集镇西龚村西北园组桂某家3层平顶民房东侧1m处</w:t>
                  </w:r>
                </w:p>
              </w:tc>
              <w:tc>
                <w:tcPr>
                  <w:tcW w:w="699" w:type="pct"/>
                  <w:shd w:val="clear" w:color="auto" w:fill="auto"/>
                  <w:vAlign w:val="center"/>
                </w:tcPr>
                <w:p w14:paraId="1066818A">
                  <w:pPr>
                    <w:jc w:val="center"/>
                    <w:rPr>
                      <w:rFonts w:eastAsia="仿宋_GB2312"/>
                      <w:szCs w:val="21"/>
                    </w:rPr>
                  </w:pPr>
                  <w:r>
                    <w:rPr>
                      <w:rFonts w:hint="eastAsia" w:eastAsia="仿宋_GB2312"/>
                      <w:szCs w:val="21"/>
                    </w:rPr>
                    <w:t>47</w:t>
                  </w:r>
                </w:p>
              </w:tc>
              <w:tc>
                <w:tcPr>
                  <w:tcW w:w="783" w:type="pct"/>
                  <w:shd w:val="clear" w:color="auto" w:fill="auto"/>
                  <w:vAlign w:val="center"/>
                </w:tcPr>
                <w:p w14:paraId="47845756">
                  <w:pPr>
                    <w:jc w:val="center"/>
                    <w:rPr>
                      <w:rFonts w:eastAsia="仿宋_GB2312"/>
                      <w:kern w:val="0"/>
                      <w:szCs w:val="21"/>
                    </w:rPr>
                  </w:pPr>
                  <w:r>
                    <w:rPr>
                      <w:rFonts w:hint="eastAsia" w:eastAsia="仿宋_GB2312"/>
                      <w:kern w:val="0"/>
                      <w:szCs w:val="21"/>
                    </w:rPr>
                    <w:t>39</w:t>
                  </w:r>
                </w:p>
              </w:tc>
              <w:tc>
                <w:tcPr>
                  <w:tcW w:w="921" w:type="pct"/>
                  <w:vMerge w:val="continue"/>
                  <w:vAlign w:val="center"/>
                </w:tcPr>
                <w:p w14:paraId="3B174DAB">
                  <w:pPr>
                    <w:pStyle w:val="55"/>
                    <w:rPr>
                      <w:color w:val="auto"/>
                    </w:rPr>
                  </w:pPr>
                </w:p>
              </w:tc>
            </w:tr>
            <w:tr w14:paraId="0D05F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 w:hRule="atLeast"/>
                <w:jc w:val="center"/>
              </w:trPr>
              <w:tc>
                <w:tcPr>
                  <w:tcW w:w="404" w:type="pct"/>
                  <w:vAlign w:val="center"/>
                </w:tcPr>
                <w:p w14:paraId="379FB790">
                  <w:pPr>
                    <w:pStyle w:val="55"/>
                    <w:rPr>
                      <w:color w:val="auto"/>
                    </w:rPr>
                  </w:pPr>
                  <w:r>
                    <w:rPr>
                      <w:rFonts w:hint="eastAsia"/>
                      <w:color w:val="auto"/>
                    </w:rPr>
                    <w:t>9</w:t>
                  </w:r>
                </w:p>
              </w:tc>
              <w:tc>
                <w:tcPr>
                  <w:tcW w:w="2191" w:type="pct"/>
                  <w:shd w:val="clear" w:color="auto" w:fill="auto"/>
                  <w:vAlign w:val="center"/>
                </w:tcPr>
                <w:p w14:paraId="0551CFD4">
                  <w:pPr>
                    <w:pStyle w:val="55"/>
                    <w:rPr>
                      <w:color w:val="auto"/>
                    </w:rPr>
                  </w:pPr>
                  <w:r>
                    <w:rPr>
                      <w:rFonts w:hint="eastAsia"/>
                      <w:color w:val="auto"/>
                    </w:rPr>
                    <w:t>线路边导线南侧14m，凤台县桂集镇西龚村西北园组桂某家1层坡顶民房东侧1m处</w:t>
                  </w:r>
                </w:p>
              </w:tc>
              <w:tc>
                <w:tcPr>
                  <w:tcW w:w="699" w:type="pct"/>
                  <w:shd w:val="clear" w:color="auto" w:fill="auto"/>
                  <w:vAlign w:val="center"/>
                </w:tcPr>
                <w:p w14:paraId="2E9EBA8E">
                  <w:pPr>
                    <w:jc w:val="center"/>
                    <w:rPr>
                      <w:rFonts w:eastAsia="仿宋_GB2312"/>
                      <w:szCs w:val="21"/>
                    </w:rPr>
                  </w:pPr>
                  <w:r>
                    <w:rPr>
                      <w:rFonts w:hint="eastAsia" w:eastAsia="仿宋_GB2312"/>
                      <w:szCs w:val="21"/>
                    </w:rPr>
                    <w:t>46</w:t>
                  </w:r>
                </w:p>
              </w:tc>
              <w:tc>
                <w:tcPr>
                  <w:tcW w:w="783" w:type="pct"/>
                  <w:shd w:val="clear" w:color="auto" w:fill="auto"/>
                  <w:vAlign w:val="center"/>
                </w:tcPr>
                <w:p w14:paraId="1A679874">
                  <w:pPr>
                    <w:jc w:val="center"/>
                    <w:rPr>
                      <w:rFonts w:eastAsia="仿宋_GB2312"/>
                      <w:kern w:val="0"/>
                      <w:szCs w:val="21"/>
                    </w:rPr>
                  </w:pPr>
                  <w:r>
                    <w:rPr>
                      <w:rFonts w:hint="eastAsia" w:eastAsia="仿宋_GB2312"/>
                      <w:kern w:val="0"/>
                      <w:szCs w:val="21"/>
                    </w:rPr>
                    <w:t>39</w:t>
                  </w:r>
                </w:p>
              </w:tc>
              <w:tc>
                <w:tcPr>
                  <w:tcW w:w="921" w:type="pct"/>
                  <w:vMerge w:val="continue"/>
                  <w:vAlign w:val="center"/>
                </w:tcPr>
                <w:p w14:paraId="13505CD4">
                  <w:pPr>
                    <w:pStyle w:val="55"/>
                    <w:rPr>
                      <w:color w:val="auto"/>
                    </w:rPr>
                  </w:pPr>
                </w:p>
              </w:tc>
            </w:tr>
            <w:tr w14:paraId="36754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 w:hRule="atLeast"/>
                <w:jc w:val="center"/>
              </w:trPr>
              <w:tc>
                <w:tcPr>
                  <w:tcW w:w="404" w:type="pct"/>
                  <w:vAlign w:val="center"/>
                </w:tcPr>
                <w:p w14:paraId="39E71BBC">
                  <w:pPr>
                    <w:pStyle w:val="55"/>
                    <w:rPr>
                      <w:color w:val="auto"/>
                    </w:rPr>
                  </w:pPr>
                  <w:r>
                    <w:rPr>
                      <w:rFonts w:hint="eastAsia"/>
                      <w:color w:val="auto"/>
                    </w:rPr>
                    <w:t>10</w:t>
                  </w:r>
                </w:p>
              </w:tc>
              <w:tc>
                <w:tcPr>
                  <w:tcW w:w="2191" w:type="pct"/>
                  <w:shd w:val="clear" w:color="auto" w:fill="auto"/>
                  <w:vAlign w:val="center"/>
                </w:tcPr>
                <w:p w14:paraId="721FC8D8">
                  <w:pPr>
                    <w:pStyle w:val="55"/>
                    <w:rPr>
                      <w:color w:val="auto"/>
                    </w:rPr>
                  </w:pPr>
                  <w:r>
                    <w:rPr>
                      <w:rFonts w:hint="eastAsia"/>
                      <w:color w:val="auto"/>
                    </w:rPr>
                    <w:t>线路边导线东侧7m，凤台县桂集镇西龚村西北园组桂某家2层平顶民房西侧1m处</w:t>
                  </w:r>
                </w:p>
              </w:tc>
              <w:tc>
                <w:tcPr>
                  <w:tcW w:w="699" w:type="pct"/>
                  <w:shd w:val="clear" w:color="auto" w:fill="auto"/>
                  <w:vAlign w:val="center"/>
                </w:tcPr>
                <w:p w14:paraId="48690699">
                  <w:pPr>
                    <w:jc w:val="center"/>
                    <w:rPr>
                      <w:rFonts w:eastAsia="仿宋_GB2312"/>
                      <w:szCs w:val="21"/>
                    </w:rPr>
                  </w:pPr>
                  <w:r>
                    <w:rPr>
                      <w:rFonts w:hint="eastAsia" w:eastAsia="仿宋_GB2312"/>
                      <w:szCs w:val="21"/>
                    </w:rPr>
                    <w:t>45</w:t>
                  </w:r>
                </w:p>
              </w:tc>
              <w:tc>
                <w:tcPr>
                  <w:tcW w:w="783" w:type="pct"/>
                  <w:shd w:val="clear" w:color="auto" w:fill="auto"/>
                  <w:vAlign w:val="center"/>
                </w:tcPr>
                <w:p w14:paraId="002EE671">
                  <w:pPr>
                    <w:jc w:val="center"/>
                    <w:rPr>
                      <w:rFonts w:eastAsia="仿宋_GB2312"/>
                      <w:kern w:val="0"/>
                      <w:szCs w:val="21"/>
                    </w:rPr>
                  </w:pPr>
                  <w:r>
                    <w:rPr>
                      <w:rFonts w:hint="eastAsia" w:eastAsia="仿宋_GB2312"/>
                      <w:kern w:val="0"/>
                      <w:szCs w:val="21"/>
                    </w:rPr>
                    <w:t>39</w:t>
                  </w:r>
                </w:p>
              </w:tc>
              <w:tc>
                <w:tcPr>
                  <w:tcW w:w="921" w:type="pct"/>
                  <w:vMerge w:val="continue"/>
                  <w:vAlign w:val="center"/>
                </w:tcPr>
                <w:p w14:paraId="224B1BC6">
                  <w:pPr>
                    <w:pStyle w:val="55"/>
                    <w:rPr>
                      <w:color w:val="auto"/>
                    </w:rPr>
                  </w:pPr>
                </w:p>
              </w:tc>
            </w:tr>
          </w:tbl>
          <w:p w14:paraId="4B39CC8B">
            <w:pPr>
              <w:pStyle w:val="51"/>
              <w:rPr>
                <w:color w:val="auto"/>
              </w:rPr>
            </w:pPr>
            <w:r>
              <w:rPr>
                <w:color w:val="auto"/>
              </w:rPr>
              <w:t>根据监测结果和对标结果表可知，</w:t>
            </w:r>
            <w:r>
              <w:rPr>
                <w:rFonts w:hint="eastAsia"/>
                <w:color w:val="auto"/>
              </w:rPr>
              <w:t>本</w:t>
            </w:r>
            <w:r>
              <w:rPr>
                <w:color w:val="auto"/>
              </w:rPr>
              <w:t>项目区域</w:t>
            </w:r>
            <w:r>
              <w:rPr>
                <w:rFonts w:hint="eastAsia"/>
                <w:color w:val="auto"/>
              </w:rPr>
              <w:t>村庄</w:t>
            </w:r>
            <w:r>
              <w:rPr>
                <w:color w:val="auto"/>
              </w:rPr>
              <w:t>环境敏感点噪声能达到《声环境质量标准》（GB3096-2008）标准限值的要求。</w:t>
            </w:r>
          </w:p>
          <w:p w14:paraId="0368C53E">
            <w:pPr>
              <w:pStyle w:val="48"/>
              <w:rPr>
                <w:color w:val="auto"/>
              </w:rPr>
            </w:pPr>
            <w:r>
              <w:rPr>
                <w:rFonts w:hint="eastAsia"/>
                <w:color w:val="auto"/>
              </w:rPr>
              <w:t>（七）电磁环境</w:t>
            </w:r>
          </w:p>
          <w:p w14:paraId="65639FB5">
            <w:pPr>
              <w:pStyle w:val="51"/>
              <w:rPr>
                <w:color w:val="auto"/>
              </w:rPr>
            </w:pPr>
            <w:r>
              <w:rPr>
                <w:color w:val="auto"/>
              </w:rPr>
              <w:t>电磁环境质量现状详见电磁环境影响专题。</w:t>
            </w:r>
          </w:p>
          <w:p w14:paraId="39F2C7D5">
            <w:pPr>
              <w:pStyle w:val="51"/>
              <w:rPr>
                <w:color w:val="auto"/>
              </w:rPr>
            </w:pPr>
            <w:r>
              <w:rPr>
                <w:color w:val="auto"/>
              </w:rPr>
              <w:t>电磁环境现状监测果表明：</w:t>
            </w:r>
          </w:p>
          <w:p w14:paraId="31E9117E">
            <w:pPr>
              <w:pStyle w:val="51"/>
              <w:rPr>
                <w:color w:val="auto"/>
              </w:rPr>
            </w:pPr>
            <w:r>
              <w:rPr>
                <w:rFonts w:hint="eastAsia"/>
                <w:color w:val="auto"/>
              </w:rPr>
              <w:t>本次环评的升压站四周现状监测点处工频电场强度为1.8~8.2</w:t>
            </w:r>
            <w:r>
              <w:rPr>
                <w:color w:val="auto"/>
              </w:rPr>
              <w:t>V/m</w:t>
            </w:r>
            <w:r>
              <w:rPr>
                <w:rFonts w:hint="eastAsia"/>
                <w:color w:val="auto"/>
              </w:rPr>
              <w:t>，工频磁感应强度为0.025~</w:t>
            </w:r>
            <w:r>
              <w:rPr>
                <w:color w:val="auto"/>
              </w:rPr>
              <w:t>0.</w:t>
            </w:r>
            <w:r>
              <w:rPr>
                <w:rFonts w:hint="eastAsia"/>
                <w:color w:val="auto"/>
              </w:rPr>
              <w:t>123</w:t>
            </w:r>
            <w:r>
              <w:rPr>
                <w:color w:val="auto"/>
              </w:rPr>
              <w:t>μT</w:t>
            </w:r>
            <w:r>
              <w:rPr>
                <w:rFonts w:hint="eastAsia"/>
                <w:color w:val="auto"/>
              </w:rPr>
              <w:t>，均满足工频电场强度4000V/m，工频磁感应强度100μT的评价标准要求。</w:t>
            </w:r>
          </w:p>
          <w:p w14:paraId="5550E3D1">
            <w:pPr>
              <w:pStyle w:val="51"/>
              <w:rPr>
                <w:color w:val="auto"/>
              </w:rPr>
            </w:pPr>
            <w:r>
              <w:rPr>
                <w:rFonts w:hint="eastAsia"/>
                <w:color w:val="auto"/>
              </w:rPr>
              <w:t>本次环评的线路周边现状监测点处工频电场强度为0.7~3.18V/m，工频磁感应强度为0.012~0.018</w:t>
            </w:r>
            <w:r>
              <w:rPr>
                <w:color w:val="auto"/>
              </w:rPr>
              <w:t>μT，</w:t>
            </w:r>
            <w:r>
              <w:rPr>
                <w:rFonts w:hint="eastAsia"/>
                <w:color w:val="auto"/>
              </w:rPr>
              <w:t>均满足工频电场强度4000V/m，工频磁感应强度100μT的评价标准要求。</w:t>
            </w:r>
          </w:p>
        </w:tc>
      </w:tr>
      <w:tr w14:paraId="27D964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53" w:hRule="atLeast"/>
          <w:jc w:val="center"/>
        </w:trPr>
        <w:tc>
          <w:tcPr>
            <w:tcW w:w="904" w:type="dxa"/>
            <w:vAlign w:val="center"/>
          </w:tcPr>
          <w:p w14:paraId="1A9FA025">
            <w:pPr>
              <w:adjustRightInd w:val="0"/>
              <w:snapToGrid w:val="0"/>
              <w:jc w:val="center"/>
              <w:rPr>
                <w:rFonts w:hint="eastAsia" w:ascii="宋体" w:hAnsi="宋体" w:cs="宋体"/>
                <w:b/>
                <w:kern w:val="0"/>
                <w:szCs w:val="21"/>
              </w:rPr>
            </w:pPr>
            <w:r>
              <w:rPr>
                <w:rFonts w:hint="eastAsia" w:ascii="宋体" w:hAnsi="宋体"/>
                <w:b/>
                <w:szCs w:val="21"/>
              </w:rPr>
              <w:t>与项目有关的原有环境污染和生态破坏问题</w:t>
            </w:r>
          </w:p>
        </w:tc>
        <w:tc>
          <w:tcPr>
            <w:tcW w:w="8253" w:type="dxa"/>
            <w:vAlign w:val="center"/>
          </w:tcPr>
          <w:p w14:paraId="78CF61B0">
            <w:pPr>
              <w:pStyle w:val="48"/>
              <w:rPr>
                <w:color w:val="auto"/>
              </w:rPr>
            </w:pPr>
            <w:r>
              <w:rPr>
                <w:rFonts w:hint="eastAsia"/>
                <w:color w:val="auto"/>
              </w:rPr>
              <w:t>（八）本项目原有污染情况</w:t>
            </w:r>
          </w:p>
          <w:p w14:paraId="46E38A42">
            <w:pPr>
              <w:pStyle w:val="51"/>
              <w:rPr>
                <w:color w:val="auto"/>
              </w:rPr>
            </w:pPr>
            <w:r>
              <w:rPr>
                <w:rFonts w:hint="eastAsia"/>
                <w:color w:val="auto"/>
              </w:rPr>
              <w:t>本项目为新建项目，无与项目有关的原有环境污染和生态破坏问题。现状监测结果明，本项目输电线路拟建址周围电磁环境及声环境质量均能满足相应标准限值要求。</w:t>
            </w:r>
          </w:p>
          <w:p w14:paraId="223BE06B">
            <w:pPr>
              <w:pStyle w:val="48"/>
              <w:rPr>
                <w:color w:val="auto"/>
              </w:rPr>
            </w:pPr>
            <w:r>
              <w:rPr>
                <w:rFonts w:hint="eastAsia"/>
                <w:color w:val="auto"/>
              </w:rPr>
              <w:t>（九）与项目有关的工程情况</w:t>
            </w:r>
          </w:p>
          <w:p w14:paraId="6E1D258F">
            <w:pPr>
              <w:pStyle w:val="51"/>
              <w:rPr>
                <w:color w:val="auto"/>
              </w:rPr>
            </w:pPr>
            <w:r>
              <w:rPr>
                <w:rFonts w:hint="eastAsia"/>
                <w:color w:val="auto"/>
              </w:rPr>
              <w:t>本工程涉及的工程包括凤台县风光储一体化项目500千伏汇集站项目</w:t>
            </w:r>
            <w:r>
              <w:rPr>
                <w:rFonts w:hint="eastAsia"/>
                <w:color w:val="auto"/>
                <w:lang w:val="zh-CN"/>
              </w:rPr>
              <w:t>。</w:t>
            </w:r>
          </w:p>
          <w:p w14:paraId="6F36E418">
            <w:pPr>
              <w:pStyle w:val="51"/>
              <w:rPr>
                <w:color w:val="auto"/>
              </w:rPr>
            </w:pPr>
            <w:r>
              <w:rPr>
                <w:rFonts w:hint="eastAsia"/>
                <w:color w:val="auto"/>
              </w:rPr>
              <w:t>凤台县风光储一体化项目500千伏汇集站项目：建设1台1200MVA主变，500kV间隔1个用于1回500kV线路接入汤庄变，向北架空出线，220kV间隔3个，其中2个间隔用于2回220kV线路接入本项目汇集站，1个间隔作为储能项目预留，向南电缆出线。配置2组60MVar低压电容器以及1组60MVar低压电抗器。项目于2024年11月21日取得安徽省生态环境厅皖环辐[2024</w:t>
            </w:r>
            <w:r>
              <w:rPr>
                <w:color w:val="auto"/>
              </w:rPr>
              <w:t>]</w:t>
            </w:r>
            <w:r>
              <w:rPr>
                <w:rFonts w:hint="eastAsia"/>
                <w:color w:val="auto"/>
              </w:rPr>
              <w:t>1086号文《关于凤台县风光储一体化项目500千伏汇集站项目环境影响报告书审批意见的函》，暂未开工。</w:t>
            </w:r>
          </w:p>
        </w:tc>
      </w:tr>
      <w:tr w14:paraId="4BA782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35" w:hRule="atLeast"/>
          <w:jc w:val="center"/>
        </w:trPr>
        <w:tc>
          <w:tcPr>
            <w:tcW w:w="904" w:type="dxa"/>
            <w:vAlign w:val="center"/>
          </w:tcPr>
          <w:p w14:paraId="59ECBA39">
            <w:pPr>
              <w:adjustRightInd w:val="0"/>
              <w:snapToGrid w:val="0"/>
              <w:jc w:val="center"/>
              <w:rPr>
                <w:rFonts w:hint="eastAsia" w:ascii="宋体" w:hAnsi="宋体" w:cs="宋体"/>
                <w:kern w:val="0"/>
                <w:szCs w:val="21"/>
              </w:rPr>
            </w:pPr>
            <w:r>
              <w:rPr>
                <w:rFonts w:hint="eastAsia" w:ascii="宋体" w:hAnsi="宋体" w:cs="宋体"/>
                <w:kern w:val="0"/>
                <w:szCs w:val="21"/>
              </w:rPr>
              <w:t>生态环境保护目标</w:t>
            </w:r>
          </w:p>
        </w:tc>
        <w:tc>
          <w:tcPr>
            <w:tcW w:w="8253" w:type="dxa"/>
            <w:vAlign w:val="center"/>
          </w:tcPr>
          <w:p w14:paraId="69B10681">
            <w:pPr>
              <w:pStyle w:val="48"/>
              <w:rPr>
                <w:color w:val="auto"/>
              </w:rPr>
            </w:pPr>
            <w:r>
              <w:rPr>
                <w:rFonts w:hint="eastAsia"/>
                <w:color w:val="auto"/>
              </w:rPr>
              <w:t>（十）评价因子及范围</w:t>
            </w:r>
          </w:p>
          <w:p w14:paraId="47536EFC">
            <w:pPr>
              <w:pStyle w:val="49"/>
              <w:rPr>
                <w:color w:val="auto"/>
              </w:rPr>
            </w:pPr>
            <w:r>
              <w:rPr>
                <w:rFonts w:hint="eastAsia"/>
                <w:color w:val="auto"/>
              </w:rPr>
              <w:t>1、评价因子</w:t>
            </w:r>
          </w:p>
          <w:p w14:paraId="66D59781">
            <w:pPr>
              <w:pStyle w:val="51"/>
              <w:rPr>
                <w:color w:val="auto"/>
              </w:rPr>
            </w:pPr>
            <w:r>
              <w:rPr>
                <w:rFonts w:hint="eastAsia"/>
                <w:color w:val="auto"/>
              </w:rPr>
              <w:t>根据输变电项目的性质，本工程运行期和施工期产生的环境影响因素有电磁环境、声环境、生态环境等，归纳如表3</w:t>
            </w:r>
            <w:r>
              <w:rPr>
                <w:color w:val="auto"/>
              </w:rPr>
              <w:t>-</w:t>
            </w:r>
            <w:r>
              <w:rPr>
                <w:rFonts w:hint="eastAsia"/>
                <w:color w:val="auto"/>
              </w:rPr>
              <w:t>8。</w:t>
            </w:r>
          </w:p>
          <w:p w14:paraId="2B222786">
            <w:pPr>
              <w:pStyle w:val="53"/>
              <w:rPr>
                <w:color w:val="auto"/>
              </w:rPr>
            </w:pPr>
            <w:r>
              <w:rPr>
                <w:rFonts w:hint="eastAsia"/>
                <w:color w:val="auto"/>
              </w:rPr>
              <w:t>表3</w:t>
            </w:r>
            <w:r>
              <w:rPr>
                <w:color w:val="auto"/>
              </w:rPr>
              <w:t>-</w:t>
            </w:r>
            <w:r>
              <w:rPr>
                <w:rFonts w:hint="eastAsia"/>
                <w:color w:val="auto"/>
              </w:rPr>
              <w:t>8</w:t>
            </w:r>
            <w:r>
              <w:rPr>
                <w:color w:val="auto"/>
              </w:rPr>
              <w:t xml:space="preserve">  </w:t>
            </w:r>
            <w:r>
              <w:rPr>
                <w:rFonts w:hint="eastAsia"/>
                <w:color w:val="auto"/>
              </w:rPr>
              <w:t>主要环节影响评价因子识别</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0"/>
              <w:gridCol w:w="1132"/>
              <w:gridCol w:w="1841"/>
              <w:gridCol w:w="1273"/>
              <w:gridCol w:w="1841"/>
              <w:gridCol w:w="1210"/>
            </w:tblGrid>
            <w:tr w14:paraId="45185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4" w:type="pct"/>
                  <w:vAlign w:val="center"/>
                </w:tcPr>
                <w:p w14:paraId="58531C97">
                  <w:pPr>
                    <w:pStyle w:val="55"/>
                    <w:rPr>
                      <w:color w:val="auto"/>
                    </w:rPr>
                  </w:pPr>
                  <w:r>
                    <w:rPr>
                      <w:rFonts w:hint="eastAsia"/>
                      <w:color w:val="auto"/>
                    </w:rPr>
                    <w:t>评价阶段</w:t>
                  </w:r>
                </w:p>
              </w:tc>
              <w:tc>
                <w:tcPr>
                  <w:tcW w:w="705" w:type="pct"/>
                  <w:vAlign w:val="center"/>
                </w:tcPr>
                <w:p w14:paraId="077CAFB1">
                  <w:pPr>
                    <w:pStyle w:val="55"/>
                    <w:rPr>
                      <w:color w:val="auto"/>
                    </w:rPr>
                  </w:pPr>
                  <w:r>
                    <w:rPr>
                      <w:rFonts w:hint="eastAsia"/>
                      <w:color w:val="auto"/>
                    </w:rPr>
                    <w:t>评价项目</w:t>
                  </w:r>
                </w:p>
              </w:tc>
              <w:tc>
                <w:tcPr>
                  <w:tcW w:w="1147" w:type="pct"/>
                  <w:vAlign w:val="center"/>
                </w:tcPr>
                <w:p w14:paraId="556CBCD1">
                  <w:pPr>
                    <w:pStyle w:val="55"/>
                    <w:rPr>
                      <w:color w:val="auto"/>
                    </w:rPr>
                  </w:pPr>
                  <w:r>
                    <w:rPr>
                      <w:rFonts w:hint="eastAsia"/>
                      <w:color w:val="auto"/>
                    </w:rPr>
                    <w:t>现状评价因子</w:t>
                  </w:r>
                </w:p>
              </w:tc>
              <w:tc>
                <w:tcPr>
                  <w:tcW w:w="793" w:type="pct"/>
                  <w:vAlign w:val="center"/>
                </w:tcPr>
                <w:p w14:paraId="47947B83">
                  <w:pPr>
                    <w:pStyle w:val="55"/>
                    <w:rPr>
                      <w:color w:val="auto"/>
                    </w:rPr>
                  </w:pPr>
                  <w:r>
                    <w:rPr>
                      <w:rFonts w:hint="eastAsia"/>
                      <w:color w:val="auto"/>
                    </w:rPr>
                    <w:t>单位</w:t>
                  </w:r>
                </w:p>
              </w:tc>
              <w:tc>
                <w:tcPr>
                  <w:tcW w:w="1147" w:type="pct"/>
                  <w:vAlign w:val="center"/>
                </w:tcPr>
                <w:p w14:paraId="26532569">
                  <w:pPr>
                    <w:pStyle w:val="55"/>
                    <w:rPr>
                      <w:color w:val="auto"/>
                    </w:rPr>
                  </w:pPr>
                  <w:r>
                    <w:rPr>
                      <w:rFonts w:hint="eastAsia"/>
                      <w:color w:val="auto"/>
                    </w:rPr>
                    <w:t>预测评价因子</w:t>
                  </w:r>
                </w:p>
              </w:tc>
              <w:tc>
                <w:tcPr>
                  <w:tcW w:w="754" w:type="pct"/>
                  <w:vAlign w:val="center"/>
                </w:tcPr>
                <w:p w14:paraId="5ECEF84C">
                  <w:pPr>
                    <w:pStyle w:val="55"/>
                    <w:rPr>
                      <w:color w:val="auto"/>
                    </w:rPr>
                  </w:pPr>
                  <w:r>
                    <w:rPr>
                      <w:rFonts w:hint="eastAsia"/>
                      <w:color w:val="auto"/>
                    </w:rPr>
                    <w:t>单位</w:t>
                  </w:r>
                </w:p>
              </w:tc>
            </w:tr>
            <w:tr w14:paraId="09F0E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4" w:type="pct"/>
                  <w:vMerge w:val="restart"/>
                  <w:vAlign w:val="center"/>
                </w:tcPr>
                <w:p w14:paraId="52A4022A">
                  <w:pPr>
                    <w:pStyle w:val="55"/>
                    <w:rPr>
                      <w:color w:val="auto"/>
                    </w:rPr>
                  </w:pPr>
                  <w:r>
                    <w:rPr>
                      <w:rFonts w:hint="eastAsia"/>
                      <w:color w:val="auto"/>
                    </w:rPr>
                    <w:t>施工期</w:t>
                  </w:r>
                </w:p>
              </w:tc>
              <w:tc>
                <w:tcPr>
                  <w:tcW w:w="705" w:type="pct"/>
                  <w:vAlign w:val="center"/>
                </w:tcPr>
                <w:p w14:paraId="78F3D6C7">
                  <w:pPr>
                    <w:pStyle w:val="55"/>
                    <w:rPr>
                      <w:color w:val="auto"/>
                    </w:rPr>
                  </w:pPr>
                  <w:r>
                    <w:rPr>
                      <w:rFonts w:hint="eastAsia"/>
                      <w:color w:val="auto"/>
                    </w:rPr>
                    <w:t>声环境</w:t>
                  </w:r>
                </w:p>
              </w:tc>
              <w:tc>
                <w:tcPr>
                  <w:tcW w:w="1147" w:type="pct"/>
                  <w:vAlign w:val="center"/>
                </w:tcPr>
                <w:p w14:paraId="3D83821C">
                  <w:pPr>
                    <w:pStyle w:val="55"/>
                    <w:rPr>
                      <w:color w:val="auto"/>
                    </w:rPr>
                  </w:pPr>
                  <w:r>
                    <w:rPr>
                      <w:rFonts w:hint="eastAsia"/>
                      <w:color w:val="auto"/>
                    </w:rPr>
                    <w:t>昼间、夜间等效声级，Leq</w:t>
                  </w:r>
                </w:p>
              </w:tc>
              <w:tc>
                <w:tcPr>
                  <w:tcW w:w="793" w:type="pct"/>
                  <w:vAlign w:val="center"/>
                </w:tcPr>
                <w:p w14:paraId="792342B6">
                  <w:pPr>
                    <w:pStyle w:val="55"/>
                    <w:rPr>
                      <w:color w:val="auto"/>
                    </w:rPr>
                  </w:pPr>
                  <w:r>
                    <w:rPr>
                      <w:rFonts w:hint="eastAsia"/>
                      <w:color w:val="auto"/>
                    </w:rPr>
                    <w:t>dB（A）</w:t>
                  </w:r>
                </w:p>
              </w:tc>
              <w:tc>
                <w:tcPr>
                  <w:tcW w:w="1147" w:type="pct"/>
                  <w:vAlign w:val="center"/>
                </w:tcPr>
                <w:p w14:paraId="58C33873">
                  <w:pPr>
                    <w:pStyle w:val="55"/>
                    <w:rPr>
                      <w:color w:val="auto"/>
                    </w:rPr>
                  </w:pPr>
                  <w:r>
                    <w:rPr>
                      <w:rFonts w:hint="eastAsia"/>
                      <w:color w:val="auto"/>
                    </w:rPr>
                    <w:t>昼间、夜间等效声级，Leq</w:t>
                  </w:r>
                </w:p>
              </w:tc>
              <w:tc>
                <w:tcPr>
                  <w:tcW w:w="754" w:type="pct"/>
                  <w:vAlign w:val="center"/>
                </w:tcPr>
                <w:p w14:paraId="54598930">
                  <w:pPr>
                    <w:pStyle w:val="55"/>
                    <w:rPr>
                      <w:color w:val="auto"/>
                    </w:rPr>
                  </w:pPr>
                  <w:r>
                    <w:rPr>
                      <w:rFonts w:hint="eastAsia"/>
                      <w:color w:val="auto"/>
                    </w:rPr>
                    <w:t>dB（A）</w:t>
                  </w:r>
                </w:p>
              </w:tc>
            </w:tr>
            <w:tr w14:paraId="323E5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4" w:type="pct"/>
                  <w:vMerge w:val="continue"/>
                  <w:vAlign w:val="center"/>
                </w:tcPr>
                <w:p w14:paraId="7A137BB0">
                  <w:pPr>
                    <w:pStyle w:val="55"/>
                    <w:rPr>
                      <w:color w:val="auto"/>
                    </w:rPr>
                  </w:pPr>
                </w:p>
              </w:tc>
              <w:tc>
                <w:tcPr>
                  <w:tcW w:w="705" w:type="pct"/>
                  <w:vAlign w:val="center"/>
                </w:tcPr>
                <w:p w14:paraId="587D1A4E">
                  <w:pPr>
                    <w:pStyle w:val="55"/>
                    <w:rPr>
                      <w:color w:val="auto"/>
                    </w:rPr>
                  </w:pPr>
                  <w:r>
                    <w:rPr>
                      <w:rFonts w:hint="eastAsia"/>
                      <w:color w:val="auto"/>
                    </w:rPr>
                    <w:t>生态环境</w:t>
                  </w:r>
                </w:p>
              </w:tc>
              <w:tc>
                <w:tcPr>
                  <w:tcW w:w="1147" w:type="pct"/>
                  <w:vAlign w:val="center"/>
                </w:tcPr>
                <w:p w14:paraId="5266F67B">
                  <w:pPr>
                    <w:pStyle w:val="55"/>
                    <w:rPr>
                      <w:color w:val="auto"/>
                    </w:rPr>
                  </w:pPr>
                  <w:r>
                    <w:rPr>
                      <w:rFonts w:hint="eastAsia"/>
                      <w:color w:val="auto"/>
                    </w:rPr>
                    <w:t>生态系统及其生物因子、非生物因子</w:t>
                  </w:r>
                </w:p>
              </w:tc>
              <w:tc>
                <w:tcPr>
                  <w:tcW w:w="793" w:type="pct"/>
                  <w:vAlign w:val="center"/>
                </w:tcPr>
                <w:p w14:paraId="530AA5D9">
                  <w:pPr>
                    <w:pStyle w:val="55"/>
                    <w:rPr>
                      <w:color w:val="auto"/>
                    </w:rPr>
                  </w:pPr>
                  <w:r>
                    <w:rPr>
                      <w:rFonts w:hint="eastAsia"/>
                      <w:color w:val="auto"/>
                    </w:rPr>
                    <w:t>/</w:t>
                  </w:r>
                </w:p>
              </w:tc>
              <w:tc>
                <w:tcPr>
                  <w:tcW w:w="1147" w:type="pct"/>
                  <w:vAlign w:val="center"/>
                </w:tcPr>
                <w:p w14:paraId="5A895584">
                  <w:pPr>
                    <w:pStyle w:val="55"/>
                    <w:rPr>
                      <w:color w:val="auto"/>
                    </w:rPr>
                  </w:pPr>
                  <w:r>
                    <w:rPr>
                      <w:rFonts w:hint="eastAsia"/>
                      <w:color w:val="auto"/>
                    </w:rPr>
                    <w:t>生态系统及其生物因子、非生物因子</w:t>
                  </w:r>
                </w:p>
              </w:tc>
              <w:tc>
                <w:tcPr>
                  <w:tcW w:w="754" w:type="pct"/>
                  <w:vAlign w:val="center"/>
                </w:tcPr>
                <w:p w14:paraId="61A28111">
                  <w:pPr>
                    <w:pStyle w:val="55"/>
                    <w:rPr>
                      <w:color w:val="auto"/>
                    </w:rPr>
                  </w:pPr>
                  <w:r>
                    <w:rPr>
                      <w:rFonts w:hint="eastAsia"/>
                      <w:color w:val="auto"/>
                    </w:rPr>
                    <w:t>/</w:t>
                  </w:r>
                </w:p>
              </w:tc>
            </w:tr>
            <w:tr w14:paraId="50D4A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4" w:type="pct"/>
                  <w:vMerge w:val="continue"/>
                  <w:vAlign w:val="center"/>
                </w:tcPr>
                <w:p w14:paraId="1D1E99C7">
                  <w:pPr>
                    <w:pStyle w:val="55"/>
                    <w:rPr>
                      <w:color w:val="auto"/>
                    </w:rPr>
                  </w:pPr>
                </w:p>
              </w:tc>
              <w:tc>
                <w:tcPr>
                  <w:tcW w:w="705" w:type="pct"/>
                  <w:vAlign w:val="center"/>
                </w:tcPr>
                <w:p w14:paraId="39FE2CE7">
                  <w:pPr>
                    <w:pStyle w:val="55"/>
                    <w:rPr>
                      <w:color w:val="auto"/>
                    </w:rPr>
                  </w:pPr>
                  <w:r>
                    <w:rPr>
                      <w:rFonts w:hint="eastAsia"/>
                      <w:color w:val="auto"/>
                    </w:rPr>
                    <w:t>地表水环境</w:t>
                  </w:r>
                </w:p>
              </w:tc>
              <w:tc>
                <w:tcPr>
                  <w:tcW w:w="1147" w:type="pct"/>
                  <w:vAlign w:val="center"/>
                </w:tcPr>
                <w:p w14:paraId="670D69F0">
                  <w:pPr>
                    <w:pStyle w:val="55"/>
                    <w:rPr>
                      <w:color w:val="auto"/>
                    </w:rPr>
                  </w:pPr>
                  <w:r>
                    <w:rPr>
                      <w:rFonts w:hint="eastAsia"/>
                      <w:color w:val="auto"/>
                    </w:rPr>
                    <w:t>pH、COD、BOD</w:t>
                  </w:r>
                  <w:r>
                    <w:rPr>
                      <w:color w:val="auto"/>
                      <w:vertAlign w:val="subscript"/>
                    </w:rPr>
                    <w:t>5</w:t>
                  </w:r>
                  <w:r>
                    <w:rPr>
                      <w:rFonts w:hint="eastAsia"/>
                      <w:color w:val="auto"/>
                    </w:rPr>
                    <w:t>、NH</w:t>
                  </w:r>
                  <w:r>
                    <w:rPr>
                      <w:color w:val="auto"/>
                      <w:vertAlign w:val="subscript"/>
                    </w:rPr>
                    <w:t>3</w:t>
                  </w:r>
                  <w:r>
                    <w:rPr>
                      <w:color w:val="auto"/>
                    </w:rPr>
                    <w:t>-</w:t>
                  </w:r>
                  <w:r>
                    <w:rPr>
                      <w:rFonts w:hint="eastAsia"/>
                      <w:color w:val="auto"/>
                    </w:rPr>
                    <w:t>N、石油类</w:t>
                  </w:r>
                </w:p>
              </w:tc>
              <w:tc>
                <w:tcPr>
                  <w:tcW w:w="793" w:type="pct"/>
                  <w:vAlign w:val="center"/>
                </w:tcPr>
                <w:p w14:paraId="08A61C18">
                  <w:pPr>
                    <w:pStyle w:val="55"/>
                    <w:rPr>
                      <w:color w:val="auto"/>
                    </w:rPr>
                  </w:pPr>
                  <w:r>
                    <w:rPr>
                      <w:rFonts w:hint="eastAsia"/>
                      <w:color w:val="auto"/>
                    </w:rPr>
                    <w:t>pH无量纲，</w:t>
                  </w:r>
                  <w:r>
                    <w:rPr>
                      <w:color w:val="auto"/>
                    </w:rPr>
                    <w:t>mg/</w:t>
                  </w:r>
                  <w:r>
                    <w:rPr>
                      <w:rFonts w:hint="eastAsia"/>
                      <w:color w:val="auto"/>
                    </w:rPr>
                    <w:t>L</w:t>
                  </w:r>
                </w:p>
              </w:tc>
              <w:tc>
                <w:tcPr>
                  <w:tcW w:w="1147" w:type="pct"/>
                  <w:vAlign w:val="center"/>
                </w:tcPr>
                <w:p w14:paraId="67907A84">
                  <w:pPr>
                    <w:pStyle w:val="55"/>
                    <w:rPr>
                      <w:color w:val="auto"/>
                    </w:rPr>
                  </w:pPr>
                  <w:r>
                    <w:rPr>
                      <w:rFonts w:hint="eastAsia"/>
                      <w:color w:val="auto"/>
                    </w:rPr>
                    <w:t>pH、COD、BOD</w:t>
                  </w:r>
                  <w:r>
                    <w:rPr>
                      <w:color w:val="auto"/>
                      <w:vertAlign w:val="subscript"/>
                    </w:rPr>
                    <w:t>5</w:t>
                  </w:r>
                  <w:r>
                    <w:rPr>
                      <w:rFonts w:hint="eastAsia"/>
                      <w:color w:val="auto"/>
                    </w:rPr>
                    <w:t>、NH</w:t>
                  </w:r>
                  <w:r>
                    <w:rPr>
                      <w:color w:val="auto"/>
                      <w:vertAlign w:val="subscript"/>
                    </w:rPr>
                    <w:t>3</w:t>
                  </w:r>
                  <w:r>
                    <w:rPr>
                      <w:color w:val="auto"/>
                    </w:rPr>
                    <w:t>-</w:t>
                  </w:r>
                  <w:r>
                    <w:rPr>
                      <w:rFonts w:hint="eastAsia"/>
                      <w:color w:val="auto"/>
                    </w:rPr>
                    <w:t>N、石油类</w:t>
                  </w:r>
                </w:p>
              </w:tc>
              <w:tc>
                <w:tcPr>
                  <w:tcW w:w="754" w:type="pct"/>
                  <w:vAlign w:val="center"/>
                </w:tcPr>
                <w:p w14:paraId="2CB903D4">
                  <w:pPr>
                    <w:pStyle w:val="55"/>
                    <w:rPr>
                      <w:color w:val="auto"/>
                    </w:rPr>
                  </w:pPr>
                  <w:r>
                    <w:rPr>
                      <w:rFonts w:hint="eastAsia"/>
                      <w:color w:val="auto"/>
                    </w:rPr>
                    <w:t>pH无量纲，</w:t>
                  </w:r>
                  <w:r>
                    <w:rPr>
                      <w:color w:val="auto"/>
                    </w:rPr>
                    <w:t>mg/</w:t>
                  </w:r>
                  <w:r>
                    <w:rPr>
                      <w:rFonts w:hint="eastAsia"/>
                      <w:color w:val="auto"/>
                    </w:rPr>
                    <w:t>L</w:t>
                  </w:r>
                </w:p>
              </w:tc>
            </w:tr>
            <w:tr w14:paraId="504A7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4" w:type="pct"/>
                  <w:vMerge w:val="restart"/>
                  <w:vAlign w:val="center"/>
                </w:tcPr>
                <w:p w14:paraId="095A5ADE">
                  <w:pPr>
                    <w:pStyle w:val="55"/>
                    <w:rPr>
                      <w:color w:val="auto"/>
                    </w:rPr>
                  </w:pPr>
                  <w:r>
                    <w:rPr>
                      <w:rFonts w:hint="eastAsia"/>
                      <w:color w:val="auto"/>
                    </w:rPr>
                    <w:t>运行期</w:t>
                  </w:r>
                </w:p>
              </w:tc>
              <w:tc>
                <w:tcPr>
                  <w:tcW w:w="705" w:type="pct"/>
                  <w:vMerge w:val="restart"/>
                  <w:vAlign w:val="center"/>
                </w:tcPr>
                <w:p w14:paraId="6A5CA1F4">
                  <w:pPr>
                    <w:pStyle w:val="55"/>
                    <w:rPr>
                      <w:color w:val="auto"/>
                    </w:rPr>
                  </w:pPr>
                  <w:r>
                    <w:rPr>
                      <w:rFonts w:hint="eastAsia"/>
                      <w:color w:val="auto"/>
                    </w:rPr>
                    <w:t>电磁环境</w:t>
                  </w:r>
                </w:p>
              </w:tc>
              <w:tc>
                <w:tcPr>
                  <w:tcW w:w="1147" w:type="pct"/>
                  <w:vAlign w:val="center"/>
                </w:tcPr>
                <w:p w14:paraId="7EBE0D64">
                  <w:pPr>
                    <w:pStyle w:val="55"/>
                    <w:rPr>
                      <w:color w:val="auto"/>
                    </w:rPr>
                  </w:pPr>
                  <w:r>
                    <w:rPr>
                      <w:rFonts w:hint="eastAsia"/>
                      <w:color w:val="auto"/>
                    </w:rPr>
                    <w:t>工频电场</w:t>
                  </w:r>
                </w:p>
              </w:tc>
              <w:tc>
                <w:tcPr>
                  <w:tcW w:w="793" w:type="pct"/>
                  <w:vAlign w:val="center"/>
                </w:tcPr>
                <w:p w14:paraId="5C14A9EA">
                  <w:pPr>
                    <w:pStyle w:val="55"/>
                    <w:rPr>
                      <w:color w:val="auto"/>
                    </w:rPr>
                  </w:pPr>
                  <w:r>
                    <w:rPr>
                      <w:rFonts w:hint="eastAsia"/>
                      <w:color w:val="auto"/>
                    </w:rPr>
                    <w:t>V</w:t>
                  </w:r>
                  <w:r>
                    <w:rPr>
                      <w:color w:val="auto"/>
                    </w:rPr>
                    <w:t>/</w:t>
                  </w:r>
                  <w:r>
                    <w:rPr>
                      <w:rFonts w:hint="eastAsia"/>
                      <w:color w:val="auto"/>
                    </w:rPr>
                    <w:t>m</w:t>
                  </w:r>
                </w:p>
              </w:tc>
              <w:tc>
                <w:tcPr>
                  <w:tcW w:w="1147" w:type="pct"/>
                  <w:vAlign w:val="center"/>
                </w:tcPr>
                <w:p w14:paraId="1FC76820">
                  <w:pPr>
                    <w:pStyle w:val="55"/>
                    <w:rPr>
                      <w:color w:val="auto"/>
                    </w:rPr>
                  </w:pPr>
                  <w:r>
                    <w:rPr>
                      <w:rFonts w:hint="eastAsia"/>
                      <w:color w:val="auto"/>
                    </w:rPr>
                    <w:t>工频电场</w:t>
                  </w:r>
                </w:p>
              </w:tc>
              <w:tc>
                <w:tcPr>
                  <w:tcW w:w="754" w:type="pct"/>
                  <w:vAlign w:val="center"/>
                </w:tcPr>
                <w:p w14:paraId="3FF25F9A">
                  <w:pPr>
                    <w:pStyle w:val="55"/>
                    <w:rPr>
                      <w:color w:val="auto"/>
                    </w:rPr>
                  </w:pPr>
                  <w:r>
                    <w:rPr>
                      <w:rFonts w:hint="eastAsia"/>
                      <w:color w:val="auto"/>
                    </w:rPr>
                    <w:t>V</w:t>
                  </w:r>
                  <w:r>
                    <w:rPr>
                      <w:color w:val="auto"/>
                    </w:rPr>
                    <w:t>/</w:t>
                  </w:r>
                  <w:r>
                    <w:rPr>
                      <w:rFonts w:hint="eastAsia"/>
                      <w:color w:val="auto"/>
                    </w:rPr>
                    <w:t>m</w:t>
                  </w:r>
                </w:p>
              </w:tc>
            </w:tr>
            <w:tr w14:paraId="0E1AF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4" w:type="pct"/>
                  <w:vMerge w:val="continue"/>
                  <w:vAlign w:val="center"/>
                </w:tcPr>
                <w:p w14:paraId="53E3D489">
                  <w:pPr>
                    <w:pStyle w:val="55"/>
                    <w:rPr>
                      <w:color w:val="auto"/>
                    </w:rPr>
                  </w:pPr>
                </w:p>
              </w:tc>
              <w:tc>
                <w:tcPr>
                  <w:tcW w:w="705" w:type="pct"/>
                  <w:vMerge w:val="continue"/>
                  <w:vAlign w:val="center"/>
                </w:tcPr>
                <w:p w14:paraId="665D6169">
                  <w:pPr>
                    <w:pStyle w:val="55"/>
                    <w:rPr>
                      <w:color w:val="auto"/>
                    </w:rPr>
                  </w:pPr>
                </w:p>
              </w:tc>
              <w:tc>
                <w:tcPr>
                  <w:tcW w:w="1147" w:type="pct"/>
                  <w:vAlign w:val="center"/>
                </w:tcPr>
                <w:p w14:paraId="276EEA96">
                  <w:pPr>
                    <w:pStyle w:val="55"/>
                    <w:rPr>
                      <w:color w:val="auto"/>
                    </w:rPr>
                  </w:pPr>
                  <w:r>
                    <w:rPr>
                      <w:rFonts w:hint="eastAsia"/>
                      <w:color w:val="auto"/>
                    </w:rPr>
                    <w:t>工频电场</w:t>
                  </w:r>
                </w:p>
              </w:tc>
              <w:tc>
                <w:tcPr>
                  <w:tcW w:w="793" w:type="pct"/>
                  <w:vAlign w:val="center"/>
                </w:tcPr>
                <w:p w14:paraId="652A567B">
                  <w:pPr>
                    <w:pStyle w:val="55"/>
                    <w:rPr>
                      <w:color w:val="auto"/>
                    </w:rPr>
                  </w:pPr>
                  <w:r>
                    <w:rPr>
                      <w:color w:val="auto"/>
                    </w:rPr>
                    <w:t>μT</w:t>
                  </w:r>
                </w:p>
              </w:tc>
              <w:tc>
                <w:tcPr>
                  <w:tcW w:w="1147" w:type="pct"/>
                  <w:vAlign w:val="center"/>
                </w:tcPr>
                <w:p w14:paraId="24448C4B">
                  <w:pPr>
                    <w:pStyle w:val="55"/>
                    <w:rPr>
                      <w:color w:val="auto"/>
                    </w:rPr>
                  </w:pPr>
                  <w:r>
                    <w:rPr>
                      <w:rFonts w:hint="eastAsia"/>
                      <w:color w:val="auto"/>
                    </w:rPr>
                    <w:t>工频电场</w:t>
                  </w:r>
                </w:p>
              </w:tc>
              <w:tc>
                <w:tcPr>
                  <w:tcW w:w="754" w:type="pct"/>
                  <w:vAlign w:val="center"/>
                </w:tcPr>
                <w:p w14:paraId="74C6EA64">
                  <w:pPr>
                    <w:pStyle w:val="55"/>
                    <w:rPr>
                      <w:color w:val="auto"/>
                    </w:rPr>
                  </w:pPr>
                  <w:r>
                    <w:rPr>
                      <w:color w:val="auto"/>
                    </w:rPr>
                    <w:t>μT</w:t>
                  </w:r>
                </w:p>
              </w:tc>
            </w:tr>
            <w:tr w14:paraId="5847E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4" w:type="pct"/>
                  <w:vMerge w:val="continue"/>
                  <w:vAlign w:val="center"/>
                </w:tcPr>
                <w:p w14:paraId="3B02ABFB">
                  <w:pPr>
                    <w:pStyle w:val="55"/>
                    <w:rPr>
                      <w:color w:val="auto"/>
                    </w:rPr>
                  </w:pPr>
                </w:p>
              </w:tc>
              <w:tc>
                <w:tcPr>
                  <w:tcW w:w="705" w:type="pct"/>
                  <w:vAlign w:val="center"/>
                </w:tcPr>
                <w:p w14:paraId="708C933F">
                  <w:pPr>
                    <w:pStyle w:val="55"/>
                    <w:rPr>
                      <w:color w:val="auto"/>
                    </w:rPr>
                  </w:pPr>
                  <w:r>
                    <w:rPr>
                      <w:rFonts w:hint="eastAsia"/>
                      <w:color w:val="auto"/>
                    </w:rPr>
                    <w:t>声环境</w:t>
                  </w:r>
                </w:p>
              </w:tc>
              <w:tc>
                <w:tcPr>
                  <w:tcW w:w="1147" w:type="pct"/>
                  <w:vAlign w:val="center"/>
                </w:tcPr>
                <w:p w14:paraId="5BF9DAA3">
                  <w:pPr>
                    <w:pStyle w:val="55"/>
                    <w:rPr>
                      <w:color w:val="auto"/>
                    </w:rPr>
                  </w:pPr>
                  <w:r>
                    <w:rPr>
                      <w:rFonts w:hint="eastAsia"/>
                      <w:color w:val="auto"/>
                    </w:rPr>
                    <w:t>昼间、夜间等效声级，Leq</w:t>
                  </w:r>
                </w:p>
              </w:tc>
              <w:tc>
                <w:tcPr>
                  <w:tcW w:w="793" w:type="pct"/>
                  <w:vAlign w:val="center"/>
                </w:tcPr>
                <w:p w14:paraId="1B4577B5">
                  <w:pPr>
                    <w:pStyle w:val="55"/>
                    <w:rPr>
                      <w:color w:val="auto"/>
                    </w:rPr>
                  </w:pPr>
                  <w:r>
                    <w:rPr>
                      <w:rFonts w:hint="eastAsia"/>
                      <w:color w:val="auto"/>
                    </w:rPr>
                    <w:t>dB（A）</w:t>
                  </w:r>
                </w:p>
              </w:tc>
              <w:tc>
                <w:tcPr>
                  <w:tcW w:w="1147" w:type="pct"/>
                  <w:vAlign w:val="center"/>
                </w:tcPr>
                <w:p w14:paraId="530E2216">
                  <w:pPr>
                    <w:pStyle w:val="55"/>
                    <w:rPr>
                      <w:color w:val="auto"/>
                    </w:rPr>
                  </w:pPr>
                  <w:r>
                    <w:rPr>
                      <w:rFonts w:hint="eastAsia"/>
                      <w:color w:val="auto"/>
                    </w:rPr>
                    <w:t>昼间、夜间等效声级，Leq</w:t>
                  </w:r>
                </w:p>
              </w:tc>
              <w:tc>
                <w:tcPr>
                  <w:tcW w:w="754" w:type="pct"/>
                  <w:vAlign w:val="center"/>
                </w:tcPr>
                <w:p w14:paraId="603E7CD5">
                  <w:pPr>
                    <w:pStyle w:val="55"/>
                    <w:rPr>
                      <w:color w:val="auto"/>
                    </w:rPr>
                  </w:pPr>
                  <w:r>
                    <w:rPr>
                      <w:rFonts w:hint="eastAsia"/>
                      <w:color w:val="auto"/>
                    </w:rPr>
                    <w:t>dB（A）</w:t>
                  </w:r>
                </w:p>
              </w:tc>
            </w:tr>
          </w:tbl>
          <w:p w14:paraId="5931A07C">
            <w:pPr>
              <w:pStyle w:val="49"/>
              <w:rPr>
                <w:color w:val="auto"/>
              </w:rPr>
            </w:pPr>
            <w:r>
              <w:rPr>
                <w:rFonts w:hint="eastAsia"/>
                <w:color w:val="auto"/>
              </w:rPr>
              <w:t>2、评价范围</w:t>
            </w:r>
          </w:p>
          <w:p w14:paraId="5FE69AA6">
            <w:pPr>
              <w:pStyle w:val="51"/>
              <w:rPr>
                <w:color w:val="auto"/>
              </w:rPr>
            </w:pPr>
            <w:r>
              <w:rPr>
                <w:rFonts w:hint="eastAsia"/>
                <w:color w:val="auto"/>
              </w:rPr>
              <w:t xml:space="preserve">根据《环境影响评价技术导则 </w:t>
            </w:r>
            <w:r>
              <w:rPr>
                <w:color w:val="auto"/>
              </w:rPr>
              <w:t xml:space="preserve"> </w:t>
            </w:r>
            <w:r>
              <w:rPr>
                <w:rFonts w:hint="eastAsia"/>
                <w:color w:val="auto"/>
              </w:rPr>
              <w:t>输变电》（HJ</w:t>
            </w:r>
            <w:r>
              <w:rPr>
                <w:color w:val="auto"/>
              </w:rPr>
              <w:t>24-2020</w:t>
            </w:r>
            <w:r>
              <w:rPr>
                <w:rFonts w:hint="eastAsia"/>
                <w:color w:val="auto"/>
              </w:rPr>
              <w:t>），本项目各项评价项目的评价范围与评价方法见表3</w:t>
            </w:r>
            <w:r>
              <w:rPr>
                <w:color w:val="auto"/>
              </w:rPr>
              <w:t>-</w:t>
            </w:r>
            <w:r>
              <w:rPr>
                <w:rFonts w:hint="eastAsia"/>
                <w:color w:val="auto"/>
              </w:rPr>
              <w:t>9。</w:t>
            </w:r>
          </w:p>
          <w:p w14:paraId="2CC7B7D6">
            <w:pPr>
              <w:pStyle w:val="53"/>
              <w:rPr>
                <w:color w:val="auto"/>
              </w:rPr>
            </w:pPr>
            <w:r>
              <w:rPr>
                <w:color w:val="auto"/>
              </w:rPr>
              <w:t>表</w:t>
            </w:r>
            <w:r>
              <w:rPr>
                <w:rFonts w:hint="eastAsia"/>
                <w:color w:val="auto"/>
              </w:rPr>
              <w:t>3</w:t>
            </w:r>
            <w:r>
              <w:rPr>
                <w:color w:val="auto"/>
              </w:rPr>
              <w:t>-</w:t>
            </w:r>
            <w:r>
              <w:rPr>
                <w:rFonts w:hint="eastAsia"/>
                <w:color w:val="auto"/>
              </w:rPr>
              <w:t>9</w:t>
            </w:r>
            <w:r>
              <w:rPr>
                <w:color w:val="auto"/>
              </w:rPr>
              <w:t xml:space="preserve">  评价范围与评价</w:t>
            </w:r>
            <w:r>
              <w:rPr>
                <w:rFonts w:hint="eastAsia"/>
                <w:color w:val="auto"/>
              </w:rPr>
              <w:t>方法</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8"/>
              <w:gridCol w:w="1417"/>
              <w:gridCol w:w="4394"/>
              <w:gridCol w:w="1063"/>
            </w:tblGrid>
            <w:tr w14:paraId="79184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48" w:type="dxa"/>
                  <w:vAlign w:val="center"/>
                </w:tcPr>
                <w:p w14:paraId="04E444F1">
                  <w:pPr>
                    <w:pStyle w:val="55"/>
                    <w:rPr>
                      <w:color w:val="auto"/>
                    </w:rPr>
                  </w:pPr>
                  <w:r>
                    <w:rPr>
                      <w:rFonts w:hint="eastAsia"/>
                      <w:color w:val="auto"/>
                    </w:rPr>
                    <w:t>评价对象</w:t>
                  </w:r>
                </w:p>
              </w:tc>
              <w:tc>
                <w:tcPr>
                  <w:tcW w:w="1417" w:type="dxa"/>
                  <w:vAlign w:val="center"/>
                </w:tcPr>
                <w:p w14:paraId="44358DDE">
                  <w:pPr>
                    <w:pStyle w:val="55"/>
                    <w:rPr>
                      <w:color w:val="auto"/>
                    </w:rPr>
                  </w:pPr>
                  <w:r>
                    <w:rPr>
                      <w:rFonts w:hint="eastAsia"/>
                      <w:color w:val="auto"/>
                    </w:rPr>
                    <w:t>评价项目</w:t>
                  </w:r>
                </w:p>
              </w:tc>
              <w:tc>
                <w:tcPr>
                  <w:tcW w:w="4394" w:type="dxa"/>
                  <w:vAlign w:val="center"/>
                </w:tcPr>
                <w:p w14:paraId="55905FF4">
                  <w:pPr>
                    <w:pStyle w:val="55"/>
                    <w:rPr>
                      <w:color w:val="auto"/>
                    </w:rPr>
                  </w:pPr>
                  <w:r>
                    <w:rPr>
                      <w:rFonts w:hint="eastAsia"/>
                      <w:color w:val="auto"/>
                    </w:rPr>
                    <w:t>评价范围</w:t>
                  </w:r>
                </w:p>
              </w:tc>
              <w:tc>
                <w:tcPr>
                  <w:tcW w:w="1063" w:type="dxa"/>
                  <w:vAlign w:val="center"/>
                </w:tcPr>
                <w:p w14:paraId="1EBDF978">
                  <w:pPr>
                    <w:pStyle w:val="55"/>
                    <w:rPr>
                      <w:color w:val="auto"/>
                    </w:rPr>
                  </w:pPr>
                  <w:r>
                    <w:rPr>
                      <w:rFonts w:hint="eastAsia"/>
                      <w:color w:val="auto"/>
                    </w:rPr>
                    <w:t>评价方法</w:t>
                  </w:r>
                </w:p>
              </w:tc>
            </w:tr>
            <w:tr w14:paraId="527E9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8" w:type="dxa"/>
                  <w:vMerge w:val="restart"/>
                  <w:vAlign w:val="center"/>
                </w:tcPr>
                <w:p w14:paraId="330EFFF5">
                  <w:pPr>
                    <w:pStyle w:val="55"/>
                    <w:rPr>
                      <w:color w:val="auto"/>
                    </w:rPr>
                  </w:pPr>
                  <w:r>
                    <w:rPr>
                      <w:rFonts w:hint="eastAsia"/>
                      <w:color w:val="auto"/>
                    </w:rPr>
                    <w:t>220kV升压站</w:t>
                  </w:r>
                </w:p>
              </w:tc>
              <w:tc>
                <w:tcPr>
                  <w:tcW w:w="1417" w:type="dxa"/>
                  <w:shd w:val="clear" w:color="auto" w:fill="auto"/>
                  <w:vAlign w:val="center"/>
                </w:tcPr>
                <w:p w14:paraId="617E1785">
                  <w:pPr>
                    <w:pStyle w:val="55"/>
                    <w:rPr>
                      <w:color w:val="auto"/>
                    </w:rPr>
                  </w:pPr>
                  <w:r>
                    <w:rPr>
                      <w:rFonts w:hint="eastAsia"/>
                      <w:color w:val="auto"/>
                    </w:rPr>
                    <w:t>电磁环境</w:t>
                  </w:r>
                </w:p>
              </w:tc>
              <w:tc>
                <w:tcPr>
                  <w:tcW w:w="4394" w:type="dxa"/>
                  <w:vAlign w:val="center"/>
                </w:tcPr>
                <w:p w14:paraId="3D592807">
                  <w:pPr>
                    <w:pStyle w:val="55"/>
                    <w:rPr>
                      <w:color w:val="auto"/>
                    </w:rPr>
                  </w:pPr>
                  <w:r>
                    <w:rPr>
                      <w:rFonts w:hint="eastAsia"/>
                      <w:color w:val="auto"/>
                    </w:rPr>
                    <w:t>站界外4</w:t>
                  </w:r>
                  <w:r>
                    <w:rPr>
                      <w:color w:val="auto"/>
                    </w:rPr>
                    <w:t>0</w:t>
                  </w:r>
                  <w:r>
                    <w:rPr>
                      <w:rFonts w:hint="eastAsia"/>
                      <w:color w:val="auto"/>
                    </w:rPr>
                    <w:t>m范围内的区域</w:t>
                  </w:r>
                </w:p>
              </w:tc>
              <w:tc>
                <w:tcPr>
                  <w:tcW w:w="1063" w:type="dxa"/>
                  <w:vAlign w:val="center"/>
                </w:tcPr>
                <w:p w14:paraId="20615ECD">
                  <w:pPr>
                    <w:pStyle w:val="55"/>
                    <w:rPr>
                      <w:color w:val="auto"/>
                    </w:rPr>
                  </w:pPr>
                  <w:r>
                    <w:rPr>
                      <w:rFonts w:hint="eastAsia"/>
                      <w:color w:val="auto"/>
                    </w:rPr>
                    <w:t>类比监测</w:t>
                  </w:r>
                </w:p>
              </w:tc>
            </w:tr>
            <w:tr w14:paraId="6F172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8" w:type="dxa"/>
                  <w:vMerge w:val="continue"/>
                  <w:vAlign w:val="center"/>
                </w:tcPr>
                <w:p w14:paraId="5CBA888F">
                  <w:pPr>
                    <w:pStyle w:val="55"/>
                    <w:rPr>
                      <w:color w:val="auto"/>
                    </w:rPr>
                  </w:pPr>
                </w:p>
              </w:tc>
              <w:tc>
                <w:tcPr>
                  <w:tcW w:w="1417" w:type="dxa"/>
                  <w:shd w:val="clear" w:color="auto" w:fill="auto"/>
                  <w:vAlign w:val="center"/>
                </w:tcPr>
                <w:p w14:paraId="7B15C956">
                  <w:pPr>
                    <w:pStyle w:val="55"/>
                    <w:rPr>
                      <w:color w:val="auto"/>
                    </w:rPr>
                  </w:pPr>
                  <w:r>
                    <w:rPr>
                      <w:rFonts w:hint="eastAsia"/>
                      <w:color w:val="auto"/>
                    </w:rPr>
                    <w:t>声环境</w:t>
                  </w:r>
                </w:p>
              </w:tc>
              <w:tc>
                <w:tcPr>
                  <w:tcW w:w="4394" w:type="dxa"/>
                  <w:vAlign w:val="center"/>
                </w:tcPr>
                <w:p w14:paraId="0DD9DDF5">
                  <w:pPr>
                    <w:pStyle w:val="55"/>
                    <w:rPr>
                      <w:color w:val="auto"/>
                    </w:rPr>
                  </w:pPr>
                  <w:r>
                    <w:rPr>
                      <w:rFonts w:hint="eastAsia"/>
                      <w:color w:val="auto"/>
                    </w:rPr>
                    <w:t>站界外200m范围内的区域</w:t>
                  </w:r>
                </w:p>
              </w:tc>
              <w:tc>
                <w:tcPr>
                  <w:tcW w:w="1063" w:type="dxa"/>
                  <w:vAlign w:val="center"/>
                </w:tcPr>
                <w:p w14:paraId="7A24C143">
                  <w:pPr>
                    <w:pStyle w:val="55"/>
                    <w:rPr>
                      <w:color w:val="auto"/>
                    </w:rPr>
                  </w:pPr>
                  <w:r>
                    <w:rPr>
                      <w:rFonts w:hint="eastAsia"/>
                      <w:color w:val="auto"/>
                    </w:rPr>
                    <w:t>模式预测</w:t>
                  </w:r>
                </w:p>
              </w:tc>
            </w:tr>
            <w:tr w14:paraId="35A15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8" w:type="dxa"/>
                  <w:vMerge w:val="continue"/>
                  <w:vAlign w:val="center"/>
                </w:tcPr>
                <w:p w14:paraId="6788637A">
                  <w:pPr>
                    <w:pStyle w:val="55"/>
                    <w:rPr>
                      <w:color w:val="auto"/>
                    </w:rPr>
                  </w:pPr>
                </w:p>
              </w:tc>
              <w:tc>
                <w:tcPr>
                  <w:tcW w:w="1417" w:type="dxa"/>
                  <w:shd w:val="clear" w:color="auto" w:fill="auto"/>
                  <w:vAlign w:val="center"/>
                </w:tcPr>
                <w:p w14:paraId="765D3A20">
                  <w:pPr>
                    <w:pStyle w:val="55"/>
                    <w:rPr>
                      <w:color w:val="auto"/>
                    </w:rPr>
                  </w:pPr>
                  <w:r>
                    <w:rPr>
                      <w:rFonts w:hint="eastAsia"/>
                      <w:color w:val="auto"/>
                    </w:rPr>
                    <w:t>生态环境</w:t>
                  </w:r>
                </w:p>
              </w:tc>
              <w:tc>
                <w:tcPr>
                  <w:tcW w:w="4394" w:type="dxa"/>
                  <w:vAlign w:val="center"/>
                </w:tcPr>
                <w:p w14:paraId="718BD2A9">
                  <w:pPr>
                    <w:pStyle w:val="55"/>
                    <w:rPr>
                      <w:color w:val="auto"/>
                    </w:rPr>
                  </w:pPr>
                  <w:r>
                    <w:rPr>
                      <w:rFonts w:hint="eastAsia"/>
                      <w:color w:val="auto"/>
                    </w:rPr>
                    <w:t>站界外500m范围内的区域</w:t>
                  </w:r>
                </w:p>
              </w:tc>
              <w:tc>
                <w:tcPr>
                  <w:tcW w:w="1063" w:type="dxa"/>
                  <w:vAlign w:val="center"/>
                </w:tcPr>
                <w:p w14:paraId="1C1D931C">
                  <w:pPr>
                    <w:pStyle w:val="55"/>
                    <w:rPr>
                      <w:color w:val="auto"/>
                    </w:rPr>
                  </w:pPr>
                  <w:r>
                    <w:rPr>
                      <w:rFonts w:hint="eastAsia"/>
                      <w:color w:val="auto"/>
                    </w:rPr>
                    <w:t>定性分析</w:t>
                  </w:r>
                </w:p>
              </w:tc>
            </w:tr>
            <w:tr w14:paraId="404DE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8" w:type="dxa"/>
                  <w:vMerge w:val="restart"/>
                  <w:vAlign w:val="center"/>
                </w:tcPr>
                <w:p w14:paraId="0A17362F">
                  <w:pPr>
                    <w:pStyle w:val="55"/>
                    <w:rPr>
                      <w:color w:val="auto"/>
                    </w:rPr>
                  </w:pPr>
                  <w:r>
                    <w:rPr>
                      <w:rFonts w:hint="eastAsia"/>
                      <w:color w:val="auto"/>
                    </w:rPr>
                    <w:t>220kV架空线路</w:t>
                  </w:r>
                </w:p>
              </w:tc>
              <w:tc>
                <w:tcPr>
                  <w:tcW w:w="1417" w:type="dxa"/>
                  <w:vAlign w:val="center"/>
                </w:tcPr>
                <w:p w14:paraId="37866518">
                  <w:pPr>
                    <w:pStyle w:val="55"/>
                    <w:rPr>
                      <w:color w:val="auto"/>
                    </w:rPr>
                  </w:pPr>
                  <w:r>
                    <w:rPr>
                      <w:rFonts w:hint="eastAsia"/>
                      <w:color w:val="auto"/>
                    </w:rPr>
                    <w:t>电磁环境</w:t>
                  </w:r>
                </w:p>
              </w:tc>
              <w:tc>
                <w:tcPr>
                  <w:tcW w:w="4394" w:type="dxa"/>
                  <w:vAlign w:val="center"/>
                </w:tcPr>
                <w:p w14:paraId="39E11027">
                  <w:pPr>
                    <w:pStyle w:val="55"/>
                    <w:rPr>
                      <w:color w:val="auto"/>
                    </w:rPr>
                  </w:pPr>
                  <w:r>
                    <w:rPr>
                      <w:rFonts w:hint="eastAsia"/>
                      <w:color w:val="auto"/>
                    </w:rPr>
                    <w:t>边导线地面投影外两侧各4</w:t>
                  </w:r>
                  <w:r>
                    <w:rPr>
                      <w:color w:val="auto"/>
                    </w:rPr>
                    <w:t>0</w:t>
                  </w:r>
                  <w:r>
                    <w:rPr>
                      <w:rFonts w:hint="eastAsia"/>
                      <w:color w:val="auto"/>
                    </w:rPr>
                    <w:t>m范围内的区域</w:t>
                  </w:r>
                </w:p>
              </w:tc>
              <w:tc>
                <w:tcPr>
                  <w:tcW w:w="1063" w:type="dxa"/>
                  <w:vAlign w:val="center"/>
                </w:tcPr>
                <w:p w14:paraId="0A35781F">
                  <w:pPr>
                    <w:pStyle w:val="55"/>
                    <w:rPr>
                      <w:color w:val="auto"/>
                    </w:rPr>
                  </w:pPr>
                  <w:r>
                    <w:rPr>
                      <w:rFonts w:hint="eastAsia"/>
                      <w:color w:val="auto"/>
                    </w:rPr>
                    <w:t>模式预测</w:t>
                  </w:r>
                </w:p>
              </w:tc>
            </w:tr>
            <w:tr w14:paraId="51054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8" w:type="dxa"/>
                  <w:vMerge w:val="continue"/>
                  <w:vAlign w:val="center"/>
                </w:tcPr>
                <w:p w14:paraId="080280E1">
                  <w:pPr>
                    <w:pStyle w:val="55"/>
                    <w:rPr>
                      <w:color w:val="auto"/>
                    </w:rPr>
                  </w:pPr>
                </w:p>
              </w:tc>
              <w:tc>
                <w:tcPr>
                  <w:tcW w:w="1417" w:type="dxa"/>
                  <w:vAlign w:val="center"/>
                </w:tcPr>
                <w:p w14:paraId="6316FADF">
                  <w:pPr>
                    <w:pStyle w:val="55"/>
                    <w:rPr>
                      <w:color w:val="auto"/>
                    </w:rPr>
                  </w:pPr>
                  <w:r>
                    <w:rPr>
                      <w:rFonts w:hint="eastAsia"/>
                      <w:color w:val="auto"/>
                    </w:rPr>
                    <w:t>声环境</w:t>
                  </w:r>
                </w:p>
              </w:tc>
              <w:tc>
                <w:tcPr>
                  <w:tcW w:w="4394" w:type="dxa"/>
                  <w:vAlign w:val="center"/>
                </w:tcPr>
                <w:p w14:paraId="03A333A1">
                  <w:pPr>
                    <w:pStyle w:val="55"/>
                    <w:rPr>
                      <w:color w:val="auto"/>
                    </w:rPr>
                  </w:pPr>
                  <w:r>
                    <w:rPr>
                      <w:rFonts w:hint="eastAsia"/>
                      <w:color w:val="auto"/>
                    </w:rPr>
                    <w:t>边导线地面投影外两侧各4</w:t>
                  </w:r>
                  <w:r>
                    <w:rPr>
                      <w:color w:val="auto"/>
                    </w:rPr>
                    <w:t>0</w:t>
                  </w:r>
                  <w:r>
                    <w:rPr>
                      <w:rFonts w:hint="eastAsia"/>
                      <w:color w:val="auto"/>
                    </w:rPr>
                    <w:t>m范围内的区域</w:t>
                  </w:r>
                </w:p>
              </w:tc>
              <w:tc>
                <w:tcPr>
                  <w:tcW w:w="1063" w:type="dxa"/>
                  <w:vAlign w:val="center"/>
                </w:tcPr>
                <w:p w14:paraId="27004935">
                  <w:pPr>
                    <w:pStyle w:val="55"/>
                    <w:rPr>
                      <w:color w:val="auto"/>
                    </w:rPr>
                  </w:pPr>
                  <w:r>
                    <w:rPr>
                      <w:rFonts w:hint="eastAsia"/>
                      <w:color w:val="auto"/>
                    </w:rPr>
                    <w:t>类比监测</w:t>
                  </w:r>
                </w:p>
              </w:tc>
            </w:tr>
            <w:tr w14:paraId="68E1B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8" w:type="dxa"/>
                  <w:vMerge w:val="continue"/>
                  <w:vAlign w:val="center"/>
                </w:tcPr>
                <w:p w14:paraId="525D4BB8">
                  <w:pPr>
                    <w:pStyle w:val="55"/>
                    <w:rPr>
                      <w:color w:val="auto"/>
                    </w:rPr>
                  </w:pPr>
                </w:p>
              </w:tc>
              <w:tc>
                <w:tcPr>
                  <w:tcW w:w="1417" w:type="dxa"/>
                  <w:vAlign w:val="center"/>
                </w:tcPr>
                <w:p w14:paraId="602EBA5E">
                  <w:pPr>
                    <w:pStyle w:val="55"/>
                    <w:rPr>
                      <w:color w:val="auto"/>
                    </w:rPr>
                  </w:pPr>
                  <w:r>
                    <w:rPr>
                      <w:rFonts w:hint="eastAsia"/>
                      <w:color w:val="auto"/>
                    </w:rPr>
                    <w:t>生态环境</w:t>
                  </w:r>
                </w:p>
              </w:tc>
              <w:tc>
                <w:tcPr>
                  <w:tcW w:w="4394" w:type="dxa"/>
                  <w:vAlign w:val="center"/>
                </w:tcPr>
                <w:p w14:paraId="7BB090E5">
                  <w:pPr>
                    <w:pStyle w:val="55"/>
                    <w:rPr>
                      <w:color w:val="auto"/>
                    </w:rPr>
                  </w:pPr>
                  <w:r>
                    <w:rPr>
                      <w:rFonts w:hint="eastAsia"/>
                      <w:color w:val="auto"/>
                    </w:rPr>
                    <w:t>边导线地面投影外两侧3</w:t>
                  </w:r>
                  <w:r>
                    <w:rPr>
                      <w:color w:val="auto"/>
                    </w:rPr>
                    <w:t>00</w:t>
                  </w:r>
                  <w:r>
                    <w:rPr>
                      <w:rFonts w:hint="eastAsia"/>
                      <w:color w:val="auto"/>
                    </w:rPr>
                    <w:t>m内的带状区域</w:t>
                  </w:r>
                </w:p>
              </w:tc>
              <w:tc>
                <w:tcPr>
                  <w:tcW w:w="1063" w:type="dxa"/>
                  <w:vAlign w:val="center"/>
                </w:tcPr>
                <w:p w14:paraId="3FB39ED9">
                  <w:pPr>
                    <w:pStyle w:val="55"/>
                    <w:rPr>
                      <w:color w:val="auto"/>
                    </w:rPr>
                  </w:pPr>
                  <w:r>
                    <w:rPr>
                      <w:rFonts w:hint="eastAsia"/>
                      <w:color w:val="auto"/>
                    </w:rPr>
                    <w:t>定性分析</w:t>
                  </w:r>
                </w:p>
              </w:tc>
            </w:tr>
          </w:tbl>
          <w:p w14:paraId="3609A5C3">
            <w:pPr>
              <w:pStyle w:val="48"/>
              <w:rPr>
                <w:color w:val="auto"/>
              </w:rPr>
            </w:pPr>
            <w:r>
              <w:rPr>
                <w:rFonts w:hint="eastAsia"/>
                <w:color w:val="auto"/>
              </w:rPr>
              <w:t>（十一）生态环境保护目标</w:t>
            </w:r>
          </w:p>
          <w:p w14:paraId="2B290D92">
            <w:pPr>
              <w:pStyle w:val="49"/>
              <w:rPr>
                <w:color w:val="auto"/>
              </w:rPr>
            </w:pPr>
            <w:r>
              <w:rPr>
                <w:rFonts w:hint="eastAsia"/>
                <w:color w:val="auto"/>
              </w:rPr>
              <w:t>1、声环境</w:t>
            </w:r>
          </w:p>
          <w:p w14:paraId="60FA6ACF">
            <w:pPr>
              <w:pStyle w:val="51"/>
              <w:rPr>
                <w:color w:val="auto"/>
              </w:rPr>
            </w:pPr>
            <w:r>
              <w:rPr>
                <w:rFonts w:hint="eastAsia"/>
                <w:color w:val="auto"/>
              </w:rPr>
              <w:t>根据《环境影响评价技术导则  声环境》（HJ2.4-2021），声环境保护目标为依据法律法规、标准政策等确定的需要保持安静的建筑物及建筑物集中区。根据《中华人民共和国噪声污染防治法》（2022年6月5日起施行），声环境保护目标是指用于居住、科学研究、医疗卫生、文化教育、机关团体办公、社会福利等需要保持安静的建筑物及建筑物集中区。</w:t>
            </w:r>
          </w:p>
          <w:p w14:paraId="01E08010">
            <w:pPr>
              <w:pStyle w:val="53"/>
            </w:pPr>
            <w:r>
              <w:rPr>
                <w:rFonts w:hint="eastAsia"/>
              </w:rPr>
              <w:t>表3-10  声环境保护目标一览表</w:t>
            </w:r>
          </w:p>
          <w:tbl>
            <w:tblPr>
              <w:tblStyle w:val="25"/>
              <w:tblW w:w="4996" w:type="pct"/>
              <w:jc w:val="center"/>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622"/>
              <w:gridCol w:w="560"/>
              <w:gridCol w:w="1946"/>
              <w:gridCol w:w="1203"/>
              <w:gridCol w:w="853"/>
              <w:gridCol w:w="1147"/>
              <w:gridCol w:w="796"/>
              <w:gridCol w:w="894"/>
            </w:tblGrid>
            <w:tr w14:paraId="4A8DE5E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614" w:hRule="atLeast"/>
                <w:jc w:val="center"/>
              </w:trPr>
              <w:tc>
                <w:tcPr>
                  <w:tcW w:w="388" w:type="pct"/>
                  <w:vAlign w:val="center"/>
                </w:tcPr>
                <w:p w14:paraId="1C9D98C4">
                  <w:pPr>
                    <w:pStyle w:val="55"/>
                  </w:pPr>
                  <w:r>
                    <w:t>工程名称</w:t>
                  </w:r>
                </w:p>
              </w:tc>
              <w:tc>
                <w:tcPr>
                  <w:tcW w:w="349" w:type="pct"/>
                  <w:vAlign w:val="center"/>
                </w:tcPr>
                <w:p w14:paraId="64FA5E76">
                  <w:pPr>
                    <w:pStyle w:val="55"/>
                  </w:pPr>
                  <w:r>
                    <w:t>序号</w:t>
                  </w:r>
                </w:p>
              </w:tc>
              <w:tc>
                <w:tcPr>
                  <w:tcW w:w="1212" w:type="pct"/>
                  <w:vAlign w:val="center"/>
                </w:tcPr>
                <w:p w14:paraId="7406BBBE">
                  <w:pPr>
                    <w:pStyle w:val="55"/>
                  </w:pPr>
                  <w:r>
                    <w:rPr>
                      <w:rFonts w:hint="eastAsia"/>
                    </w:rPr>
                    <w:t>声</w:t>
                  </w:r>
                  <w:r>
                    <w:t>环境保护目标名称</w:t>
                  </w:r>
                </w:p>
              </w:tc>
              <w:tc>
                <w:tcPr>
                  <w:tcW w:w="749" w:type="pct"/>
                  <w:vAlign w:val="center"/>
                </w:tcPr>
                <w:p w14:paraId="415D50EC">
                  <w:pPr>
                    <w:pStyle w:val="55"/>
                  </w:pPr>
                  <w:r>
                    <w:t>敏感点距离和方位</w:t>
                  </w:r>
                </w:p>
              </w:tc>
              <w:tc>
                <w:tcPr>
                  <w:tcW w:w="531" w:type="pct"/>
                  <w:vAlign w:val="center"/>
                </w:tcPr>
                <w:p w14:paraId="33F652F7">
                  <w:pPr>
                    <w:pStyle w:val="55"/>
                  </w:pPr>
                  <w:r>
                    <w:t>规模</w:t>
                  </w:r>
                </w:p>
              </w:tc>
              <w:tc>
                <w:tcPr>
                  <w:tcW w:w="714" w:type="pct"/>
                  <w:vAlign w:val="center"/>
                </w:tcPr>
                <w:p w14:paraId="0BD9906C">
                  <w:pPr>
                    <w:pStyle w:val="55"/>
                  </w:pPr>
                  <w:r>
                    <w:t>房屋</w:t>
                  </w:r>
                </w:p>
                <w:p w14:paraId="348625AC">
                  <w:pPr>
                    <w:pStyle w:val="55"/>
                  </w:pPr>
                  <w:r>
                    <w:t>类型</w:t>
                  </w:r>
                </w:p>
              </w:tc>
              <w:tc>
                <w:tcPr>
                  <w:tcW w:w="496" w:type="pct"/>
                  <w:vAlign w:val="center"/>
                </w:tcPr>
                <w:p w14:paraId="1960184B">
                  <w:pPr>
                    <w:pStyle w:val="55"/>
                  </w:pPr>
                  <w:r>
                    <w:t>导线对地最低高度</w:t>
                  </w:r>
                </w:p>
              </w:tc>
              <w:tc>
                <w:tcPr>
                  <w:tcW w:w="556" w:type="pct"/>
                  <w:vAlign w:val="center"/>
                </w:tcPr>
                <w:p w14:paraId="1690C2CD">
                  <w:pPr>
                    <w:pStyle w:val="55"/>
                  </w:pPr>
                  <w:r>
                    <w:t>环境质量要求</w:t>
                  </w:r>
                </w:p>
              </w:tc>
            </w:tr>
            <w:tr w14:paraId="17A75E2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68" w:hRule="atLeast"/>
                <w:jc w:val="center"/>
              </w:trPr>
              <w:tc>
                <w:tcPr>
                  <w:tcW w:w="388" w:type="pct"/>
                  <w:vMerge w:val="restart"/>
                  <w:vAlign w:val="center"/>
                </w:tcPr>
                <w:p w14:paraId="40B88D14">
                  <w:pPr>
                    <w:pStyle w:val="55"/>
                  </w:pPr>
                  <w:r>
                    <w:rPr>
                      <w:rFonts w:hint="eastAsia"/>
                    </w:rPr>
                    <w:t>升压站</w:t>
                  </w:r>
                </w:p>
              </w:tc>
              <w:tc>
                <w:tcPr>
                  <w:tcW w:w="349" w:type="pct"/>
                  <w:tcBorders>
                    <w:bottom w:val="single" w:color="auto" w:sz="4" w:space="0"/>
                  </w:tcBorders>
                  <w:vAlign w:val="center"/>
                </w:tcPr>
                <w:p w14:paraId="030915C8">
                  <w:pPr>
                    <w:pStyle w:val="55"/>
                  </w:pPr>
                  <w:r>
                    <w:t>1</w:t>
                  </w:r>
                </w:p>
              </w:tc>
              <w:tc>
                <w:tcPr>
                  <w:tcW w:w="1212" w:type="pct"/>
                  <w:tcBorders>
                    <w:bottom w:val="single" w:color="auto" w:sz="4" w:space="0"/>
                  </w:tcBorders>
                  <w:vAlign w:val="center"/>
                </w:tcPr>
                <w:p w14:paraId="0E954126">
                  <w:pPr>
                    <w:pStyle w:val="55"/>
                  </w:pPr>
                  <w:r>
                    <w:t>桂集镇水质净化站</w:t>
                  </w:r>
                </w:p>
              </w:tc>
              <w:tc>
                <w:tcPr>
                  <w:tcW w:w="749" w:type="pct"/>
                  <w:tcBorders>
                    <w:bottom w:val="single" w:color="auto" w:sz="4" w:space="0"/>
                  </w:tcBorders>
                  <w:vAlign w:val="center"/>
                </w:tcPr>
                <w:p w14:paraId="0EF0F7B9">
                  <w:pPr>
                    <w:pStyle w:val="55"/>
                  </w:pPr>
                  <w:r>
                    <w:rPr>
                      <w:rFonts w:hint="eastAsia"/>
                    </w:rPr>
                    <w:t>升压站西北侧8</w:t>
                  </w:r>
                  <w:r>
                    <w:t>m</w:t>
                  </w:r>
                </w:p>
              </w:tc>
              <w:tc>
                <w:tcPr>
                  <w:tcW w:w="531" w:type="pct"/>
                  <w:tcBorders>
                    <w:bottom w:val="single" w:color="auto" w:sz="4" w:space="0"/>
                  </w:tcBorders>
                  <w:vAlign w:val="center"/>
                </w:tcPr>
                <w:p w14:paraId="4D5C1F11">
                  <w:pPr>
                    <w:pStyle w:val="55"/>
                  </w:pPr>
                  <w:r>
                    <w:t>1栋/办公</w:t>
                  </w:r>
                </w:p>
              </w:tc>
              <w:tc>
                <w:tcPr>
                  <w:tcW w:w="714" w:type="pct"/>
                  <w:tcBorders>
                    <w:bottom w:val="single" w:color="auto" w:sz="4" w:space="0"/>
                  </w:tcBorders>
                  <w:vAlign w:val="center"/>
                </w:tcPr>
                <w:p w14:paraId="6220A51E">
                  <w:pPr>
                    <w:pStyle w:val="55"/>
                  </w:pPr>
                  <w:r>
                    <w:rPr>
                      <w:rFonts w:hint="eastAsia"/>
                    </w:rPr>
                    <w:t>1</w:t>
                  </w:r>
                  <w:r>
                    <w:t>层</w:t>
                  </w:r>
                  <w:r>
                    <w:rPr>
                      <w:rFonts w:hint="eastAsia"/>
                    </w:rPr>
                    <w:t>坡顶</w:t>
                  </w:r>
                  <w:r>
                    <w:t>，高约</w:t>
                  </w:r>
                  <w:r>
                    <w:rPr>
                      <w:rFonts w:hint="eastAsia"/>
                    </w:rPr>
                    <w:t>3.5</w:t>
                  </w:r>
                  <w:r>
                    <w:t>m</w:t>
                  </w:r>
                </w:p>
              </w:tc>
              <w:tc>
                <w:tcPr>
                  <w:tcW w:w="496" w:type="pct"/>
                  <w:tcBorders>
                    <w:bottom w:val="single" w:color="auto" w:sz="4" w:space="0"/>
                  </w:tcBorders>
                  <w:vAlign w:val="center"/>
                </w:tcPr>
                <w:p w14:paraId="196B56DA">
                  <w:pPr>
                    <w:pStyle w:val="55"/>
                  </w:pPr>
                  <w:r>
                    <w:rPr>
                      <w:rFonts w:hint="eastAsia"/>
                    </w:rPr>
                    <w:t>/</w:t>
                  </w:r>
                </w:p>
              </w:tc>
              <w:tc>
                <w:tcPr>
                  <w:tcW w:w="556" w:type="pct"/>
                  <w:vMerge w:val="restart"/>
                  <w:vAlign w:val="center"/>
                </w:tcPr>
                <w:p w14:paraId="45EFB2B3">
                  <w:pPr>
                    <w:pStyle w:val="55"/>
                  </w:pPr>
                  <w:r>
                    <w:t>《声环境质量标准》（GB3096-2008）</w:t>
                  </w:r>
                  <w:r>
                    <w:rPr>
                      <w:rFonts w:hint="eastAsia"/>
                    </w:rPr>
                    <w:t>2类标准</w:t>
                  </w:r>
                </w:p>
              </w:tc>
            </w:tr>
            <w:tr w14:paraId="5946DCF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236" w:hRule="atLeast"/>
                <w:jc w:val="center"/>
              </w:trPr>
              <w:tc>
                <w:tcPr>
                  <w:tcW w:w="388" w:type="pct"/>
                  <w:vMerge w:val="continue"/>
                  <w:vAlign w:val="center"/>
                </w:tcPr>
                <w:p w14:paraId="0AD327C7">
                  <w:pPr>
                    <w:pStyle w:val="55"/>
                  </w:pPr>
                </w:p>
              </w:tc>
              <w:tc>
                <w:tcPr>
                  <w:tcW w:w="349" w:type="pct"/>
                  <w:tcBorders>
                    <w:top w:val="single" w:color="auto" w:sz="4" w:space="0"/>
                    <w:bottom w:val="single" w:color="auto" w:sz="4" w:space="0"/>
                  </w:tcBorders>
                  <w:vAlign w:val="center"/>
                </w:tcPr>
                <w:p w14:paraId="61A9C692">
                  <w:pPr>
                    <w:pStyle w:val="55"/>
                  </w:pPr>
                  <w:r>
                    <w:t>2</w:t>
                  </w:r>
                </w:p>
              </w:tc>
              <w:tc>
                <w:tcPr>
                  <w:tcW w:w="1212" w:type="pct"/>
                  <w:tcBorders>
                    <w:top w:val="single" w:color="auto" w:sz="4" w:space="0"/>
                    <w:bottom w:val="single" w:color="auto" w:sz="4" w:space="0"/>
                  </w:tcBorders>
                  <w:vAlign w:val="center"/>
                </w:tcPr>
                <w:p w14:paraId="4933C19B">
                  <w:pPr>
                    <w:pStyle w:val="55"/>
                  </w:pPr>
                  <w:r>
                    <w:rPr>
                      <w:rFonts w:hint="eastAsia"/>
                    </w:rPr>
                    <w:t>桂集镇桂福新区</w:t>
                  </w:r>
                </w:p>
              </w:tc>
              <w:tc>
                <w:tcPr>
                  <w:tcW w:w="749" w:type="pct"/>
                  <w:tcBorders>
                    <w:top w:val="single" w:color="auto" w:sz="4" w:space="0"/>
                    <w:bottom w:val="single" w:color="auto" w:sz="4" w:space="0"/>
                  </w:tcBorders>
                  <w:vAlign w:val="center"/>
                </w:tcPr>
                <w:p w14:paraId="619726BB">
                  <w:pPr>
                    <w:pStyle w:val="55"/>
                  </w:pPr>
                  <w:r>
                    <w:t>升压站</w:t>
                  </w:r>
                  <w:r>
                    <w:rPr>
                      <w:rFonts w:hint="eastAsia"/>
                    </w:rPr>
                    <w:t>东南</w:t>
                  </w:r>
                  <w:r>
                    <w:t>侧</w:t>
                  </w:r>
                  <w:r>
                    <w:rPr>
                      <w:rFonts w:hint="eastAsia"/>
                    </w:rPr>
                    <w:t>109</w:t>
                  </w:r>
                  <w:r>
                    <w:t>m</w:t>
                  </w:r>
                </w:p>
              </w:tc>
              <w:tc>
                <w:tcPr>
                  <w:tcW w:w="531" w:type="pct"/>
                  <w:tcBorders>
                    <w:top w:val="single" w:color="auto" w:sz="4" w:space="0"/>
                    <w:bottom w:val="single" w:color="auto" w:sz="4" w:space="0"/>
                  </w:tcBorders>
                  <w:vAlign w:val="center"/>
                </w:tcPr>
                <w:p w14:paraId="7EB5C273">
                  <w:pPr>
                    <w:pStyle w:val="55"/>
                  </w:pPr>
                  <w:r>
                    <w:rPr>
                      <w:rFonts w:hint="eastAsia"/>
                    </w:rPr>
                    <w:t>4</w:t>
                  </w:r>
                  <w:r>
                    <w:t>栋/</w:t>
                  </w:r>
                  <w:r>
                    <w:rPr>
                      <w:rFonts w:hint="eastAsia"/>
                    </w:rPr>
                    <w:t>居住</w:t>
                  </w:r>
                </w:p>
              </w:tc>
              <w:tc>
                <w:tcPr>
                  <w:tcW w:w="714" w:type="pct"/>
                  <w:tcBorders>
                    <w:top w:val="single" w:color="auto" w:sz="4" w:space="0"/>
                    <w:bottom w:val="single" w:color="auto" w:sz="4" w:space="0"/>
                  </w:tcBorders>
                  <w:vAlign w:val="center"/>
                </w:tcPr>
                <w:p w14:paraId="1DF1B2E9">
                  <w:pPr>
                    <w:pStyle w:val="55"/>
                  </w:pPr>
                  <w:r>
                    <w:rPr>
                      <w:rFonts w:hint="eastAsia"/>
                    </w:rPr>
                    <w:t>18</w:t>
                  </w:r>
                  <w:r>
                    <w:t>层平顶，高约</w:t>
                  </w:r>
                  <w:r>
                    <w:rPr>
                      <w:rFonts w:hint="eastAsia"/>
                    </w:rPr>
                    <w:t>54</w:t>
                  </w:r>
                  <w:r>
                    <w:t>m</w:t>
                  </w:r>
                </w:p>
              </w:tc>
              <w:tc>
                <w:tcPr>
                  <w:tcW w:w="496" w:type="pct"/>
                  <w:tcBorders>
                    <w:top w:val="single" w:color="auto" w:sz="4" w:space="0"/>
                    <w:bottom w:val="single" w:color="auto" w:sz="4" w:space="0"/>
                  </w:tcBorders>
                  <w:vAlign w:val="center"/>
                </w:tcPr>
                <w:p w14:paraId="5C69554E">
                  <w:pPr>
                    <w:pStyle w:val="55"/>
                  </w:pPr>
                  <w:r>
                    <w:rPr>
                      <w:rFonts w:hint="eastAsia"/>
                    </w:rPr>
                    <w:t>/</w:t>
                  </w:r>
                </w:p>
              </w:tc>
              <w:tc>
                <w:tcPr>
                  <w:tcW w:w="556" w:type="pct"/>
                  <w:vMerge w:val="continue"/>
                  <w:vAlign w:val="center"/>
                </w:tcPr>
                <w:p w14:paraId="4FFA882C">
                  <w:pPr>
                    <w:pStyle w:val="55"/>
                  </w:pPr>
                </w:p>
              </w:tc>
            </w:tr>
            <w:tr w14:paraId="7F390A7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228" w:hRule="atLeast"/>
                <w:jc w:val="center"/>
              </w:trPr>
              <w:tc>
                <w:tcPr>
                  <w:tcW w:w="388" w:type="pct"/>
                  <w:vMerge w:val="continue"/>
                  <w:vAlign w:val="center"/>
                </w:tcPr>
                <w:p w14:paraId="0E97FFE5">
                  <w:pPr>
                    <w:pStyle w:val="55"/>
                  </w:pPr>
                </w:p>
              </w:tc>
              <w:tc>
                <w:tcPr>
                  <w:tcW w:w="349" w:type="pct"/>
                  <w:tcBorders>
                    <w:top w:val="single" w:color="auto" w:sz="4" w:space="0"/>
                  </w:tcBorders>
                  <w:vAlign w:val="center"/>
                </w:tcPr>
                <w:p w14:paraId="7840B9F2">
                  <w:pPr>
                    <w:pStyle w:val="55"/>
                  </w:pPr>
                  <w:r>
                    <w:t>3</w:t>
                  </w:r>
                </w:p>
              </w:tc>
              <w:tc>
                <w:tcPr>
                  <w:tcW w:w="1212" w:type="pct"/>
                  <w:tcBorders>
                    <w:top w:val="single" w:color="auto" w:sz="4" w:space="0"/>
                  </w:tcBorders>
                  <w:vAlign w:val="center"/>
                </w:tcPr>
                <w:p w14:paraId="662A7D3C">
                  <w:pPr>
                    <w:pStyle w:val="55"/>
                  </w:pPr>
                  <w:r>
                    <w:rPr>
                      <w:rFonts w:hint="eastAsia"/>
                    </w:rPr>
                    <w:t>桂集镇八里村</w:t>
                  </w:r>
                </w:p>
              </w:tc>
              <w:tc>
                <w:tcPr>
                  <w:tcW w:w="749" w:type="pct"/>
                  <w:tcBorders>
                    <w:top w:val="single" w:color="auto" w:sz="4" w:space="0"/>
                  </w:tcBorders>
                  <w:vAlign w:val="center"/>
                </w:tcPr>
                <w:p w14:paraId="07135E9C">
                  <w:pPr>
                    <w:pStyle w:val="55"/>
                  </w:pPr>
                  <w:r>
                    <w:rPr>
                      <w:rFonts w:hint="eastAsia"/>
                    </w:rPr>
                    <w:t>升压站西北侧50m</w:t>
                  </w:r>
                </w:p>
              </w:tc>
              <w:tc>
                <w:tcPr>
                  <w:tcW w:w="531" w:type="pct"/>
                  <w:tcBorders>
                    <w:top w:val="single" w:color="auto" w:sz="4" w:space="0"/>
                  </w:tcBorders>
                  <w:vAlign w:val="center"/>
                </w:tcPr>
                <w:p w14:paraId="0D214B29">
                  <w:pPr>
                    <w:pStyle w:val="55"/>
                  </w:pPr>
                  <w:r>
                    <w:rPr>
                      <w:rFonts w:hint="eastAsia"/>
                    </w:rPr>
                    <w:t>22</w:t>
                  </w:r>
                  <w:r>
                    <w:t>栋/</w:t>
                  </w:r>
                  <w:r>
                    <w:rPr>
                      <w:rFonts w:hint="eastAsia"/>
                    </w:rPr>
                    <w:t>居住</w:t>
                  </w:r>
                </w:p>
              </w:tc>
              <w:tc>
                <w:tcPr>
                  <w:tcW w:w="714" w:type="pct"/>
                  <w:tcBorders>
                    <w:top w:val="single" w:color="auto" w:sz="4" w:space="0"/>
                  </w:tcBorders>
                  <w:vAlign w:val="center"/>
                </w:tcPr>
                <w:p w14:paraId="514D181E">
                  <w:pPr>
                    <w:pStyle w:val="55"/>
                  </w:pPr>
                  <w:r>
                    <w:rPr>
                      <w:rFonts w:hint="eastAsia"/>
                    </w:rPr>
                    <w:t>3</w:t>
                  </w:r>
                  <w:r>
                    <w:t>层平顶，高约</w:t>
                  </w:r>
                  <w:r>
                    <w:rPr>
                      <w:rFonts w:hint="eastAsia"/>
                    </w:rPr>
                    <w:t>9</w:t>
                  </w:r>
                  <w:r>
                    <w:t>m</w:t>
                  </w:r>
                </w:p>
              </w:tc>
              <w:tc>
                <w:tcPr>
                  <w:tcW w:w="496" w:type="pct"/>
                  <w:tcBorders>
                    <w:top w:val="single" w:color="auto" w:sz="4" w:space="0"/>
                  </w:tcBorders>
                  <w:vAlign w:val="center"/>
                </w:tcPr>
                <w:p w14:paraId="15A327E5">
                  <w:pPr>
                    <w:pStyle w:val="55"/>
                  </w:pPr>
                  <w:r>
                    <w:rPr>
                      <w:rFonts w:hint="eastAsia"/>
                    </w:rPr>
                    <w:t>/</w:t>
                  </w:r>
                </w:p>
              </w:tc>
              <w:tc>
                <w:tcPr>
                  <w:tcW w:w="556" w:type="pct"/>
                  <w:vMerge w:val="continue"/>
                  <w:vAlign w:val="center"/>
                </w:tcPr>
                <w:p w14:paraId="2F3E2C5F">
                  <w:pPr>
                    <w:pStyle w:val="55"/>
                  </w:pPr>
                </w:p>
              </w:tc>
            </w:tr>
            <w:tr w14:paraId="5D2889B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275" w:hRule="atLeast"/>
                <w:jc w:val="center"/>
              </w:trPr>
              <w:tc>
                <w:tcPr>
                  <w:tcW w:w="388" w:type="pct"/>
                  <w:vMerge w:val="restart"/>
                  <w:vAlign w:val="center"/>
                </w:tcPr>
                <w:p w14:paraId="4A5405F2">
                  <w:pPr>
                    <w:pStyle w:val="55"/>
                  </w:pPr>
                  <w:r>
                    <w:rPr>
                      <w:rFonts w:hint="eastAsia"/>
                    </w:rPr>
                    <w:t>输电线路</w:t>
                  </w:r>
                </w:p>
              </w:tc>
              <w:tc>
                <w:tcPr>
                  <w:tcW w:w="349" w:type="pct"/>
                  <w:vAlign w:val="center"/>
                </w:tcPr>
                <w:p w14:paraId="1474F919">
                  <w:pPr>
                    <w:pStyle w:val="55"/>
                  </w:pPr>
                  <w:r>
                    <w:rPr>
                      <w:rFonts w:hint="eastAsia"/>
                    </w:rPr>
                    <w:t>4</w:t>
                  </w:r>
                </w:p>
              </w:tc>
              <w:tc>
                <w:tcPr>
                  <w:tcW w:w="1212" w:type="pct"/>
                  <w:vAlign w:val="center"/>
                </w:tcPr>
                <w:p w14:paraId="6684E1F0">
                  <w:pPr>
                    <w:pStyle w:val="55"/>
                  </w:pPr>
                  <w:r>
                    <w:rPr>
                      <w:rFonts w:hint="eastAsia"/>
                    </w:rPr>
                    <w:t>桂集村西龚村西北园组1户</w:t>
                  </w:r>
                </w:p>
              </w:tc>
              <w:tc>
                <w:tcPr>
                  <w:tcW w:w="749" w:type="pct"/>
                  <w:vAlign w:val="center"/>
                </w:tcPr>
                <w:p w14:paraId="12DC9453">
                  <w:pPr>
                    <w:pStyle w:val="55"/>
                  </w:pPr>
                  <w:r>
                    <w:t>线路边导线</w:t>
                  </w:r>
                  <w:r>
                    <w:rPr>
                      <w:rFonts w:hint="eastAsia"/>
                    </w:rPr>
                    <w:t>西南</w:t>
                  </w:r>
                  <w:r>
                    <w:t>侧</w:t>
                  </w:r>
                  <w:r>
                    <w:rPr>
                      <w:rFonts w:hint="eastAsia"/>
                    </w:rPr>
                    <w:t>23</w:t>
                  </w:r>
                  <w:r>
                    <w:t>m</w:t>
                  </w:r>
                </w:p>
              </w:tc>
              <w:tc>
                <w:tcPr>
                  <w:tcW w:w="531" w:type="pct"/>
                  <w:vAlign w:val="center"/>
                </w:tcPr>
                <w:p w14:paraId="3332E95A">
                  <w:pPr>
                    <w:pStyle w:val="55"/>
                  </w:pPr>
                  <w:r>
                    <w:rPr>
                      <w:rFonts w:hint="eastAsia"/>
                    </w:rPr>
                    <w:t>1</w:t>
                  </w:r>
                  <w:r>
                    <w:t>栋/</w:t>
                  </w:r>
                  <w:r>
                    <w:rPr>
                      <w:rFonts w:hint="eastAsia"/>
                    </w:rPr>
                    <w:t>居住</w:t>
                  </w:r>
                </w:p>
              </w:tc>
              <w:tc>
                <w:tcPr>
                  <w:tcW w:w="714" w:type="pct"/>
                  <w:vAlign w:val="center"/>
                </w:tcPr>
                <w:p w14:paraId="432EFA30">
                  <w:pPr>
                    <w:pStyle w:val="55"/>
                  </w:pPr>
                  <w:r>
                    <w:rPr>
                      <w:rFonts w:hint="eastAsia"/>
                    </w:rPr>
                    <w:t>2</w:t>
                  </w:r>
                  <w:r>
                    <w:t>层平顶，高约</w:t>
                  </w:r>
                  <w:r>
                    <w:rPr>
                      <w:rFonts w:hint="eastAsia"/>
                    </w:rPr>
                    <w:t>6</w:t>
                  </w:r>
                  <w:r>
                    <w:t>m</w:t>
                  </w:r>
                </w:p>
              </w:tc>
              <w:tc>
                <w:tcPr>
                  <w:tcW w:w="496" w:type="pct"/>
                  <w:vAlign w:val="center"/>
                </w:tcPr>
                <w:p w14:paraId="7C40CAC4">
                  <w:pPr>
                    <w:pStyle w:val="55"/>
                  </w:pPr>
                  <w:r>
                    <w:t>≥7</w:t>
                  </w:r>
                  <w:r>
                    <w:rPr>
                      <w:rFonts w:hint="eastAsia"/>
                    </w:rPr>
                    <w:t>.5</w:t>
                  </w:r>
                  <w:r>
                    <w:t>m</w:t>
                  </w:r>
                </w:p>
              </w:tc>
              <w:tc>
                <w:tcPr>
                  <w:tcW w:w="556" w:type="pct"/>
                  <w:vMerge w:val="restart"/>
                  <w:vAlign w:val="center"/>
                </w:tcPr>
                <w:p w14:paraId="5CAFBE68">
                  <w:pPr>
                    <w:pStyle w:val="55"/>
                  </w:pPr>
                  <w:r>
                    <w:t>《声环境质量标准》（GB3096-2008）</w:t>
                  </w:r>
                  <w:r>
                    <w:rPr>
                      <w:rFonts w:hint="eastAsia"/>
                    </w:rPr>
                    <w:t>1类标准</w:t>
                  </w:r>
                </w:p>
              </w:tc>
            </w:tr>
            <w:tr w14:paraId="61F9FAE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275" w:hRule="atLeast"/>
                <w:jc w:val="center"/>
              </w:trPr>
              <w:tc>
                <w:tcPr>
                  <w:tcW w:w="388" w:type="pct"/>
                  <w:vMerge w:val="continue"/>
                  <w:vAlign w:val="center"/>
                </w:tcPr>
                <w:p w14:paraId="773783C5">
                  <w:pPr>
                    <w:pStyle w:val="55"/>
                  </w:pPr>
                </w:p>
              </w:tc>
              <w:tc>
                <w:tcPr>
                  <w:tcW w:w="349" w:type="pct"/>
                  <w:vAlign w:val="center"/>
                </w:tcPr>
                <w:p w14:paraId="27C7246A">
                  <w:pPr>
                    <w:pStyle w:val="55"/>
                  </w:pPr>
                  <w:r>
                    <w:rPr>
                      <w:rFonts w:hint="eastAsia"/>
                    </w:rPr>
                    <w:t>5</w:t>
                  </w:r>
                </w:p>
              </w:tc>
              <w:tc>
                <w:tcPr>
                  <w:tcW w:w="1212" w:type="pct"/>
                  <w:vAlign w:val="center"/>
                </w:tcPr>
                <w:p w14:paraId="1DCCB620">
                  <w:pPr>
                    <w:pStyle w:val="55"/>
                  </w:pPr>
                  <w:r>
                    <w:t>桂集村西龚村西北园组1户</w:t>
                  </w:r>
                </w:p>
              </w:tc>
              <w:tc>
                <w:tcPr>
                  <w:tcW w:w="749" w:type="pct"/>
                  <w:vAlign w:val="center"/>
                </w:tcPr>
                <w:p w14:paraId="5173A544">
                  <w:pPr>
                    <w:pStyle w:val="55"/>
                  </w:pPr>
                  <w:r>
                    <w:t>线路边导线南侧</w:t>
                  </w:r>
                  <w:r>
                    <w:rPr>
                      <w:rFonts w:hint="eastAsia"/>
                    </w:rPr>
                    <w:t>14</w:t>
                  </w:r>
                  <w:r>
                    <w:t>m</w:t>
                  </w:r>
                </w:p>
              </w:tc>
              <w:tc>
                <w:tcPr>
                  <w:tcW w:w="531" w:type="pct"/>
                  <w:vAlign w:val="center"/>
                </w:tcPr>
                <w:p w14:paraId="5C981205">
                  <w:pPr>
                    <w:pStyle w:val="55"/>
                  </w:pPr>
                  <w:r>
                    <w:t>1栋/居住</w:t>
                  </w:r>
                </w:p>
              </w:tc>
              <w:tc>
                <w:tcPr>
                  <w:tcW w:w="714" w:type="pct"/>
                  <w:vAlign w:val="center"/>
                </w:tcPr>
                <w:p w14:paraId="50F82E5F">
                  <w:pPr>
                    <w:pStyle w:val="55"/>
                  </w:pPr>
                  <w:r>
                    <w:t>1层坡顶，高约</w:t>
                  </w:r>
                  <w:r>
                    <w:rPr>
                      <w:rFonts w:hint="eastAsia"/>
                    </w:rPr>
                    <w:t>3.5</w:t>
                  </w:r>
                  <w:r>
                    <w:t>m</w:t>
                  </w:r>
                </w:p>
              </w:tc>
              <w:tc>
                <w:tcPr>
                  <w:tcW w:w="496" w:type="pct"/>
                  <w:vAlign w:val="center"/>
                </w:tcPr>
                <w:p w14:paraId="5C17C335">
                  <w:pPr>
                    <w:pStyle w:val="55"/>
                  </w:pPr>
                  <w:r>
                    <w:t>≥7</w:t>
                  </w:r>
                  <w:r>
                    <w:rPr>
                      <w:rFonts w:hint="eastAsia"/>
                    </w:rPr>
                    <w:t>.5</w:t>
                  </w:r>
                  <w:r>
                    <w:t>m</w:t>
                  </w:r>
                </w:p>
              </w:tc>
              <w:tc>
                <w:tcPr>
                  <w:tcW w:w="556" w:type="pct"/>
                  <w:vMerge w:val="continue"/>
                  <w:vAlign w:val="center"/>
                </w:tcPr>
                <w:p w14:paraId="16A8BA26">
                  <w:pPr>
                    <w:pStyle w:val="55"/>
                  </w:pPr>
                </w:p>
              </w:tc>
            </w:tr>
            <w:tr w14:paraId="7643BFA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275" w:hRule="atLeast"/>
                <w:jc w:val="center"/>
              </w:trPr>
              <w:tc>
                <w:tcPr>
                  <w:tcW w:w="388" w:type="pct"/>
                  <w:vMerge w:val="continue"/>
                  <w:vAlign w:val="center"/>
                </w:tcPr>
                <w:p w14:paraId="4E1A509F">
                  <w:pPr>
                    <w:pStyle w:val="55"/>
                  </w:pPr>
                </w:p>
              </w:tc>
              <w:tc>
                <w:tcPr>
                  <w:tcW w:w="349" w:type="pct"/>
                  <w:vAlign w:val="center"/>
                </w:tcPr>
                <w:p w14:paraId="6293B728">
                  <w:pPr>
                    <w:pStyle w:val="55"/>
                  </w:pPr>
                  <w:r>
                    <w:rPr>
                      <w:rFonts w:hint="eastAsia"/>
                    </w:rPr>
                    <w:t>6</w:t>
                  </w:r>
                </w:p>
              </w:tc>
              <w:tc>
                <w:tcPr>
                  <w:tcW w:w="1212" w:type="pct"/>
                  <w:vAlign w:val="center"/>
                </w:tcPr>
                <w:p w14:paraId="57E659BD">
                  <w:pPr>
                    <w:pStyle w:val="55"/>
                  </w:pPr>
                  <w:r>
                    <w:t>桂集村西龚村西北园组</w:t>
                  </w:r>
                  <w:r>
                    <w:rPr>
                      <w:rFonts w:hint="eastAsia"/>
                    </w:rPr>
                    <w:t>2</w:t>
                  </w:r>
                  <w:r>
                    <w:t>户</w:t>
                  </w:r>
                </w:p>
              </w:tc>
              <w:tc>
                <w:tcPr>
                  <w:tcW w:w="749" w:type="pct"/>
                  <w:vAlign w:val="center"/>
                </w:tcPr>
                <w:p w14:paraId="3B0D8A31">
                  <w:pPr>
                    <w:pStyle w:val="55"/>
                  </w:pPr>
                  <w:r>
                    <w:t>线路边导线</w:t>
                  </w:r>
                  <w:r>
                    <w:rPr>
                      <w:rFonts w:hint="eastAsia"/>
                    </w:rPr>
                    <w:t>东侧7</w:t>
                  </w:r>
                  <w:r>
                    <w:t>m</w:t>
                  </w:r>
                </w:p>
              </w:tc>
              <w:tc>
                <w:tcPr>
                  <w:tcW w:w="531" w:type="pct"/>
                  <w:vAlign w:val="center"/>
                </w:tcPr>
                <w:p w14:paraId="117B4E2C">
                  <w:pPr>
                    <w:pStyle w:val="55"/>
                  </w:pPr>
                  <w:r>
                    <w:rPr>
                      <w:rFonts w:hint="eastAsia"/>
                    </w:rPr>
                    <w:t>2</w:t>
                  </w:r>
                  <w:r>
                    <w:t>栋/居住</w:t>
                  </w:r>
                </w:p>
              </w:tc>
              <w:tc>
                <w:tcPr>
                  <w:tcW w:w="714" w:type="pct"/>
                  <w:vAlign w:val="center"/>
                </w:tcPr>
                <w:p w14:paraId="4272B5B1">
                  <w:pPr>
                    <w:pStyle w:val="55"/>
                  </w:pPr>
                  <w:r>
                    <w:t>1层坡顶，高约3.5m</w:t>
                  </w:r>
                </w:p>
                <w:p w14:paraId="45B11A9F">
                  <w:pPr>
                    <w:pStyle w:val="55"/>
                  </w:pPr>
                  <w:r>
                    <w:t>2层平顶，高约6m</w:t>
                  </w:r>
                </w:p>
              </w:tc>
              <w:tc>
                <w:tcPr>
                  <w:tcW w:w="496" w:type="pct"/>
                  <w:vAlign w:val="center"/>
                </w:tcPr>
                <w:p w14:paraId="36571F01">
                  <w:pPr>
                    <w:pStyle w:val="55"/>
                  </w:pPr>
                  <w:r>
                    <w:t>≥7</w:t>
                  </w:r>
                  <w:r>
                    <w:rPr>
                      <w:rFonts w:hint="eastAsia"/>
                    </w:rPr>
                    <w:t>.5</w:t>
                  </w:r>
                  <w:r>
                    <w:t>m</w:t>
                  </w:r>
                </w:p>
              </w:tc>
              <w:tc>
                <w:tcPr>
                  <w:tcW w:w="556" w:type="pct"/>
                  <w:vMerge w:val="continue"/>
                  <w:vAlign w:val="center"/>
                </w:tcPr>
                <w:p w14:paraId="474D29A7">
                  <w:pPr>
                    <w:pStyle w:val="55"/>
                  </w:pPr>
                </w:p>
              </w:tc>
            </w:tr>
            <w:tr w14:paraId="543C5F4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275" w:hRule="atLeast"/>
                <w:jc w:val="center"/>
              </w:trPr>
              <w:tc>
                <w:tcPr>
                  <w:tcW w:w="388" w:type="pct"/>
                  <w:vMerge w:val="continue"/>
                  <w:vAlign w:val="center"/>
                </w:tcPr>
                <w:p w14:paraId="201CA7FD">
                  <w:pPr>
                    <w:pStyle w:val="55"/>
                  </w:pPr>
                </w:p>
              </w:tc>
              <w:tc>
                <w:tcPr>
                  <w:tcW w:w="349" w:type="pct"/>
                  <w:vAlign w:val="center"/>
                </w:tcPr>
                <w:p w14:paraId="0665567A">
                  <w:pPr>
                    <w:pStyle w:val="55"/>
                  </w:pPr>
                  <w:r>
                    <w:rPr>
                      <w:rFonts w:hint="eastAsia"/>
                    </w:rPr>
                    <w:t>7</w:t>
                  </w:r>
                </w:p>
              </w:tc>
              <w:tc>
                <w:tcPr>
                  <w:tcW w:w="1212" w:type="pct"/>
                  <w:vAlign w:val="center"/>
                </w:tcPr>
                <w:p w14:paraId="78B33752">
                  <w:pPr>
                    <w:pStyle w:val="55"/>
                  </w:pPr>
                  <w:r>
                    <w:t>桂集村西龚村西北园组</w:t>
                  </w:r>
                  <w:r>
                    <w:rPr>
                      <w:rFonts w:hint="eastAsia"/>
                    </w:rPr>
                    <w:t>3</w:t>
                  </w:r>
                  <w:r>
                    <w:t>户</w:t>
                  </w:r>
                </w:p>
              </w:tc>
              <w:tc>
                <w:tcPr>
                  <w:tcW w:w="749" w:type="pct"/>
                  <w:vAlign w:val="center"/>
                </w:tcPr>
                <w:p w14:paraId="0E5E3D0D">
                  <w:pPr>
                    <w:pStyle w:val="55"/>
                  </w:pPr>
                  <w:r>
                    <w:t>线路边导线南侧3</w:t>
                  </w:r>
                  <w:r>
                    <w:rPr>
                      <w:rFonts w:hint="eastAsia"/>
                    </w:rPr>
                    <w:t>0</w:t>
                  </w:r>
                  <w:r>
                    <w:t>m</w:t>
                  </w:r>
                </w:p>
              </w:tc>
              <w:tc>
                <w:tcPr>
                  <w:tcW w:w="531" w:type="pct"/>
                  <w:vAlign w:val="center"/>
                </w:tcPr>
                <w:p w14:paraId="5058E3BA">
                  <w:pPr>
                    <w:pStyle w:val="55"/>
                  </w:pPr>
                  <w:r>
                    <w:rPr>
                      <w:rFonts w:hint="eastAsia"/>
                    </w:rPr>
                    <w:t>1栋/居住</w:t>
                  </w:r>
                </w:p>
              </w:tc>
              <w:tc>
                <w:tcPr>
                  <w:tcW w:w="714" w:type="pct"/>
                  <w:vAlign w:val="center"/>
                </w:tcPr>
                <w:p w14:paraId="7D2545C3">
                  <w:pPr>
                    <w:pStyle w:val="55"/>
                  </w:pPr>
                  <w:r>
                    <w:rPr>
                      <w:rFonts w:hint="eastAsia"/>
                    </w:rPr>
                    <w:t>3层平顶，高约9m</w:t>
                  </w:r>
                </w:p>
              </w:tc>
              <w:tc>
                <w:tcPr>
                  <w:tcW w:w="496" w:type="pct"/>
                  <w:vAlign w:val="center"/>
                </w:tcPr>
                <w:p w14:paraId="19F238F6">
                  <w:pPr>
                    <w:pStyle w:val="55"/>
                  </w:pPr>
                  <w:r>
                    <w:t>≥7</w:t>
                  </w:r>
                  <w:r>
                    <w:rPr>
                      <w:rFonts w:hint="eastAsia"/>
                    </w:rPr>
                    <w:t>.5</w:t>
                  </w:r>
                  <w:r>
                    <w:t>m</w:t>
                  </w:r>
                </w:p>
              </w:tc>
              <w:tc>
                <w:tcPr>
                  <w:tcW w:w="556" w:type="pct"/>
                  <w:vMerge w:val="continue"/>
                  <w:vAlign w:val="center"/>
                </w:tcPr>
                <w:p w14:paraId="7C7FF73A">
                  <w:pPr>
                    <w:pStyle w:val="55"/>
                  </w:pPr>
                </w:p>
              </w:tc>
            </w:tr>
            <w:tr w14:paraId="19E7B07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275" w:hRule="atLeast"/>
                <w:jc w:val="center"/>
              </w:trPr>
              <w:tc>
                <w:tcPr>
                  <w:tcW w:w="388" w:type="pct"/>
                  <w:vMerge w:val="continue"/>
                  <w:vAlign w:val="center"/>
                </w:tcPr>
                <w:p w14:paraId="2B2141A0">
                  <w:pPr>
                    <w:pStyle w:val="55"/>
                  </w:pPr>
                </w:p>
              </w:tc>
              <w:tc>
                <w:tcPr>
                  <w:tcW w:w="349" w:type="pct"/>
                  <w:vAlign w:val="center"/>
                </w:tcPr>
                <w:p w14:paraId="35DF6E7E">
                  <w:pPr>
                    <w:pStyle w:val="55"/>
                  </w:pPr>
                  <w:r>
                    <w:rPr>
                      <w:rFonts w:hint="eastAsia"/>
                    </w:rPr>
                    <w:t>8</w:t>
                  </w:r>
                </w:p>
              </w:tc>
              <w:tc>
                <w:tcPr>
                  <w:tcW w:w="1212" w:type="pct"/>
                  <w:vAlign w:val="center"/>
                </w:tcPr>
                <w:p w14:paraId="579EA9AB">
                  <w:pPr>
                    <w:pStyle w:val="55"/>
                  </w:pPr>
                  <w:r>
                    <w:t>桂集村西龚村西北园组</w:t>
                  </w:r>
                  <w:r>
                    <w:rPr>
                      <w:rFonts w:hint="eastAsia"/>
                    </w:rPr>
                    <w:t>4</w:t>
                  </w:r>
                  <w:r>
                    <w:t>户</w:t>
                  </w:r>
                </w:p>
              </w:tc>
              <w:tc>
                <w:tcPr>
                  <w:tcW w:w="749" w:type="pct"/>
                  <w:vAlign w:val="center"/>
                </w:tcPr>
                <w:p w14:paraId="7CDFF36A">
                  <w:pPr>
                    <w:pStyle w:val="55"/>
                  </w:pPr>
                  <w:r>
                    <w:t>线路边导线南侧</w:t>
                  </w:r>
                  <w:r>
                    <w:rPr>
                      <w:rFonts w:hint="eastAsia"/>
                    </w:rPr>
                    <w:t>23</w:t>
                  </w:r>
                  <w:r>
                    <w:t>m</w:t>
                  </w:r>
                </w:p>
              </w:tc>
              <w:tc>
                <w:tcPr>
                  <w:tcW w:w="531" w:type="pct"/>
                  <w:vAlign w:val="center"/>
                </w:tcPr>
                <w:p w14:paraId="368A11BC">
                  <w:pPr>
                    <w:pStyle w:val="55"/>
                  </w:pPr>
                  <w:r>
                    <w:rPr>
                      <w:rFonts w:hint="eastAsia"/>
                    </w:rPr>
                    <w:t>2</w:t>
                  </w:r>
                  <w:r>
                    <w:t>栋/居住</w:t>
                  </w:r>
                </w:p>
              </w:tc>
              <w:tc>
                <w:tcPr>
                  <w:tcW w:w="714" w:type="pct"/>
                  <w:vAlign w:val="center"/>
                </w:tcPr>
                <w:p w14:paraId="69D7263F">
                  <w:pPr>
                    <w:pStyle w:val="55"/>
                  </w:pPr>
                  <w:r>
                    <w:t>2层平顶，高约6m</w:t>
                  </w:r>
                </w:p>
              </w:tc>
              <w:tc>
                <w:tcPr>
                  <w:tcW w:w="496" w:type="pct"/>
                  <w:vAlign w:val="center"/>
                </w:tcPr>
                <w:p w14:paraId="7DE32DA1">
                  <w:pPr>
                    <w:pStyle w:val="55"/>
                  </w:pPr>
                  <w:r>
                    <w:t>≥7</w:t>
                  </w:r>
                  <w:r>
                    <w:rPr>
                      <w:rFonts w:hint="eastAsia"/>
                    </w:rPr>
                    <w:t>.5</w:t>
                  </w:r>
                  <w:r>
                    <w:t>m</w:t>
                  </w:r>
                </w:p>
              </w:tc>
              <w:tc>
                <w:tcPr>
                  <w:tcW w:w="556" w:type="pct"/>
                  <w:vMerge w:val="continue"/>
                  <w:vAlign w:val="center"/>
                </w:tcPr>
                <w:p w14:paraId="0F5A652A">
                  <w:pPr>
                    <w:pStyle w:val="55"/>
                  </w:pPr>
                </w:p>
              </w:tc>
            </w:tr>
            <w:tr w14:paraId="6F872A1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275" w:hRule="atLeast"/>
                <w:jc w:val="center"/>
              </w:trPr>
              <w:tc>
                <w:tcPr>
                  <w:tcW w:w="388" w:type="pct"/>
                  <w:vMerge w:val="continue"/>
                  <w:vAlign w:val="center"/>
                </w:tcPr>
                <w:p w14:paraId="686A4FAC">
                  <w:pPr>
                    <w:pStyle w:val="55"/>
                  </w:pPr>
                </w:p>
              </w:tc>
              <w:tc>
                <w:tcPr>
                  <w:tcW w:w="349" w:type="pct"/>
                  <w:vAlign w:val="center"/>
                </w:tcPr>
                <w:p w14:paraId="517F7664">
                  <w:pPr>
                    <w:pStyle w:val="55"/>
                  </w:pPr>
                  <w:r>
                    <w:rPr>
                      <w:rFonts w:hint="eastAsia"/>
                    </w:rPr>
                    <w:t>9</w:t>
                  </w:r>
                </w:p>
              </w:tc>
              <w:tc>
                <w:tcPr>
                  <w:tcW w:w="1212" w:type="pct"/>
                  <w:vAlign w:val="center"/>
                </w:tcPr>
                <w:p w14:paraId="21EDAC4D">
                  <w:pPr>
                    <w:pStyle w:val="55"/>
                  </w:pPr>
                  <w:r>
                    <w:t>桂集村西龚村西北园组1户</w:t>
                  </w:r>
                </w:p>
              </w:tc>
              <w:tc>
                <w:tcPr>
                  <w:tcW w:w="749" w:type="pct"/>
                  <w:vAlign w:val="center"/>
                </w:tcPr>
                <w:p w14:paraId="35F7D4E0">
                  <w:pPr>
                    <w:pStyle w:val="55"/>
                  </w:pPr>
                  <w:r>
                    <w:t>线路边导线</w:t>
                  </w:r>
                  <w:r>
                    <w:rPr>
                      <w:rFonts w:hint="eastAsia"/>
                    </w:rPr>
                    <w:t>东北</w:t>
                  </w:r>
                  <w:r>
                    <w:t>侧</w:t>
                  </w:r>
                  <w:r>
                    <w:rPr>
                      <w:rFonts w:hint="eastAsia"/>
                    </w:rPr>
                    <w:t>31</w:t>
                  </w:r>
                  <w:r>
                    <w:t>m</w:t>
                  </w:r>
                </w:p>
              </w:tc>
              <w:tc>
                <w:tcPr>
                  <w:tcW w:w="531" w:type="pct"/>
                  <w:shd w:val="clear" w:color="auto" w:fill="auto"/>
                  <w:vAlign w:val="center"/>
                </w:tcPr>
                <w:p w14:paraId="7FAE531D">
                  <w:pPr>
                    <w:pStyle w:val="55"/>
                  </w:pPr>
                  <w:r>
                    <w:t>1栋/居住</w:t>
                  </w:r>
                </w:p>
              </w:tc>
              <w:tc>
                <w:tcPr>
                  <w:tcW w:w="714" w:type="pct"/>
                  <w:shd w:val="clear" w:color="auto" w:fill="auto"/>
                  <w:vAlign w:val="center"/>
                </w:tcPr>
                <w:p w14:paraId="5DB77326">
                  <w:pPr>
                    <w:pStyle w:val="55"/>
                  </w:pPr>
                  <w:r>
                    <w:t>2层平顶，高约6m</w:t>
                  </w:r>
                </w:p>
              </w:tc>
              <w:tc>
                <w:tcPr>
                  <w:tcW w:w="496" w:type="pct"/>
                  <w:vAlign w:val="center"/>
                </w:tcPr>
                <w:p w14:paraId="61C95D22">
                  <w:pPr>
                    <w:pStyle w:val="55"/>
                  </w:pPr>
                  <w:r>
                    <w:t>≥7</w:t>
                  </w:r>
                  <w:r>
                    <w:rPr>
                      <w:rFonts w:hint="eastAsia"/>
                    </w:rPr>
                    <w:t>.5</w:t>
                  </w:r>
                  <w:r>
                    <w:t>m</w:t>
                  </w:r>
                </w:p>
              </w:tc>
              <w:tc>
                <w:tcPr>
                  <w:tcW w:w="556" w:type="pct"/>
                  <w:vMerge w:val="continue"/>
                  <w:vAlign w:val="center"/>
                </w:tcPr>
                <w:p w14:paraId="0506C383">
                  <w:pPr>
                    <w:pStyle w:val="55"/>
                  </w:pPr>
                </w:p>
              </w:tc>
            </w:tr>
            <w:tr w14:paraId="7B712C9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275" w:hRule="atLeast"/>
                <w:jc w:val="center"/>
              </w:trPr>
              <w:tc>
                <w:tcPr>
                  <w:tcW w:w="388" w:type="pct"/>
                  <w:vMerge w:val="continue"/>
                  <w:vAlign w:val="center"/>
                </w:tcPr>
                <w:p w14:paraId="2F679D36">
                  <w:pPr>
                    <w:pStyle w:val="55"/>
                  </w:pPr>
                </w:p>
              </w:tc>
              <w:tc>
                <w:tcPr>
                  <w:tcW w:w="349" w:type="pct"/>
                  <w:vAlign w:val="center"/>
                </w:tcPr>
                <w:p w14:paraId="3506F211">
                  <w:pPr>
                    <w:pStyle w:val="55"/>
                  </w:pPr>
                  <w:r>
                    <w:rPr>
                      <w:rFonts w:hint="eastAsia"/>
                    </w:rPr>
                    <w:t>10</w:t>
                  </w:r>
                </w:p>
              </w:tc>
              <w:tc>
                <w:tcPr>
                  <w:tcW w:w="1212" w:type="pct"/>
                  <w:vAlign w:val="center"/>
                </w:tcPr>
                <w:p w14:paraId="66813AA9">
                  <w:pPr>
                    <w:pStyle w:val="55"/>
                  </w:pPr>
                  <w:r>
                    <w:t>桂集镇中郢村凤大路南端门面房</w:t>
                  </w:r>
                </w:p>
              </w:tc>
              <w:tc>
                <w:tcPr>
                  <w:tcW w:w="749" w:type="pct"/>
                  <w:vAlign w:val="center"/>
                </w:tcPr>
                <w:p w14:paraId="06B43FFD">
                  <w:pPr>
                    <w:pStyle w:val="55"/>
                  </w:pPr>
                  <w:r>
                    <w:t>线路边导线南侧</w:t>
                  </w:r>
                  <w:r>
                    <w:rPr>
                      <w:rFonts w:hint="eastAsia"/>
                    </w:rPr>
                    <w:t>8</w:t>
                  </w:r>
                  <w:r>
                    <w:t>m</w:t>
                  </w:r>
                </w:p>
              </w:tc>
              <w:tc>
                <w:tcPr>
                  <w:tcW w:w="531" w:type="pct"/>
                  <w:vAlign w:val="center"/>
                </w:tcPr>
                <w:p w14:paraId="4C07712D">
                  <w:pPr>
                    <w:pStyle w:val="55"/>
                  </w:pPr>
                  <w:r>
                    <w:t>1栋/居住</w:t>
                  </w:r>
                </w:p>
              </w:tc>
              <w:tc>
                <w:tcPr>
                  <w:tcW w:w="714" w:type="pct"/>
                  <w:vAlign w:val="center"/>
                </w:tcPr>
                <w:p w14:paraId="548DA1E4">
                  <w:pPr>
                    <w:pStyle w:val="55"/>
                  </w:pPr>
                  <w:r>
                    <w:t>2层</w:t>
                  </w:r>
                  <w:r>
                    <w:rPr>
                      <w:rFonts w:hint="eastAsia"/>
                    </w:rPr>
                    <w:t>/3层</w:t>
                  </w:r>
                  <w:r>
                    <w:t>平顶，高约6m</w:t>
                  </w:r>
                </w:p>
              </w:tc>
              <w:tc>
                <w:tcPr>
                  <w:tcW w:w="496" w:type="pct"/>
                  <w:shd w:val="clear" w:color="auto" w:fill="auto"/>
                  <w:vAlign w:val="center"/>
                </w:tcPr>
                <w:p w14:paraId="588879CC">
                  <w:pPr>
                    <w:pStyle w:val="55"/>
                  </w:pPr>
                  <w:r>
                    <w:t>≥7</w:t>
                  </w:r>
                  <w:r>
                    <w:rPr>
                      <w:rFonts w:hint="eastAsia"/>
                    </w:rPr>
                    <w:t>.5</w:t>
                  </w:r>
                  <w:r>
                    <w:t>m</w:t>
                  </w:r>
                </w:p>
              </w:tc>
              <w:tc>
                <w:tcPr>
                  <w:tcW w:w="556" w:type="pct"/>
                  <w:vMerge w:val="continue"/>
                  <w:vAlign w:val="center"/>
                </w:tcPr>
                <w:p w14:paraId="06B57C60">
                  <w:pPr>
                    <w:pStyle w:val="55"/>
                  </w:pPr>
                </w:p>
              </w:tc>
            </w:tr>
            <w:tr w14:paraId="6A707C0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275" w:hRule="atLeast"/>
                <w:jc w:val="center"/>
              </w:trPr>
              <w:tc>
                <w:tcPr>
                  <w:tcW w:w="388" w:type="pct"/>
                  <w:vMerge w:val="continue"/>
                  <w:vAlign w:val="center"/>
                </w:tcPr>
                <w:p w14:paraId="3FC976A6">
                  <w:pPr>
                    <w:pStyle w:val="55"/>
                  </w:pPr>
                </w:p>
              </w:tc>
              <w:tc>
                <w:tcPr>
                  <w:tcW w:w="349" w:type="pct"/>
                  <w:vAlign w:val="center"/>
                </w:tcPr>
                <w:p w14:paraId="2ED9A2A3">
                  <w:pPr>
                    <w:pStyle w:val="55"/>
                  </w:pPr>
                  <w:r>
                    <w:rPr>
                      <w:rFonts w:hint="eastAsia"/>
                    </w:rPr>
                    <w:t>11</w:t>
                  </w:r>
                </w:p>
              </w:tc>
              <w:tc>
                <w:tcPr>
                  <w:tcW w:w="1212" w:type="pct"/>
                  <w:vAlign w:val="center"/>
                </w:tcPr>
                <w:p w14:paraId="6E410301">
                  <w:pPr>
                    <w:pStyle w:val="55"/>
                  </w:pPr>
                  <w:r>
                    <w:t>桂集镇中郢村拐王组3户</w:t>
                  </w:r>
                </w:p>
              </w:tc>
              <w:tc>
                <w:tcPr>
                  <w:tcW w:w="749" w:type="pct"/>
                  <w:vAlign w:val="center"/>
                </w:tcPr>
                <w:p w14:paraId="4F1D3B9E">
                  <w:pPr>
                    <w:pStyle w:val="55"/>
                  </w:pPr>
                  <w:r>
                    <w:t>线路边导线</w:t>
                  </w:r>
                  <w:r>
                    <w:rPr>
                      <w:rFonts w:hint="eastAsia"/>
                    </w:rPr>
                    <w:t>东</w:t>
                  </w:r>
                  <w:r>
                    <w:t>侧2</w:t>
                  </w:r>
                  <w:r>
                    <w:rPr>
                      <w:rFonts w:hint="eastAsia"/>
                    </w:rPr>
                    <w:t>5</w:t>
                  </w:r>
                  <w:r>
                    <w:t>m</w:t>
                  </w:r>
                </w:p>
              </w:tc>
              <w:tc>
                <w:tcPr>
                  <w:tcW w:w="531" w:type="pct"/>
                  <w:vAlign w:val="center"/>
                </w:tcPr>
                <w:p w14:paraId="2F84F8C9">
                  <w:pPr>
                    <w:pStyle w:val="55"/>
                  </w:pPr>
                  <w:r>
                    <w:rPr>
                      <w:rFonts w:hint="eastAsia"/>
                    </w:rPr>
                    <w:t>3</w:t>
                  </w:r>
                  <w:r>
                    <w:t>栋/居住</w:t>
                  </w:r>
                </w:p>
              </w:tc>
              <w:tc>
                <w:tcPr>
                  <w:tcW w:w="714" w:type="pct"/>
                  <w:vAlign w:val="center"/>
                </w:tcPr>
                <w:p w14:paraId="1B490F70">
                  <w:pPr>
                    <w:pStyle w:val="55"/>
                  </w:pPr>
                  <w:r>
                    <w:t>1层坡顶，高约3.5m</w:t>
                  </w:r>
                </w:p>
              </w:tc>
              <w:tc>
                <w:tcPr>
                  <w:tcW w:w="496" w:type="pct"/>
                  <w:shd w:val="clear" w:color="auto" w:fill="auto"/>
                  <w:vAlign w:val="center"/>
                </w:tcPr>
                <w:p w14:paraId="5CE1FC0D">
                  <w:pPr>
                    <w:pStyle w:val="55"/>
                  </w:pPr>
                  <w:r>
                    <w:t>≥7</w:t>
                  </w:r>
                  <w:r>
                    <w:rPr>
                      <w:rFonts w:hint="eastAsia"/>
                    </w:rPr>
                    <w:t>.5</w:t>
                  </w:r>
                  <w:r>
                    <w:t>m</w:t>
                  </w:r>
                </w:p>
              </w:tc>
              <w:tc>
                <w:tcPr>
                  <w:tcW w:w="556" w:type="pct"/>
                  <w:vMerge w:val="continue"/>
                  <w:vAlign w:val="center"/>
                </w:tcPr>
                <w:p w14:paraId="648F59AF">
                  <w:pPr>
                    <w:pStyle w:val="55"/>
                  </w:pPr>
                </w:p>
              </w:tc>
            </w:tr>
            <w:tr w14:paraId="7916452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275" w:hRule="atLeast"/>
                <w:jc w:val="center"/>
              </w:trPr>
              <w:tc>
                <w:tcPr>
                  <w:tcW w:w="388" w:type="pct"/>
                  <w:vMerge w:val="continue"/>
                  <w:vAlign w:val="center"/>
                </w:tcPr>
                <w:p w14:paraId="78539A4B">
                  <w:pPr>
                    <w:pStyle w:val="55"/>
                  </w:pPr>
                </w:p>
              </w:tc>
              <w:tc>
                <w:tcPr>
                  <w:tcW w:w="349" w:type="pct"/>
                  <w:vAlign w:val="center"/>
                </w:tcPr>
                <w:p w14:paraId="3A532974">
                  <w:pPr>
                    <w:pStyle w:val="55"/>
                  </w:pPr>
                  <w:r>
                    <w:rPr>
                      <w:rFonts w:hint="eastAsia"/>
                    </w:rPr>
                    <w:t>12</w:t>
                  </w:r>
                </w:p>
              </w:tc>
              <w:tc>
                <w:tcPr>
                  <w:tcW w:w="1212" w:type="pct"/>
                  <w:vAlign w:val="center"/>
                </w:tcPr>
                <w:p w14:paraId="236A2ADF">
                  <w:pPr>
                    <w:pStyle w:val="55"/>
                  </w:pPr>
                  <w:r>
                    <w:t>桂集镇勇敢村桥王组王某家养殖场</w:t>
                  </w:r>
                </w:p>
              </w:tc>
              <w:tc>
                <w:tcPr>
                  <w:tcW w:w="749" w:type="pct"/>
                  <w:vAlign w:val="center"/>
                </w:tcPr>
                <w:p w14:paraId="3AFB7DC9">
                  <w:pPr>
                    <w:pStyle w:val="55"/>
                  </w:pPr>
                  <w:r>
                    <w:t>跨越</w:t>
                  </w:r>
                </w:p>
              </w:tc>
              <w:tc>
                <w:tcPr>
                  <w:tcW w:w="531" w:type="pct"/>
                  <w:shd w:val="clear" w:color="auto" w:fill="auto"/>
                  <w:vAlign w:val="center"/>
                </w:tcPr>
                <w:p w14:paraId="5D155A84">
                  <w:pPr>
                    <w:pStyle w:val="55"/>
                  </w:pPr>
                  <w:r>
                    <w:rPr>
                      <w:rFonts w:hint="eastAsia"/>
                    </w:rPr>
                    <w:t>3</w:t>
                  </w:r>
                  <w:r>
                    <w:t>栋</w:t>
                  </w:r>
                  <w:r>
                    <w:rPr>
                      <w:rFonts w:hint="eastAsia"/>
                    </w:rPr>
                    <w:t>/办公居住</w:t>
                  </w:r>
                </w:p>
              </w:tc>
              <w:tc>
                <w:tcPr>
                  <w:tcW w:w="714" w:type="pct"/>
                  <w:shd w:val="clear" w:color="auto" w:fill="auto"/>
                  <w:vAlign w:val="center"/>
                </w:tcPr>
                <w:p w14:paraId="173E5345">
                  <w:pPr>
                    <w:pStyle w:val="55"/>
                  </w:pPr>
                  <w:r>
                    <w:t>1层</w:t>
                  </w:r>
                  <w:r>
                    <w:rPr>
                      <w:rFonts w:hint="eastAsia"/>
                    </w:rPr>
                    <w:t>棚</w:t>
                  </w:r>
                  <w:r>
                    <w:t>顶</w:t>
                  </w:r>
                  <w:r>
                    <w:rPr>
                      <w:rFonts w:hint="eastAsia"/>
                    </w:rPr>
                    <w:t>/坡顶</w:t>
                  </w:r>
                  <w:r>
                    <w:t>，高约3.5m</w:t>
                  </w:r>
                </w:p>
              </w:tc>
              <w:tc>
                <w:tcPr>
                  <w:tcW w:w="496" w:type="pct"/>
                  <w:shd w:val="clear" w:color="auto" w:fill="auto"/>
                  <w:vAlign w:val="center"/>
                </w:tcPr>
                <w:p w14:paraId="4D0D4553">
                  <w:pPr>
                    <w:pStyle w:val="55"/>
                  </w:pPr>
                  <w:r>
                    <w:t>≥7</w:t>
                  </w:r>
                  <w:r>
                    <w:rPr>
                      <w:rFonts w:hint="eastAsia"/>
                    </w:rPr>
                    <w:t>.5</w:t>
                  </w:r>
                  <w:r>
                    <w:t>m</w:t>
                  </w:r>
                </w:p>
              </w:tc>
              <w:tc>
                <w:tcPr>
                  <w:tcW w:w="556" w:type="pct"/>
                  <w:vMerge w:val="continue"/>
                  <w:vAlign w:val="center"/>
                </w:tcPr>
                <w:p w14:paraId="11295107">
                  <w:pPr>
                    <w:pStyle w:val="55"/>
                  </w:pPr>
                </w:p>
              </w:tc>
            </w:tr>
            <w:tr w14:paraId="300574D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275" w:hRule="atLeast"/>
                <w:jc w:val="center"/>
              </w:trPr>
              <w:tc>
                <w:tcPr>
                  <w:tcW w:w="388" w:type="pct"/>
                  <w:vMerge w:val="continue"/>
                  <w:vAlign w:val="center"/>
                </w:tcPr>
                <w:p w14:paraId="666780D8">
                  <w:pPr>
                    <w:pStyle w:val="55"/>
                  </w:pPr>
                </w:p>
              </w:tc>
              <w:tc>
                <w:tcPr>
                  <w:tcW w:w="349" w:type="pct"/>
                  <w:vAlign w:val="center"/>
                </w:tcPr>
                <w:p w14:paraId="2BC6C798">
                  <w:pPr>
                    <w:pStyle w:val="55"/>
                  </w:pPr>
                  <w:r>
                    <w:rPr>
                      <w:rFonts w:hint="eastAsia"/>
                    </w:rPr>
                    <w:t>13</w:t>
                  </w:r>
                </w:p>
              </w:tc>
              <w:tc>
                <w:tcPr>
                  <w:tcW w:w="1212" w:type="pct"/>
                  <w:vAlign w:val="center"/>
                </w:tcPr>
                <w:p w14:paraId="03E3E5FE">
                  <w:pPr>
                    <w:pStyle w:val="55"/>
                  </w:pPr>
                  <w:r>
                    <w:t>桂集镇勇敢村桥王组3户</w:t>
                  </w:r>
                </w:p>
              </w:tc>
              <w:tc>
                <w:tcPr>
                  <w:tcW w:w="749" w:type="pct"/>
                  <w:vAlign w:val="center"/>
                </w:tcPr>
                <w:p w14:paraId="58FAF798">
                  <w:pPr>
                    <w:pStyle w:val="55"/>
                  </w:pPr>
                  <w:r>
                    <w:t>线路边导线</w:t>
                  </w:r>
                  <w:r>
                    <w:rPr>
                      <w:rFonts w:hint="eastAsia"/>
                    </w:rPr>
                    <w:t>西南</w:t>
                  </w:r>
                  <w:r>
                    <w:t>侧</w:t>
                  </w:r>
                  <w:r>
                    <w:rPr>
                      <w:rFonts w:hint="eastAsia"/>
                    </w:rPr>
                    <w:t>5</w:t>
                  </w:r>
                  <w:r>
                    <w:t>m</w:t>
                  </w:r>
                </w:p>
              </w:tc>
              <w:tc>
                <w:tcPr>
                  <w:tcW w:w="531" w:type="pct"/>
                  <w:shd w:val="clear" w:color="auto" w:fill="auto"/>
                  <w:vAlign w:val="center"/>
                </w:tcPr>
                <w:p w14:paraId="2EF97682">
                  <w:pPr>
                    <w:pStyle w:val="55"/>
                  </w:pPr>
                  <w:r>
                    <w:rPr>
                      <w:rFonts w:hint="eastAsia"/>
                    </w:rPr>
                    <w:t>3</w:t>
                  </w:r>
                  <w:r>
                    <w:t>栋/居住</w:t>
                  </w:r>
                </w:p>
              </w:tc>
              <w:tc>
                <w:tcPr>
                  <w:tcW w:w="714" w:type="pct"/>
                  <w:shd w:val="clear" w:color="auto" w:fill="auto"/>
                  <w:vAlign w:val="center"/>
                </w:tcPr>
                <w:p w14:paraId="33442F78">
                  <w:pPr>
                    <w:pStyle w:val="55"/>
                  </w:pPr>
                  <w:r>
                    <w:t>1层坡顶，高约3.5m</w:t>
                  </w:r>
                </w:p>
                <w:p w14:paraId="59DDEB0E">
                  <w:pPr>
                    <w:pStyle w:val="55"/>
                  </w:pPr>
                  <w:r>
                    <w:t>2层平顶，高约6m</w:t>
                  </w:r>
                </w:p>
              </w:tc>
              <w:tc>
                <w:tcPr>
                  <w:tcW w:w="496" w:type="pct"/>
                  <w:shd w:val="clear" w:color="auto" w:fill="auto"/>
                  <w:vAlign w:val="center"/>
                </w:tcPr>
                <w:p w14:paraId="318F5779">
                  <w:pPr>
                    <w:pStyle w:val="55"/>
                  </w:pPr>
                  <w:r>
                    <w:t>≥7</w:t>
                  </w:r>
                  <w:r>
                    <w:rPr>
                      <w:rFonts w:hint="eastAsia"/>
                    </w:rPr>
                    <w:t>.5</w:t>
                  </w:r>
                  <w:r>
                    <w:t>m</w:t>
                  </w:r>
                </w:p>
              </w:tc>
              <w:tc>
                <w:tcPr>
                  <w:tcW w:w="556" w:type="pct"/>
                  <w:vMerge w:val="continue"/>
                  <w:vAlign w:val="center"/>
                </w:tcPr>
                <w:p w14:paraId="631B7933">
                  <w:pPr>
                    <w:pStyle w:val="55"/>
                  </w:pPr>
                </w:p>
              </w:tc>
            </w:tr>
            <w:tr w14:paraId="1A96137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275" w:hRule="atLeast"/>
                <w:jc w:val="center"/>
              </w:trPr>
              <w:tc>
                <w:tcPr>
                  <w:tcW w:w="388" w:type="pct"/>
                  <w:vMerge w:val="continue"/>
                  <w:vAlign w:val="center"/>
                </w:tcPr>
                <w:p w14:paraId="5C612C3B">
                  <w:pPr>
                    <w:pStyle w:val="55"/>
                  </w:pPr>
                </w:p>
              </w:tc>
              <w:tc>
                <w:tcPr>
                  <w:tcW w:w="349" w:type="pct"/>
                  <w:vAlign w:val="center"/>
                </w:tcPr>
                <w:p w14:paraId="16EACD7F">
                  <w:pPr>
                    <w:pStyle w:val="55"/>
                  </w:pPr>
                  <w:r>
                    <w:rPr>
                      <w:rFonts w:hint="eastAsia"/>
                    </w:rPr>
                    <w:t>14</w:t>
                  </w:r>
                </w:p>
              </w:tc>
              <w:tc>
                <w:tcPr>
                  <w:tcW w:w="1212" w:type="pct"/>
                  <w:vAlign w:val="center"/>
                </w:tcPr>
                <w:p w14:paraId="48DA307E">
                  <w:pPr>
                    <w:pStyle w:val="55"/>
                  </w:pPr>
                  <w:r>
                    <w:t>桂集镇勇敢村后乡组袁纪鑫家</w:t>
                  </w:r>
                </w:p>
              </w:tc>
              <w:tc>
                <w:tcPr>
                  <w:tcW w:w="749" w:type="pct"/>
                  <w:vAlign w:val="center"/>
                </w:tcPr>
                <w:p w14:paraId="758323D1">
                  <w:pPr>
                    <w:pStyle w:val="55"/>
                  </w:pPr>
                  <w:r>
                    <w:t>线路边导线</w:t>
                  </w:r>
                  <w:r>
                    <w:rPr>
                      <w:rFonts w:hint="eastAsia"/>
                    </w:rPr>
                    <w:t>东北</w:t>
                  </w:r>
                  <w:r>
                    <w:t>侧</w:t>
                  </w:r>
                  <w:r>
                    <w:rPr>
                      <w:rFonts w:hint="eastAsia"/>
                    </w:rPr>
                    <w:t>1</w:t>
                  </w:r>
                  <w:r>
                    <w:t>3m</w:t>
                  </w:r>
                </w:p>
              </w:tc>
              <w:tc>
                <w:tcPr>
                  <w:tcW w:w="531" w:type="pct"/>
                  <w:shd w:val="clear" w:color="auto" w:fill="auto"/>
                  <w:vAlign w:val="center"/>
                </w:tcPr>
                <w:p w14:paraId="43020528">
                  <w:pPr>
                    <w:pStyle w:val="55"/>
                  </w:pPr>
                  <w:r>
                    <w:t>1栋/居住</w:t>
                  </w:r>
                </w:p>
              </w:tc>
              <w:tc>
                <w:tcPr>
                  <w:tcW w:w="714" w:type="pct"/>
                  <w:shd w:val="clear" w:color="auto" w:fill="auto"/>
                  <w:vAlign w:val="center"/>
                </w:tcPr>
                <w:p w14:paraId="3F8CAFAA">
                  <w:pPr>
                    <w:pStyle w:val="55"/>
                  </w:pPr>
                  <w:r>
                    <w:t>2层</w:t>
                  </w:r>
                  <w:r>
                    <w:rPr>
                      <w:rFonts w:hint="eastAsia"/>
                    </w:rPr>
                    <w:t>/3层</w:t>
                  </w:r>
                  <w:r>
                    <w:t>平顶，高约6m</w:t>
                  </w:r>
                </w:p>
              </w:tc>
              <w:tc>
                <w:tcPr>
                  <w:tcW w:w="496" w:type="pct"/>
                  <w:shd w:val="clear" w:color="auto" w:fill="auto"/>
                  <w:vAlign w:val="center"/>
                </w:tcPr>
                <w:p w14:paraId="133BE853">
                  <w:pPr>
                    <w:pStyle w:val="55"/>
                  </w:pPr>
                  <w:r>
                    <w:t>≥7</w:t>
                  </w:r>
                  <w:r>
                    <w:rPr>
                      <w:rFonts w:hint="eastAsia"/>
                    </w:rPr>
                    <w:t>.5</w:t>
                  </w:r>
                  <w:r>
                    <w:t>m</w:t>
                  </w:r>
                </w:p>
              </w:tc>
              <w:tc>
                <w:tcPr>
                  <w:tcW w:w="556" w:type="pct"/>
                  <w:vMerge w:val="continue"/>
                  <w:vAlign w:val="center"/>
                </w:tcPr>
                <w:p w14:paraId="7C4C6A47">
                  <w:pPr>
                    <w:pStyle w:val="55"/>
                  </w:pPr>
                </w:p>
              </w:tc>
            </w:tr>
          </w:tbl>
          <w:p w14:paraId="0A767941">
            <w:pPr>
              <w:pStyle w:val="51"/>
              <w:ind w:firstLine="482"/>
              <w:rPr>
                <w:b/>
                <w:bCs/>
                <w:color w:val="0000FF"/>
              </w:rPr>
            </w:pPr>
            <w:r>
              <w:rPr>
                <w:rFonts w:hint="eastAsia"/>
                <w:b/>
                <w:bCs/>
                <w:color w:val="0000FF"/>
              </w:rPr>
              <w:t>2、电磁环境</w:t>
            </w:r>
          </w:p>
          <w:p w14:paraId="7E167A17">
            <w:pPr>
              <w:pStyle w:val="51"/>
              <w:rPr>
                <w:color w:val="0000FF"/>
              </w:rPr>
            </w:pPr>
            <w:r>
              <w:rPr>
                <w:rFonts w:hint="eastAsia"/>
                <w:color w:val="0000FF"/>
              </w:rPr>
              <w:t>见电磁环境影响评价专题报告。</w:t>
            </w:r>
          </w:p>
          <w:p w14:paraId="3F56CF7F">
            <w:pPr>
              <w:pStyle w:val="49"/>
              <w:rPr>
                <w:color w:val="auto"/>
              </w:rPr>
            </w:pPr>
            <w:r>
              <w:rPr>
                <w:rFonts w:hint="eastAsia"/>
                <w:color w:val="auto"/>
              </w:rPr>
              <w:t>3、水环境</w:t>
            </w:r>
          </w:p>
          <w:p w14:paraId="006320D2">
            <w:pPr>
              <w:pStyle w:val="51"/>
              <w:rPr>
                <w:color w:val="auto"/>
              </w:rPr>
            </w:pPr>
            <w:r>
              <w:rPr>
                <w:rFonts w:hint="eastAsia"/>
                <w:color w:val="auto"/>
              </w:rPr>
              <w:t xml:space="preserve">本项目不涉及饮用水水源保护区、饮用水取水口，不涉及涉水的自然保护区、风景名胜区，不涉及重要湿地、重点保护与珍稀水生生物的栖息地、重要水生生物的自然产卵场及索饵场、越冬场和洄游通道，不涉及天然渔场等渔业水体，以及不涉及水产种质资源保护区等《环境影响评价技术导则  </w:t>
            </w:r>
            <w:r>
              <w:rPr>
                <w:color w:val="auto"/>
              </w:rPr>
              <w:t xml:space="preserve"> </w:t>
            </w:r>
            <w:r>
              <w:rPr>
                <w:rFonts w:hint="eastAsia"/>
                <w:color w:val="auto"/>
              </w:rPr>
              <w:t>地表水环境》（H2.3-2018）中的水环境保护目标。</w:t>
            </w:r>
          </w:p>
          <w:p w14:paraId="75EEB80E">
            <w:pPr>
              <w:pStyle w:val="49"/>
              <w:rPr>
                <w:color w:val="auto"/>
              </w:rPr>
            </w:pPr>
            <w:r>
              <w:rPr>
                <w:rFonts w:hint="eastAsia"/>
                <w:color w:val="auto"/>
              </w:rPr>
              <w:t>4、生态环境</w:t>
            </w:r>
          </w:p>
          <w:p w14:paraId="6217F1E3">
            <w:pPr>
              <w:pStyle w:val="51"/>
              <w:rPr>
                <w:color w:val="auto"/>
              </w:rPr>
            </w:pPr>
            <w:r>
              <w:rPr>
                <w:rFonts w:hint="eastAsia"/>
                <w:color w:val="auto"/>
              </w:rPr>
              <w:t>本项目不涉及生态保护红线、自然保护地、水源保护区等生态敏感区以及珍稀野生动植物等分布。</w:t>
            </w:r>
          </w:p>
        </w:tc>
      </w:tr>
      <w:tr w14:paraId="25E4BD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11" w:hRule="atLeast"/>
          <w:jc w:val="center"/>
        </w:trPr>
        <w:tc>
          <w:tcPr>
            <w:tcW w:w="904" w:type="dxa"/>
            <w:vAlign w:val="center"/>
          </w:tcPr>
          <w:p w14:paraId="7458B823">
            <w:pPr>
              <w:adjustRightInd w:val="0"/>
              <w:snapToGrid w:val="0"/>
              <w:jc w:val="center"/>
              <w:rPr>
                <w:rFonts w:hint="eastAsia" w:ascii="宋体" w:hAnsi="宋体" w:cs="宋体"/>
                <w:kern w:val="0"/>
                <w:szCs w:val="21"/>
              </w:rPr>
            </w:pPr>
            <w:r>
              <w:rPr>
                <w:rFonts w:hint="eastAsia" w:ascii="宋体" w:hAnsi="宋体" w:cs="宋体"/>
                <w:kern w:val="0"/>
                <w:szCs w:val="21"/>
              </w:rPr>
              <w:t>评价</w:t>
            </w:r>
          </w:p>
          <w:p w14:paraId="0A9D1892">
            <w:pPr>
              <w:adjustRightInd w:val="0"/>
              <w:snapToGrid w:val="0"/>
              <w:jc w:val="center"/>
              <w:rPr>
                <w:rFonts w:hint="eastAsia" w:ascii="宋体" w:hAnsi="宋体" w:cs="宋体"/>
                <w:kern w:val="0"/>
                <w:szCs w:val="21"/>
              </w:rPr>
            </w:pPr>
            <w:r>
              <w:rPr>
                <w:rFonts w:hint="eastAsia" w:ascii="宋体" w:hAnsi="宋体" w:cs="宋体"/>
                <w:kern w:val="0"/>
                <w:szCs w:val="21"/>
              </w:rPr>
              <w:t>标准</w:t>
            </w:r>
          </w:p>
        </w:tc>
        <w:tc>
          <w:tcPr>
            <w:tcW w:w="8253" w:type="dxa"/>
            <w:vAlign w:val="center"/>
          </w:tcPr>
          <w:p w14:paraId="47C44446">
            <w:pPr>
              <w:pStyle w:val="48"/>
              <w:rPr>
                <w:color w:val="auto"/>
              </w:rPr>
            </w:pPr>
            <w:r>
              <w:rPr>
                <w:rFonts w:hint="eastAsia"/>
                <w:color w:val="auto"/>
              </w:rPr>
              <w:t>（十二）</w:t>
            </w:r>
            <w:r>
              <w:rPr>
                <w:color w:val="auto"/>
              </w:rPr>
              <w:t>环境质量标准</w:t>
            </w:r>
          </w:p>
          <w:p w14:paraId="4F7C03DA">
            <w:pPr>
              <w:pStyle w:val="49"/>
              <w:rPr>
                <w:color w:val="auto"/>
              </w:rPr>
            </w:pPr>
            <w:r>
              <w:rPr>
                <w:rFonts w:hint="eastAsia"/>
                <w:color w:val="auto"/>
              </w:rPr>
              <w:t>1、电磁环境</w:t>
            </w:r>
          </w:p>
          <w:p w14:paraId="63AC948A">
            <w:pPr>
              <w:pStyle w:val="51"/>
              <w:rPr>
                <w:color w:val="auto"/>
              </w:rPr>
            </w:pPr>
            <w:bookmarkStart w:id="5" w:name="_Hlk72311675"/>
            <w:r>
              <w:rPr>
                <w:rFonts w:hint="eastAsia"/>
                <w:color w:val="auto"/>
              </w:rPr>
              <w:t>工频电场、工频磁场执行《电磁环境控制限值》（GB8702-2014）的规定，工频电场强度和工频磁感应强度的公众曝露控制限值分别为4000V/m和</w:t>
            </w:r>
            <w:r>
              <w:rPr>
                <w:color w:val="auto"/>
              </w:rPr>
              <w:t>100μT</w:t>
            </w:r>
            <w:r>
              <w:rPr>
                <w:rFonts w:hint="eastAsia"/>
                <w:color w:val="auto"/>
              </w:rPr>
              <w:t>；</w:t>
            </w:r>
          </w:p>
          <w:p w14:paraId="6ECB63DF">
            <w:pPr>
              <w:pStyle w:val="51"/>
              <w:rPr>
                <w:color w:val="auto"/>
              </w:rPr>
            </w:pPr>
            <w:r>
              <w:rPr>
                <w:rFonts w:hint="eastAsia"/>
                <w:color w:val="auto"/>
              </w:rPr>
              <w:t>架空输电线路线下的耕地、园地、牧草地、畜禽饲养地、养殖水面、道路等场所，其频率50Hz的电场强度控制限值为10kV/m，且应给出警示和防护指示标志。</w:t>
            </w:r>
            <w:bookmarkEnd w:id="5"/>
          </w:p>
          <w:p w14:paraId="0BC357E1">
            <w:pPr>
              <w:pStyle w:val="49"/>
              <w:rPr>
                <w:color w:val="auto"/>
              </w:rPr>
            </w:pPr>
            <w:r>
              <w:rPr>
                <w:color w:val="auto"/>
              </w:rPr>
              <w:t>2</w:t>
            </w:r>
            <w:r>
              <w:rPr>
                <w:rFonts w:hint="eastAsia"/>
                <w:color w:val="auto"/>
              </w:rPr>
              <w:t>、声环境</w:t>
            </w:r>
          </w:p>
          <w:p w14:paraId="600EFB93">
            <w:pPr>
              <w:pStyle w:val="51"/>
              <w:rPr>
                <w:color w:val="auto"/>
              </w:rPr>
            </w:pPr>
            <w:r>
              <w:rPr>
                <w:rFonts w:hint="eastAsia"/>
                <w:color w:val="auto"/>
              </w:rPr>
              <w:t>升压站：升压站四周噪声执行《声环境质量标准》（GB3096-2008）的2类标准要求。</w:t>
            </w:r>
          </w:p>
          <w:p w14:paraId="39D61004">
            <w:pPr>
              <w:pStyle w:val="51"/>
              <w:rPr>
                <w:color w:val="auto"/>
              </w:rPr>
            </w:pPr>
            <w:r>
              <w:rPr>
                <w:rFonts w:hint="eastAsia"/>
                <w:color w:val="auto"/>
              </w:rPr>
              <w:t>输电线路：位于农村地区，声环境质量执行《声环境质量标准》（GB3096-2008）1类标准。</w:t>
            </w:r>
          </w:p>
          <w:p w14:paraId="64314C95">
            <w:pPr>
              <w:pStyle w:val="48"/>
              <w:rPr>
                <w:color w:val="auto"/>
              </w:rPr>
            </w:pPr>
            <w:r>
              <w:rPr>
                <w:rFonts w:hint="eastAsia"/>
                <w:color w:val="auto"/>
              </w:rPr>
              <w:t>（二）污染物排放标准</w:t>
            </w:r>
          </w:p>
          <w:p w14:paraId="5253D5E1">
            <w:pPr>
              <w:pStyle w:val="49"/>
              <w:rPr>
                <w:color w:val="auto"/>
              </w:rPr>
            </w:pPr>
            <w:r>
              <w:rPr>
                <w:rFonts w:hint="eastAsia"/>
                <w:color w:val="auto"/>
              </w:rPr>
              <w:t>1、施工场界环境噪声排放标准</w:t>
            </w:r>
          </w:p>
          <w:p w14:paraId="75410C33">
            <w:pPr>
              <w:pStyle w:val="51"/>
              <w:rPr>
                <w:color w:val="auto"/>
              </w:rPr>
            </w:pPr>
            <w:r>
              <w:rPr>
                <w:rFonts w:hint="eastAsia"/>
                <w:color w:val="auto"/>
              </w:rPr>
              <w:t>执行《建筑施工场界环境噪声排放标准》（GB12523-2011），昼间限值为70dB（A）、夜间限值为55dB（A）。</w:t>
            </w:r>
          </w:p>
          <w:p w14:paraId="5B7DFD35">
            <w:pPr>
              <w:pStyle w:val="49"/>
              <w:rPr>
                <w:color w:val="auto"/>
              </w:rPr>
            </w:pPr>
            <w:r>
              <w:rPr>
                <w:color w:val="auto"/>
              </w:rPr>
              <w:t>2</w:t>
            </w:r>
            <w:r>
              <w:rPr>
                <w:rFonts w:hint="eastAsia"/>
                <w:color w:val="auto"/>
              </w:rPr>
              <w:t>、厂界环境噪声排放标准</w:t>
            </w:r>
          </w:p>
          <w:p w14:paraId="0B67BDB0">
            <w:pPr>
              <w:pStyle w:val="51"/>
              <w:rPr>
                <w:color w:val="auto"/>
              </w:rPr>
            </w:pPr>
            <w:r>
              <w:rPr>
                <w:rFonts w:hint="eastAsia"/>
                <w:color w:val="auto"/>
              </w:rPr>
              <w:t>升压站厂界执行《工业企业厂界环境噪声排放标准》（GB12348-2008）2类标准，昼间限值为60dB（A）、夜间限值为50dB（A）。</w:t>
            </w:r>
          </w:p>
        </w:tc>
      </w:tr>
      <w:tr w14:paraId="48DFAD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63" w:hRule="atLeast"/>
          <w:jc w:val="center"/>
        </w:trPr>
        <w:tc>
          <w:tcPr>
            <w:tcW w:w="904" w:type="dxa"/>
            <w:vAlign w:val="center"/>
          </w:tcPr>
          <w:p w14:paraId="53539DB9">
            <w:pPr>
              <w:adjustRightInd w:val="0"/>
              <w:snapToGrid w:val="0"/>
              <w:jc w:val="center"/>
              <w:rPr>
                <w:rFonts w:hint="eastAsia" w:ascii="宋体" w:hAnsi="宋体" w:cs="宋体"/>
                <w:kern w:val="0"/>
                <w:szCs w:val="21"/>
              </w:rPr>
            </w:pPr>
            <w:r>
              <w:rPr>
                <w:rFonts w:hint="eastAsia" w:ascii="宋体" w:hAnsi="宋体" w:cs="宋体"/>
                <w:kern w:val="0"/>
                <w:szCs w:val="21"/>
              </w:rPr>
              <w:t>其他</w:t>
            </w:r>
          </w:p>
        </w:tc>
        <w:tc>
          <w:tcPr>
            <w:tcW w:w="8253" w:type="dxa"/>
            <w:vAlign w:val="center"/>
          </w:tcPr>
          <w:p w14:paraId="49D69A06">
            <w:pPr>
              <w:adjustRightInd w:val="0"/>
              <w:snapToGrid w:val="0"/>
              <w:jc w:val="center"/>
              <w:rPr>
                <w:rFonts w:hint="eastAsia" w:ascii="宋体" w:hAnsi="宋体" w:cs="宋体"/>
                <w:kern w:val="0"/>
                <w:szCs w:val="21"/>
              </w:rPr>
            </w:pPr>
            <w:r>
              <w:rPr>
                <w:rFonts w:hint="eastAsia" w:ascii="宋体" w:hAnsi="宋体" w:cs="宋体"/>
                <w:kern w:val="0"/>
                <w:szCs w:val="21"/>
              </w:rPr>
              <w:t>无</w:t>
            </w:r>
          </w:p>
        </w:tc>
      </w:tr>
    </w:tbl>
    <w:p w14:paraId="4810C33F">
      <w:pPr>
        <w:pStyle w:val="2"/>
      </w:pPr>
      <w:r>
        <w:br w:type="page"/>
      </w:r>
      <w:r>
        <w:rPr>
          <w:rFonts w:hint="eastAsia"/>
        </w:rPr>
        <w:t>四、生态环境影响分析</w:t>
      </w:r>
    </w:p>
    <w:tbl>
      <w:tblPr>
        <w:tblStyle w:val="25"/>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93"/>
        <w:gridCol w:w="8313"/>
      </w:tblGrid>
      <w:tr w14:paraId="30D16B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006" w:hRule="atLeast"/>
          <w:jc w:val="center"/>
        </w:trPr>
        <w:tc>
          <w:tcPr>
            <w:tcW w:w="485" w:type="pct"/>
            <w:tcMar>
              <w:left w:w="28" w:type="dxa"/>
              <w:right w:w="28" w:type="dxa"/>
            </w:tcMar>
            <w:vAlign w:val="center"/>
          </w:tcPr>
          <w:p w14:paraId="461F325C">
            <w:pPr>
              <w:pStyle w:val="23"/>
              <w:adjustRightInd w:val="0"/>
              <w:snapToGrid w:val="0"/>
              <w:spacing w:before="0" w:beforeAutospacing="0" w:after="0" w:afterAutospacing="0"/>
              <w:jc w:val="center"/>
              <w:rPr>
                <w:rFonts w:hint="eastAsia" w:cs="宋体"/>
                <w:bCs/>
                <w:kern w:val="2"/>
                <w:sz w:val="21"/>
                <w:szCs w:val="21"/>
              </w:rPr>
            </w:pPr>
            <w:bookmarkStart w:id="6" w:name="_Hlk49796138"/>
            <w:r>
              <w:rPr>
                <w:rFonts w:hint="eastAsia" w:cs="宋体"/>
                <w:bCs/>
                <w:spacing w:val="10"/>
                <w:kern w:val="2"/>
                <w:sz w:val="21"/>
                <w:szCs w:val="21"/>
              </w:rPr>
              <w:t>施工期生态环境影响分析</w:t>
            </w:r>
            <w:bookmarkEnd w:id="6"/>
          </w:p>
        </w:tc>
        <w:tc>
          <w:tcPr>
            <w:tcW w:w="4515" w:type="pct"/>
          </w:tcPr>
          <w:p w14:paraId="35DBD188">
            <w:pPr>
              <w:pStyle w:val="48"/>
              <w:rPr>
                <w:color w:val="auto"/>
              </w:rPr>
            </w:pPr>
            <w:r>
              <w:rPr>
                <w:rFonts w:hint="eastAsia"/>
                <w:color w:val="auto"/>
              </w:rPr>
              <w:t>（一）施工期产污环节分析</w:t>
            </w:r>
          </w:p>
          <w:p w14:paraId="4D022DA4">
            <w:pPr>
              <w:pStyle w:val="51"/>
              <w:rPr>
                <w:color w:val="auto"/>
              </w:rPr>
            </w:pPr>
            <w:r>
              <w:rPr>
                <w:rFonts w:hint="eastAsia"/>
                <w:color w:val="auto"/>
              </w:rPr>
              <w:t>升压站及</w:t>
            </w:r>
            <w:r>
              <w:rPr>
                <w:color w:val="auto"/>
              </w:rPr>
              <w:t>输变电工程基础施工、设备安装或线路架设等施工阶段产生的主要环境影响因子有生态影响、施工废水、施工噪声、施工扬尘、固体废物</w:t>
            </w:r>
            <w:r>
              <w:rPr>
                <w:rFonts w:hint="eastAsia"/>
                <w:color w:val="auto"/>
              </w:rPr>
              <w:t>等</w:t>
            </w:r>
            <w:r>
              <w:rPr>
                <w:color w:val="auto"/>
              </w:rPr>
              <w:t>。</w:t>
            </w:r>
          </w:p>
          <w:p w14:paraId="679DC13F">
            <w:pPr>
              <w:pStyle w:val="51"/>
              <w:rPr>
                <w:color w:val="auto"/>
              </w:rPr>
            </w:pPr>
            <w:r>
              <w:rPr>
                <w:rFonts w:hint="eastAsia"/>
                <w:color w:val="auto"/>
              </w:rPr>
              <w:t>（1）生态环境：施工期对生态环境的影响主要为工程建设导致植被破坏及水土流失的影响。施工开挖、平整、土方临时堆放等将造成植被面积减少，对原地貌的扰动、损坏有可能引起水土流失。</w:t>
            </w:r>
          </w:p>
          <w:p w14:paraId="2A0B7178">
            <w:pPr>
              <w:pStyle w:val="51"/>
              <w:rPr>
                <w:color w:val="auto"/>
              </w:rPr>
            </w:pPr>
            <w:r>
              <w:rPr>
                <w:rFonts w:hint="eastAsia"/>
                <w:color w:val="auto"/>
              </w:rPr>
              <w:t>（2）施工噪声：主要由施工机械噪声和运输车辆交通噪声，其中施工机械噪声主要是由施工时物件碰撞产生的，噪声排放具有瞬间性和不定性；运输车辆交通噪声主要是车辆发动机及车辆鸣笛产生的噪声，具有短暂性特点。</w:t>
            </w:r>
          </w:p>
          <w:p w14:paraId="140CCB6F">
            <w:pPr>
              <w:pStyle w:val="51"/>
              <w:rPr>
                <w:color w:val="auto"/>
              </w:rPr>
            </w:pPr>
            <w:r>
              <w:rPr>
                <w:rFonts w:hint="eastAsia"/>
                <w:color w:val="auto"/>
              </w:rPr>
              <w:t>（3）施工扬尘：施工开挖、土石方回填、施工现场的清理平整、以及施工车辆行驶产生的二次扬尘和对环境空气质量造成的暂时性的和局部的影响。</w:t>
            </w:r>
          </w:p>
          <w:p w14:paraId="49E515B3">
            <w:pPr>
              <w:pStyle w:val="51"/>
              <w:rPr>
                <w:color w:val="auto"/>
              </w:rPr>
            </w:pPr>
            <w:r>
              <w:rPr>
                <w:rFonts w:hint="eastAsia"/>
                <w:color w:val="auto"/>
              </w:rPr>
              <w:t>（4）施工废水：施工废水及施工人员的生活污水；</w:t>
            </w:r>
          </w:p>
          <w:p w14:paraId="747E4C97">
            <w:pPr>
              <w:pStyle w:val="51"/>
              <w:rPr>
                <w:color w:val="auto"/>
              </w:rPr>
            </w:pPr>
            <w:r>
              <w:rPr>
                <w:rFonts w:hint="eastAsia"/>
                <w:color w:val="auto"/>
              </w:rPr>
              <w:t>（5）施工固体废物：施工过程中可能产生的弃土弃渣、施工人员产生的生活垃圾、建筑垃圾等；</w:t>
            </w:r>
          </w:p>
          <w:p w14:paraId="2C4D3185">
            <w:pPr>
              <w:pStyle w:val="48"/>
              <w:rPr>
                <w:color w:val="auto"/>
                <w:lang w:val="zh-CN"/>
              </w:rPr>
            </w:pPr>
            <w:r>
              <w:rPr>
                <w:rFonts w:hint="eastAsia"/>
                <w:color w:val="auto"/>
              </w:rPr>
              <w:t>（二）</w:t>
            </w:r>
            <w:r>
              <w:rPr>
                <w:rFonts w:hint="eastAsia"/>
                <w:color w:val="auto"/>
                <w:lang w:val="zh-CN"/>
              </w:rPr>
              <w:t>施工期环境影响分析</w:t>
            </w:r>
          </w:p>
          <w:p w14:paraId="28718E1D">
            <w:pPr>
              <w:pStyle w:val="49"/>
              <w:rPr>
                <w:color w:val="auto"/>
              </w:rPr>
            </w:pPr>
            <w:r>
              <w:rPr>
                <w:color w:val="auto"/>
              </w:rPr>
              <w:t>1</w:t>
            </w:r>
            <w:r>
              <w:rPr>
                <w:rFonts w:hint="eastAsia"/>
                <w:color w:val="auto"/>
              </w:rPr>
              <w:t>、施工期</w:t>
            </w:r>
            <w:r>
              <w:rPr>
                <w:color w:val="auto"/>
              </w:rPr>
              <w:t>生态环境影响</w:t>
            </w:r>
          </w:p>
          <w:p w14:paraId="191AAE93">
            <w:pPr>
              <w:pStyle w:val="51"/>
              <w:rPr>
                <w:rFonts w:hint="eastAsia"/>
                <w:color w:val="auto"/>
              </w:rPr>
            </w:pPr>
            <w:r>
              <w:rPr>
                <w:rFonts w:hint="eastAsia"/>
                <w:color w:val="auto"/>
              </w:rPr>
              <w:t>本次套升压站工程、输电线路评价范围内无国家公园、自然保护区、世界自然遗产地、自然公园及生态保护红线等生态敏感区。</w:t>
            </w:r>
          </w:p>
          <w:p w14:paraId="2765BD5D">
            <w:pPr>
              <w:pStyle w:val="51"/>
              <w:rPr>
                <w:color w:val="auto"/>
              </w:rPr>
            </w:pPr>
            <w:r>
              <w:rPr>
                <w:rFonts w:hint="eastAsia"/>
                <w:color w:val="auto"/>
              </w:rPr>
              <w:t>本项目建设过程中，升压站工程、输电线路建设活动，由于存在永久与临时占地，从而使占地上植被及微区域地表状态发生改变，对区域生态环境造成不同程度的影响。本项目建设对生态环境的影响主要为植物破坏、动物惊走、生态系统、水土流失等。</w:t>
            </w:r>
          </w:p>
          <w:p w14:paraId="051E4F90">
            <w:pPr>
              <w:pStyle w:val="70"/>
              <w:rPr>
                <w:color w:val="auto"/>
              </w:rPr>
            </w:pPr>
            <w:r>
              <w:rPr>
                <w:rFonts w:hint="eastAsia" w:ascii="宋体" w:hAnsi="宋体" w:cs="宋体"/>
                <w:color w:val="auto"/>
              </w:rPr>
              <w:t>（1）</w:t>
            </w:r>
            <w:r>
              <w:rPr>
                <w:rFonts w:hint="eastAsia"/>
                <w:color w:val="auto"/>
              </w:rPr>
              <w:t>水土流失影响</w:t>
            </w:r>
          </w:p>
          <w:p w14:paraId="76DEF251">
            <w:pPr>
              <w:pStyle w:val="51"/>
              <w:ind w:firstLine="472"/>
              <w:rPr>
                <w:color w:val="auto"/>
                <w:spacing w:val="-4"/>
              </w:rPr>
            </w:pPr>
            <w:r>
              <w:rPr>
                <w:color w:val="auto"/>
                <w:spacing w:val="-4"/>
              </w:rPr>
              <w:t>本项目工程挖方总量1.</w:t>
            </w:r>
            <w:r>
              <w:rPr>
                <w:rFonts w:hint="eastAsia"/>
                <w:color w:val="auto"/>
                <w:spacing w:val="-4"/>
              </w:rPr>
              <w:t>56</w:t>
            </w:r>
            <w:r>
              <w:rPr>
                <w:color w:val="auto"/>
                <w:spacing w:val="-4"/>
              </w:rPr>
              <w:t>万m</w:t>
            </w:r>
            <w:r>
              <w:rPr>
                <w:color w:val="auto"/>
                <w:spacing w:val="-4"/>
                <w:vertAlign w:val="superscript"/>
              </w:rPr>
              <w:t>3</w:t>
            </w:r>
            <w:r>
              <w:rPr>
                <w:color w:val="auto"/>
                <w:spacing w:val="-4"/>
              </w:rPr>
              <w:t>（其中表土0.</w:t>
            </w:r>
            <w:r>
              <w:rPr>
                <w:rFonts w:hint="eastAsia"/>
                <w:color w:val="auto"/>
                <w:spacing w:val="-4"/>
              </w:rPr>
              <w:t>67</w:t>
            </w:r>
            <w:r>
              <w:rPr>
                <w:color w:val="auto"/>
                <w:spacing w:val="-4"/>
              </w:rPr>
              <w:t>万m</w:t>
            </w:r>
            <w:r>
              <w:rPr>
                <w:color w:val="auto"/>
                <w:spacing w:val="-4"/>
                <w:vertAlign w:val="superscript"/>
              </w:rPr>
              <w:t>3</w:t>
            </w:r>
            <w:r>
              <w:rPr>
                <w:color w:val="auto"/>
                <w:spacing w:val="-4"/>
              </w:rPr>
              <w:t>，土方</w:t>
            </w:r>
            <w:r>
              <w:rPr>
                <w:rFonts w:hint="eastAsia"/>
                <w:color w:val="auto"/>
                <w:spacing w:val="-4"/>
              </w:rPr>
              <w:t>0.89</w:t>
            </w:r>
            <w:r>
              <w:rPr>
                <w:color w:val="auto"/>
                <w:spacing w:val="-4"/>
              </w:rPr>
              <w:t>万m</w:t>
            </w:r>
            <w:r>
              <w:rPr>
                <w:color w:val="auto"/>
                <w:spacing w:val="-4"/>
                <w:vertAlign w:val="superscript"/>
              </w:rPr>
              <w:t>3</w:t>
            </w:r>
            <w:r>
              <w:rPr>
                <w:color w:val="auto"/>
                <w:spacing w:val="-4"/>
              </w:rPr>
              <w:t>）；填筑总量</w:t>
            </w:r>
            <w:r>
              <w:rPr>
                <w:rFonts w:hint="eastAsia"/>
                <w:color w:val="auto"/>
                <w:spacing w:val="-4"/>
              </w:rPr>
              <w:t>2.51</w:t>
            </w:r>
            <w:r>
              <w:rPr>
                <w:color w:val="auto"/>
                <w:spacing w:val="-4"/>
              </w:rPr>
              <w:t>万m</w:t>
            </w:r>
            <w:r>
              <w:rPr>
                <w:color w:val="auto"/>
                <w:spacing w:val="-4"/>
                <w:vertAlign w:val="superscript"/>
              </w:rPr>
              <w:t>3</w:t>
            </w:r>
            <w:r>
              <w:rPr>
                <w:color w:val="auto"/>
                <w:spacing w:val="-4"/>
              </w:rPr>
              <w:t>（其中表土0.</w:t>
            </w:r>
            <w:r>
              <w:rPr>
                <w:rFonts w:hint="eastAsia"/>
                <w:color w:val="auto"/>
                <w:spacing w:val="-4"/>
              </w:rPr>
              <w:t>67</w:t>
            </w:r>
            <w:r>
              <w:rPr>
                <w:color w:val="auto"/>
                <w:spacing w:val="-4"/>
              </w:rPr>
              <w:t>万m</w:t>
            </w:r>
            <w:r>
              <w:rPr>
                <w:color w:val="auto"/>
                <w:spacing w:val="-4"/>
                <w:vertAlign w:val="superscript"/>
              </w:rPr>
              <w:t>3</w:t>
            </w:r>
            <w:r>
              <w:rPr>
                <w:color w:val="auto"/>
                <w:spacing w:val="-4"/>
              </w:rPr>
              <w:t>，土方1.</w:t>
            </w:r>
            <w:r>
              <w:rPr>
                <w:rFonts w:hint="eastAsia"/>
                <w:color w:val="auto"/>
                <w:spacing w:val="-4"/>
              </w:rPr>
              <w:t>84</w:t>
            </w:r>
            <w:r>
              <w:rPr>
                <w:color w:val="auto"/>
                <w:spacing w:val="-4"/>
              </w:rPr>
              <w:t>万m</w:t>
            </w:r>
            <w:r>
              <w:rPr>
                <w:color w:val="auto"/>
                <w:spacing w:val="-4"/>
                <w:vertAlign w:val="superscript"/>
              </w:rPr>
              <w:t>3</w:t>
            </w:r>
            <w:r>
              <w:rPr>
                <w:color w:val="auto"/>
                <w:spacing w:val="-4"/>
              </w:rPr>
              <w:t>）；</w:t>
            </w:r>
            <w:r>
              <w:rPr>
                <w:rFonts w:hint="eastAsia"/>
                <w:color w:val="auto"/>
                <w:spacing w:val="-4"/>
              </w:rPr>
              <w:t>自身利</w:t>
            </w:r>
            <w:r>
              <w:rPr>
                <w:color w:val="auto"/>
                <w:spacing w:val="-4"/>
              </w:rPr>
              <w:t>用1.</w:t>
            </w:r>
            <w:r>
              <w:rPr>
                <w:rFonts w:hint="eastAsia"/>
                <w:color w:val="auto"/>
                <w:spacing w:val="-4"/>
              </w:rPr>
              <w:t>56</w:t>
            </w:r>
            <w:r>
              <w:rPr>
                <w:color w:val="auto"/>
                <w:spacing w:val="-4"/>
              </w:rPr>
              <w:t>万m</w:t>
            </w:r>
            <w:r>
              <w:rPr>
                <w:color w:val="auto"/>
                <w:spacing w:val="-4"/>
                <w:vertAlign w:val="superscript"/>
              </w:rPr>
              <w:t>3</w:t>
            </w:r>
            <w:r>
              <w:rPr>
                <w:color w:val="auto"/>
                <w:spacing w:val="-4"/>
              </w:rPr>
              <w:t>（其中表土0.</w:t>
            </w:r>
            <w:r>
              <w:rPr>
                <w:rFonts w:hint="eastAsia"/>
                <w:color w:val="auto"/>
                <w:spacing w:val="-4"/>
              </w:rPr>
              <w:t>67</w:t>
            </w:r>
            <w:r>
              <w:rPr>
                <w:color w:val="auto"/>
                <w:spacing w:val="-4"/>
              </w:rPr>
              <w:t>万m</w:t>
            </w:r>
            <w:r>
              <w:rPr>
                <w:color w:val="auto"/>
                <w:spacing w:val="-4"/>
                <w:vertAlign w:val="superscript"/>
              </w:rPr>
              <w:t>3</w:t>
            </w:r>
            <w:r>
              <w:rPr>
                <w:color w:val="auto"/>
                <w:spacing w:val="-4"/>
              </w:rPr>
              <w:t>，土方</w:t>
            </w:r>
            <w:r>
              <w:rPr>
                <w:rFonts w:hint="eastAsia"/>
                <w:color w:val="auto"/>
                <w:spacing w:val="-4"/>
              </w:rPr>
              <w:t>0.89</w:t>
            </w:r>
            <w:r>
              <w:rPr>
                <w:color w:val="auto"/>
                <w:spacing w:val="-4"/>
              </w:rPr>
              <w:t>万m</w:t>
            </w:r>
            <w:r>
              <w:rPr>
                <w:color w:val="auto"/>
                <w:spacing w:val="-4"/>
                <w:vertAlign w:val="superscript"/>
              </w:rPr>
              <w:t>3</w:t>
            </w:r>
            <w:r>
              <w:rPr>
                <w:color w:val="auto"/>
                <w:spacing w:val="-4"/>
              </w:rPr>
              <w:t>），借方</w:t>
            </w:r>
            <w:r>
              <w:rPr>
                <w:rFonts w:hint="eastAsia"/>
                <w:color w:val="auto"/>
                <w:spacing w:val="-4"/>
              </w:rPr>
              <w:t>0.95</w:t>
            </w:r>
            <w:r>
              <w:rPr>
                <w:color w:val="auto"/>
                <w:spacing w:val="-4"/>
              </w:rPr>
              <w:t>万m</w:t>
            </w:r>
            <w:r>
              <w:rPr>
                <w:color w:val="auto"/>
                <w:spacing w:val="-4"/>
                <w:vertAlign w:val="superscript"/>
              </w:rPr>
              <w:t>3</w:t>
            </w:r>
            <w:r>
              <w:rPr>
                <w:color w:val="auto"/>
                <w:spacing w:val="-4"/>
              </w:rPr>
              <w:t>，</w:t>
            </w:r>
            <w:r>
              <w:rPr>
                <w:rFonts w:hint="eastAsia"/>
                <w:color w:val="auto"/>
                <w:spacing w:val="-4"/>
              </w:rPr>
              <w:t>来源于州来地产三号地块（州来淮上明珠城）项目，</w:t>
            </w:r>
            <w:r>
              <w:rPr>
                <w:color w:val="auto"/>
                <w:spacing w:val="-4"/>
              </w:rPr>
              <w:t>无弃方。</w:t>
            </w:r>
          </w:p>
          <w:p w14:paraId="620317AB">
            <w:pPr>
              <w:pStyle w:val="51"/>
              <w:ind w:firstLine="472"/>
              <w:rPr>
                <w:color w:val="auto"/>
                <w:spacing w:val="-4"/>
              </w:rPr>
            </w:pPr>
            <w:r>
              <w:rPr>
                <w:color w:val="auto"/>
                <w:spacing w:val="-4"/>
              </w:rPr>
              <w:t>塔基区产生的土石方量分别临时堆存于场地一角，施工结束后</w:t>
            </w:r>
            <w:r>
              <w:rPr>
                <w:rFonts w:hint="eastAsia"/>
                <w:color w:val="auto"/>
                <w:spacing w:val="-4"/>
              </w:rPr>
              <w:t>全部用作塔基回填及周边覆土绿化，不产生弃渣。</w:t>
            </w:r>
          </w:p>
          <w:p w14:paraId="2BAFD9E8">
            <w:pPr>
              <w:pStyle w:val="51"/>
              <w:rPr>
                <w:color w:val="auto"/>
                <w:spacing w:val="-4"/>
              </w:rPr>
            </w:pPr>
            <w:r>
              <w:rPr>
                <w:rFonts w:hint="eastAsia"/>
                <w:color w:val="auto"/>
              </w:rPr>
              <w:t>临时施工场地剥离表土于临时施工场地地势较高处堆存，用作施工结束后的迹地恢复，不外弃。本工程土方开挖量较少，堆存时间较短，在做好临时堆土的水土流失防治措施（篷布覆盖，边沟等），及时回填并恢复绿化等措施后，水土流失量很小。</w:t>
            </w:r>
          </w:p>
          <w:p w14:paraId="14476A82">
            <w:pPr>
              <w:pStyle w:val="70"/>
              <w:rPr>
                <w:color w:val="auto"/>
              </w:rPr>
            </w:pPr>
            <w:r>
              <w:rPr>
                <w:rFonts w:hint="eastAsia"/>
                <w:color w:val="auto"/>
              </w:rPr>
              <w:t>（2）工程占地影响</w:t>
            </w:r>
          </w:p>
          <w:p w14:paraId="12CDACCF">
            <w:pPr>
              <w:pStyle w:val="51"/>
              <w:rPr>
                <w:color w:val="auto"/>
              </w:rPr>
            </w:pPr>
            <w:r>
              <w:rPr>
                <w:rFonts w:hint="eastAsia"/>
                <w:color w:val="auto"/>
              </w:rPr>
              <w:t>本工程建设将会占用土地，使土地失去原有生态功能。</w:t>
            </w:r>
          </w:p>
          <w:p w14:paraId="776B41C9">
            <w:pPr>
              <w:pStyle w:val="51"/>
              <w:rPr>
                <w:color w:val="auto"/>
              </w:rPr>
            </w:pPr>
            <w:r>
              <w:rPr>
                <w:rFonts w:hint="eastAsia"/>
                <w:color w:val="auto"/>
              </w:rPr>
              <w:t>本项目建设区占地包括永久占地和临时占地，永久占地包括升压站建设区和塔基及塔基施工区；临时占地包括塔基及塔基施工区、牵张场及跨越场和施工临时道路区等。根据《土地利用现状分类》（GB/T21010-2017）一级类别，本项目土地类型划分为耕地、林地以及交通运输用地等类型。</w:t>
            </w:r>
          </w:p>
          <w:p w14:paraId="68C7ABE3">
            <w:pPr>
              <w:pStyle w:val="51"/>
              <w:rPr>
                <w:color w:val="auto"/>
              </w:rPr>
            </w:pPr>
            <w:r>
              <w:rPr>
                <w:rFonts w:hint="eastAsia"/>
                <w:color w:val="auto"/>
              </w:rPr>
              <w:t>本项目建设区总占地面积3.56hm</w:t>
            </w:r>
            <w:r>
              <w:rPr>
                <w:rFonts w:hint="eastAsia"/>
                <w:color w:val="auto"/>
                <w:vertAlign w:val="superscript"/>
              </w:rPr>
              <w:t>2</w:t>
            </w:r>
            <w:r>
              <w:rPr>
                <w:rFonts w:hint="eastAsia"/>
                <w:color w:val="auto"/>
              </w:rPr>
              <w:t>，其中永久占地2.06hm</w:t>
            </w:r>
            <w:r>
              <w:rPr>
                <w:rFonts w:hint="eastAsia"/>
                <w:color w:val="auto"/>
                <w:vertAlign w:val="superscript"/>
              </w:rPr>
              <w:t>2</w:t>
            </w:r>
            <w:r>
              <w:rPr>
                <w:rFonts w:hint="eastAsia"/>
                <w:color w:val="auto"/>
              </w:rPr>
              <w:t>，临时占地1.50hm</w:t>
            </w:r>
            <w:r>
              <w:rPr>
                <w:rFonts w:hint="eastAsia"/>
                <w:color w:val="auto"/>
                <w:vertAlign w:val="superscript"/>
              </w:rPr>
              <w:t>2</w:t>
            </w:r>
            <w:r>
              <w:rPr>
                <w:rFonts w:hint="eastAsia"/>
                <w:color w:val="auto"/>
              </w:rPr>
              <w:t>。按照占地类型划分：耕地（水田）3.21hm</w:t>
            </w:r>
            <w:r>
              <w:rPr>
                <w:rFonts w:hint="eastAsia"/>
                <w:color w:val="auto"/>
                <w:vertAlign w:val="superscript"/>
              </w:rPr>
              <w:t>2</w:t>
            </w:r>
            <w:r>
              <w:rPr>
                <w:rFonts w:hint="eastAsia"/>
                <w:color w:val="auto"/>
              </w:rPr>
              <w:t>，林地（其他林地）0.31hm</w:t>
            </w:r>
            <w:r>
              <w:rPr>
                <w:rFonts w:hint="eastAsia"/>
                <w:color w:val="auto"/>
                <w:vertAlign w:val="superscript"/>
              </w:rPr>
              <w:t>2</w:t>
            </w:r>
            <w:r>
              <w:rPr>
                <w:rFonts w:hint="eastAsia"/>
                <w:color w:val="auto"/>
              </w:rPr>
              <w:t>，交通运输用地（公路用地）0.04hm</w:t>
            </w:r>
            <w:r>
              <w:rPr>
                <w:rFonts w:hint="eastAsia"/>
                <w:color w:val="auto"/>
                <w:vertAlign w:val="superscript"/>
              </w:rPr>
              <w:t>2</w:t>
            </w:r>
            <w:r>
              <w:rPr>
                <w:rFonts w:hint="eastAsia"/>
                <w:color w:val="auto"/>
              </w:rPr>
              <w:t>。</w:t>
            </w:r>
          </w:p>
          <w:p w14:paraId="4F1A04A5">
            <w:pPr>
              <w:pStyle w:val="51"/>
              <w:rPr>
                <w:color w:val="auto"/>
              </w:rPr>
            </w:pPr>
            <w:r>
              <w:rPr>
                <w:rFonts w:hint="eastAsia" w:ascii="宋体" w:hAnsi="宋体" w:cs="宋体"/>
                <w:color w:val="auto"/>
              </w:rPr>
              <w:t>①</w:t>
            </w:r>
            <w:r>
              <w:rPr>
                <w:rFonts w:hint="eastAsia"/>
                <w:color w:val="auto"/>
              </w:rPr>
              <w:t>升压站建设区</w:t>
            </w:r>
          </w:p>
          <w:p w14:paraId="34311E56">
            <w:pPr>
              <w:pStyle w:val="51"/>
              <w:rPr>
                <w:color w:val="auto"/>
              </w:rPr>
            </w:pPr>
            <w:r>
              <w:rPr>
                <w:rFonts w:hint="eastAsia"/>
                <w:color w:val="auto"/>
              </w:rPr>
              <w:t>新建顾桥220kV升压站站址总征地面积为1.5469hm</w:t>
            </w:r>
            <w:r>
              <w:rPr>
                <w:rFonts w:hint="eastAsia"/>
                <w:color w:val="auto"/>
                <w:vertAlign w:val="superscript"/>
              </w:rPr>
              <w:t>2</w:t>
            </w:r>
            <w:r>
              <w:rPr>
                <w:rFonts w:hint="eastAsia"/>
                <w:color w:val="auto"/>
              </w:rPr>
              <w:t>，其中围墙内面积0.9999hm</w:t>
            </w:r>
            <w:r>
              <w:rPr>
                <w:rFonts w:hint="eastAsia"/>
                <w:color w:val="auto"/>
                <w:vertAlign w:val="superscript"/>
              </w:rPr>
              <w:t>2</w:t>
            </w:r>
            <w:r>
              <w:rPr>
                <w:rFonts w:hint="eastAsia"/>
                <w:color w:val="auto"/>
              </w:rPr>
              <w:t>，围墙外征地红线内的其他用地面积0.5470hm</w:t>
            </w:r>
            <w:r>
              <w:rPr>
                <w:rFonts w:hint="eastAsia"/>
                <w:color w:val="auto"/>
                <w:vertAlign w:val="superscript"/>
              </w:rPr>
              <w:t>2</w:t>
            </w:r>
            <w:r>
              <w:rPr>
                <w:rFonts w:hint="eastAsia"/>
                <w:color w:val="auto"/>
              </w:rPr>
              <w:t>，均为永久占地。新建进站道路14m，路宽为4.5m，进站道路面积0.0063hm</w:t>
            </w:r>
            <w:r>
              <w:rPr>
                <w:rFonts w:hint="eastAsia"/>
                <w:color w:val="auto"/>
                <w:vertAlign w:val="superscript"/>
              </w:rPr>
              <w:t>2</w:t>
            </w:r>
            <w:r>
              <w:rPr>
                <w:rFonts w:hint="eastAsia"/>
                <w:color w:val="auto"/>
              </w:rPr>
              <w:t>，为红线外永久占地。因此升压站建设区总占地面积为1.5532hm</w:t>
            </w:r>
            <w:r>
              <w:rPr>
                <w:rFonts w:hint="eastAsia"/>
                <w:color w:val="auto"/>
                <w:vertAlign w:val="superscript"/>
              </w:rPr>
              <w:t>2</w:t>
            </w:r>
            <w:r>
              <w:rPr>
                <w:rFonts w:hint="eastAsia"/>
                <w:color w:val="auto"/>
              </w:rPr>
              <w:t>，均为永久占地，占地类型主要为耕地和林地。</w:t>
            </w:r>
          </w:p>
          <w:p w14:paraId="5B658E66">
            <w:pPr>
              <w:pStyle w:val="51"/>
              <w:rPr>
                <w:color w:val="auto"/>
              </w:rPr>
            </w:pPr>
            <w:r>
              <w:rPr>
                <w:rFonts w:hint="eastAsia" w:ascii="宋体" w:hAnsi="宋体" w:cs="宋体"/>
                <w:color w:val="auto"/>
              </w:rPr>
              <w:t>②</w:t>
            </w:r>
            <w:r>
              <w:rPr>
                <w:rFonts w:hint="eastAsia"/>
                <w:color w:val="auto"/>
              </w:rPr>
              <w:t>电缆施工区</w:t>
            </w:r>
          </w:p>
          <w:p w14:paraId="6214D1FE">
            <w:pPr>
              <w:pStyle w:val="51"/>
              <w:rPr>
                <w:color w:val="auto"/>
              </w:rPr>
            </w:pPr>
            <w:r>
              <w:rPr>
                <w:rFonts w:hint="eastAsia"/>
                <w:color w:val="auto"/>
              </w:rPr>
              <w:t>根据主设资料，双回路盖板电缆沟道内净宽2m，净高1.7m，电缆沟壁厚设定为350mm，覆土深度为0.5m，为保证结构抗浮要求，电缆沟需外挑700mm。过路段电缆沟采用封闭式电缆沟型式，封闭式电缆沟净宽2m，净高2m，电缆沟壁厚设定为300mm，覆土深度为1m。本项目新建电缆沟0.41km，电缆施工区占地0.18hm</w:t>
            </w:r>
            <w:r>
              <w:rPr>
                <w:rFonts w:hint="eastAsia"/>
                <w:color w:val="auto"/>
                <w:vertAlign w:val="superscript"/>
              </w:rPr>
              <w:t>2</w:t>
            </w:r>
            <w:r>
              <w:rPr>
                <w:rFonts w:hint="eastAsia"/>
                <w:color w:val="auto"/>
              </w:rPr>
              <w:t>，为永久占地，占地类型主要为耕地和交通运输用地。电缆施工区在电缆开挖沟道两侧各外扩2.5m用于电缆施工操作以及临时机械的放置，本项目新建电缆沟0.41km，临时占地面积0.21hm</w:t>
            </w:r>
            <w:r>
              <w:rPr>
                <w:rFonts w:hint="eastAsia"/>
                <w:color w:val="auto"/>
                <w:vertAlign w:val="superscript"/>
              </w:rPr>
              <w:t>2</w:t>
            </w:r>
            <w:r>
              <w:rPr>
                <w:rFonts w:hint="eastAsia"/>
                <w:color w:val="auto"/>
              </w:rPr>
              <w:t>，占地类型主要为耕地。电缆施工区总占地面积为0.39hm</w:t>
            </w:r>
            <w:r>
              <w:rPr>
                <w:rFonts w:hint="eastAsia"/>
                <w:color w:val="auto"/>
                <w:vertAlign w:val="superscript"/>
              </w:rPr>
              <w:t>2</w:t>
            </w:r>
            <w:r>
              <w:rPr>
                <w:rFonts w:hint="eastAsia"/>
                <w:color w:val="auto"/>
              </w:rPr>
              <w:t>，其中永久占地0.18hm</w:t>
            </w:r>
            <w:r>
              <w:rPr>
                <w:rFonts w:hint="eastAsia"/>
                <w:color w:val="auto"/>
                <w:vertAlign w:val="superscript"/>
              </w:rPr>
              <w:t>2</w:t>
            </w:r>
            <w:r>
              <w:rPr>
                <w:rFonts w:hint="eastAsia"/>
                <w:color w:val="auto"/>
              </w:rPr>
              <w:t>，临时占地0.21hm</w:t>
            </w:r>
            <w:r>
              <w:rPr>
                <w:rFonts w:hint="eastAsia"/>
                <w:color w:val="auto"/>
                <w:vertAlign w:val="superscript"/>
              </w:rPr>
              <w:t>2</w:t>
            </w:r>
            <w:r>
              <w:rPr>
                <w:rFonts w:hint="eastAsia"/>
                <w:color w:val="auto"/>
              </w:rPr>
              <w:t>，占地类型主要为耕地和</w:t>
            </w:r>
            <w:r>
              <w:rPr>
                <w:color w:val="auto"/>
              </w:rPr>
              <w:t>交通运输用地</w:t>
            </w:r>
            <w:r>
              <w:rPr>
                <w:rFonts w:hint="eastAsia"/>
                <w:color w:val="auto"/>
              </w:rPr>
              <w:t>。</w:t>
            </w:r>
          </w:p>
          <w:p w14:paraId="53C8EF8A">
            <w:pPr>
              <w:pStyle w:val="51"/>
              <w:rPr>
                <w:color w:val="auto"/>
              </w:rPr>
            </w:pPr>
            <w:r>
              <w:rPr>
                <w:rFonts w:hint="eastAsia"/>
                <w:color w:val="auto"/>
              </w:rPr>
              <w:t>占地类型以耕地为主，</w:t>
            </w:r>
            <w:r>
              <w:rPr>
                <w:color w:val="auto"/>
              </w:rPr>
              <w:t>等施工结束后，撤出临时占用场地并拆除临时设施，</w:t>
            </w:r>
            <w:r>
              <w:rPr>
                <w:rFonts w:hint="eastAsia"/>
                <w:color w:val="auto"/>
              </w:rPr>
              <w:t>土地复垦</w:t>
            </w:r>
            <w:r>
              <w:rPr>
                <w:color w:val="auto"/>
              </w:rPr>
              <w:t>等，尽量保持生态原貌。</w:t>
            </w:r>
          </w:p>
          <w:p w14:paraId="5E9A5B0C">
            <w:pPr>
              <w:pStyle w:val="51"/>
              <w:rPr>
                <w:color w:val="auto"/>
              </w:rPr>
            </w:pPr>
            <w:r>
              <w:rPr>
                <w:rFonts w:hint="eastAsia"/>
                <w:color w:val="auto"/>
              </w:rPr>
              <w:t>施工结束后基本可恢复至原有生态水平。</w:t>
            </w:r>
          </w:p>
          <w:p w14:paraId="62A3B3FF">
            <w:pPr>
              <w:pStyle w:val="51"/>
              <w:rPr>
                <w:color w:val="auto"/>
              </w:rPr>
            </w:pPr>
            <w:r>
              <w:rPr>
                <w:rFonts w:hint="eastAsia"/>
                <w:color w:val="auto"/>
              </w:rPr>
              <w:t>本项目占地性质、面积及类型详见表</w:t>
            </w:r>
            <w:r>
              <w:rPr>
                <w:color w:val="auto"/>
              </w:rPr>
              <w:t>4-1</w:t>
            </w:r>
            <w:r>
              <w:rPr>
                <w:rFonts w:hint="eastAsia"/>
                <w:color w:val="auto"/>
              </w:rPr>
              <w:t>。</w:t>
            </w:r>
          </w:p>
          <w:p w14:paraId="3D3D3945">
            <w:pPr>
              <w:pStyle w:val="53"/>
              <w:rPr>
                <w:color w:val="auto"/>
              </w:rPr>
            </w:pPr>
            <w:r>
              <w:rPr>
                <w:rFonts w:hint="eastAsia"/>
                <w:color w:val="auto"/>
              </w:rPr>
              <w:t>表</w:t>
            </w:r>
            <w:r>
              <w:rPr>
                <w:color w:val="auto"/>
              </w:rPr>
              <w:t xml:space="preserve">4-1 </w:t>
            </w:r>
            <w:r>
              <w:rPr>
                <w:rFonts w:hint="eastAsia"/>
                <w:color w:val="auto"/>
              </w:rPr>
              <w:t xml:space="preserve"> 项目占地性质、面积及类型表</w:t>
            </w:r>
          </w:p>
          <w:tbl>
            <w:tblPr>
              <w:tblStyle w:val="88"/>
              <w:tblW w:w="4999"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931"/>
              <w:gridCol w:w="1204"/>
              <w:gridCol w:w="1173"/>
              <w:gridCol w:w="1248"/>
              <w:gridCol w:w="893"/>
              <w:gridCol w:w="993"/>
              <w:gridCol w:w="648"/>
            </w:tblGrid>
            <w:tr w14:paraId="673C27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jc w:val="center"/>
              </w:trPr>
              <w:tc>
                <w:tcPr>
                  <w:tcW w:w="1193" w:type="pct"/>
                  <w:vMerge w:val="restart"/>
                  <w:tcBorders>
                    <w:bottom w:val="nil"/>
                  </w:tcBorders>
                  <w:vAlign w:val="center"/>
                </w:tcPr>
                <w:p w14:paraId="70CADAAA">
                  <w:pPr>
                    <w:pStyle w:val="55"/>
                    <w:rPr>
                      <w:color w:val="auto"/>
                    </w:rPr>
                  </w:pPr>
                  <w:r>
                    <w:rPr>
                      <w:color w:val="auto"/>
                    </w:rPr>
                    <w:t>防治分区</w:t>
                  </w:r>
                </w:p>
              </w:tc>
              <w:tc>
                <w:tcPr>
                  <w:tcW w:w="2240" w:type="pct"/>
                  <w:gridSpan w:val="3"/>
                  <w:vAlign w:val="center"/>
                </w:tcPr>
                <w:p w14:paraId="31339A5A">
                  <w:pPr>
                    <w:pStyle w:val="55"/>
                    <w:rPr>
                      <w:color w:val="auto"/>
                    </w:rPr>
                  </w:pPr>
                  <w:r>
                    <w:rPr>
                      <w:color w:val="auto"/>
                    </w:rPr>
                    <w:t>按占地类型</w:t>
                  </w:r>
                </w:p>
              </w:tc>
              <w:tc>
                <w:tcPr>
                  <w:tcW w:w="1165" w:type="pct"/>
                  <w:gridSpan w:val="2"/>
                  <w:vAlign w:val="center"/>
                </w:tcPr>
                <w:p w14:paraId="23B54C6F">
                  <w:pPr>
                    <w:pStyle w:val="55"/>
                    <w:rPr>
                      <w:color w:val="auto"/>
                    </w:rPr>
                  </w:pPr>
                  <w:r>
                    <w:rPr>
                      <w:color w:val="auto"/>
                    </w:rPr>
                    <w:t>按占地性质</w:t>
                  </w:r>
                </w:p>
              </w:tc>
              <w:tc>
                <w:tcPr>
                  <w:tcW w:w="400" w:type="pct"/>
                  <w:vMerge w:val="restart"/>
                  <w:tcBorders>
                    <w:bottom w:val="nil"/>
                  </w:tcBorders>
                  <w:vAlign w:val="center"/>
                </w:tcPr>
                <w:p w14:paraId="7D41FAB7">
                  <w:pPr>
                    <w:pStyle w:val="55"/>
                    <w:rPr>
                      <w:color w:val="auto"/>
                    </w:rPr>
                  </w:pPr>
                  <w:r>
                    <w:rPr>
                      <w:color w:val="auto"/>
                    </w:rPr>
                    <w:t>合计</w:t>
                  </w:r>
                </w:p>
              </w:tc>
            </w:tr>
            <w:tr w14:paraId="57ADD7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jc w:val="center"/>
              </w:trPr>
              <w:tc>
                <w:tcPr>
                  <w:tcW w:w="1193" w:type="pct"/>
                  <w:vMerge w:val="continue"/>
                  <w:tcBorders>
                    <w:top w:val="nil"/>
                    <w:bottom w:val="nil"/>
                  </w:tcBorders>
                  <w:vAlign w:val="center"/>
                </w:tcPr>
                <w:p w14:paraId="09CDF8E6">
                  <w:pPr>
                    <w:pStyle w:val="55"/>
                    <w:rPr>
                      <w:color w:val="auto"/>
                    </w:rPr>
                  </w:pPr>
                </w:p>
              </w:tc>
              <w:tc>
                <w:tcPr>
                  <w:tcW w:w="744" w:type="pct"/>
                  <w:vAlign w:val="center"/>
                </w:tcPr>
                <w:p w14:paraId="3DD2449B">
                  <w:pPr>
                    <w:pStyle w:val="55"/>
                    <w:rPr>
                      <w:color w:val="auto"/>
                    </w:rPr>
                  </w:pPr>
                  <w:r>
                    <w:rPr>
                      <w:color w:val="auto"/>
                    </w:rPr>
                    <w:t>耕地</w:t>
                  </w:r>
                </w:p>
              </w:tc>
              <w:tc>
                <w:tcPr>
                  <w:tcW w:w="725" w:type="pct"/>
                  <w:vAlign w:val="center"/>
                </w:tcPr>
                <w:p w14:paraId="469EB8DD">
                  <w:pPr>
                    <w:pStyle w:val="55"/>
                    <w:rPr>
                      <w:color w:val="auto"/>
                    </w:rPr>
                  </w:pPr>
                  <w:r>
                    <w:rPr>
                      <w:color w:val="auto"/>
                    </w:rPr>
                    <w:t>林地</w:t>
                  </w:r>
                </w:p>
              </w:tc>
              <w:tc>
                <w:tcPr>
                  <w:tcW w:w="770" w:type="pct"/>
                  <w:vAlign w:val="center"/>
                </w:tcPr>
                <w:p w14:paraId="5226C5DC">
                  <w:pPr>
                    <w:pStyle w:val="55"/>
                    <w:rPr>
                      <w:color w:val="auto"/>
                    </w:rPr>
                  </w:pPr>
                  <w:r>
                    <w:rPr>
                      <w:color w:val="auto"/>
                    </w:rPr>
                    <w:t>交通运输用地</w:t>
                  </w:r>
                </w:p>
              </w:tc>
              <w:tc>
                <w:tcPr>
                  <w:tcW w:w="552" w:type="pct"/>
                  <w:vMerge w:val="restart"/>
                  <w:tcBorders>
                    <w:bottom w:val="nil"/>
                  </w:tcBorders>
                  <w:vAlign w:val="center"/>
                </w:tcPr>
                <w:p w14:paraId="34815F04">
                  <w:pPr>
                    <w:pStyle w:val="55"/>
                    <w:rPr>
                      <w:color w:val="auto"/>
                    </w:rPr>
                  </w:pPr>
                  <w:r>
                    <w:rPr>
                      <w:color w:val="auto"/>
                    </w:rPr>
                    <w:t>永久</w:t>
                  </w:r>
                </w:p>
              </w:tc>
              <w:tc>
                <w:tcPr>
                  <w:tcW w:w="613" w:type="pct"/>
                  <w:vMerge w:val="restart"/>
                  <w:tcBorders>
                    <w:bottom w:val="nil"/>
                  </w:tcBorders>
                  <w:vAlign w:val="center"/>
                </w:tcPr>
                <w:p w14:paraId="6226EAFA">
                  <w:pPr>
                    <w:pStyle w:val="55"/>
                    <w:rPr>
                      <w:color w:val="auto"/>
                    </w:rPr>
                  </w:pPr>
                  <w:r>
                    <w:rPr>
                      <w:color w:val="auto"/>
                    </w:rPr>
                    <w:t>临时</w:t>
                  </w:r>
                </w:p>
              </w:tc>
              <w:tc>
                <w:tcPr>
                  <w:tcW w:w="400" w:type="pct"/>
                  <w:vMerge w:val="continue"/>
                  <w:tcBorders>
                    <w:top w:val="nil"/>
                    <w:bottom w:val="nil"/>
                  </w:tcBorders>
                  <w:vAlign w:val="center"/>
                </w:tcPr>
                <w:p w14:paraId="0A116073">
                  <w:pPr>
                    <w:pStyle w:val="55"/>
                    <w:rPr>
                      <w:color w:val="auto"/>
                    </w:rPr>
                  </w:pPr>
                </w:p>
              </w:tc>
            </w:tr>
            <w:tr w14:paraId="5B46D8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jc w:val="center"/>
              </w:trPr>
              <w:tc>
                <w:tcPr>
                  <w:tcW w:w="1193" w:type="pct"/>
                  <w:vMerge w:val="continue"/>
                  <w:tcBorders>
                    <w:top w:val="nil"/>
                  </w:tcBorders>
                  <w:vAlign w:val="center"/>
                </w:tcPr>
                <w:p w14:paraId="43285473">
                  <w:pPr>
                    <w:pStyle w:val="55"/>
                    <w:rPr>
                      <w:color w:val="auto"/>
                    </w:rPr>
                  </w:pPr>
                </w:p>
              </w:tc>
              <w:tc>
                <w:tcPr>
                  <w:tcW w:w="744" w:type="pct"/>
                  <w:vAlign w:val="center"/>
                </w:tcPr>
                <w:p w14:paraId="7D3C8635">
                  <w:pPr>
                    <w:pStyle w:val="55"/>
                    <w:rPr>
                      <w:color w:val="auto"/>
                    </w:rPr>
                  </w:pPr>
                  <w:r>
                    <w:rPr>
                      <w:color w:val="auto"/>
                    </w:rPr>
                    <w:t>水田</w:t>
                  </w:r>
                </w:p>
              </w:tc>
              <w:tc>
                <w:tcPr>
                  <w:tcW w:w="725" w:type="pct"/>
                  <w:vAlign w:val="center"/>
                </w:tcPr>
                <w:p w14:paraId="15F59592">
                  <w:pPr>
                    <w:pStyle w:val="55"/>
                    <w:rPr>
                      <w:color w:val="auto"/>
                    </w:rPr>
                  </w:pPr>
                  <w:r>
                    <w:rPr>
                      <w:color w:val="auto"/>
                    </w:rPr>
                    <w:t>其他林地</w:t>
                  </w:r>
                </w:p>
              </w:tc>
              <w:tc>
                <w:tcPr>
                  <w:tcW w:w="770" w:type="pct"/>
                  <w:vAlign w:val="center"/>
                </w:tcPr>
                <w:p w14:paraId="0977AE53">
                  <w:pPr>
                    <w:pStyle w:val="55"/>
                    <w:rPr>
                      <w:color w:val="auto"/>
                    </w:rPr>
                  </w:pPr>
                  <w:r>
                    <w:rPr>
                      <w:color w:val="auto"/>
                    </w:rPr>
                    <w:t>公路用地</w:t>
                  </w:r>
                </w:p>
              </w:tc>
              <w:tc>
                <w:tcPr>
                  <w:tcW w:w="552" w:type="pct"/>
                  <w:vMerge w:val="continue"/>
                  <w:tcBorders>
                    <w:top w:val="nil"/>
                  </w:tcBorders>
                  <w:vAlign w:val="center"/>
                </w:tcPr>
                <w:p w14:paraId="4F67670A">
                  <w:pPr>
                    <w:pStyle w:val="55"/>
                    <w:rPr>
                      <w:color w:val="auto"/>
                    </w:rPr>
                  </w:pPr>
                </w:p>
              </w:tc>
              <w:tc>
                <w:tcPr>
                  <w:tcW w:w="613" w:type="pct"/>
                  <w:vMerge w:val="continue"/>
                  <w:tcBorders>
                    <w:top w:val="nil"/>
                  </w:tcBorders>
                  <w:vAlign w:val="center"/>
                </w:tcPr>
                <w:p w14:paraId="4CE8D003">
                  <w:pPr>
                    <w:pStyle w:val="55"/>
                    <w:rPr>
                      <w:color w:val="auto"/>
                    </w:rPr>
                  </w:pPr>
                </w:p>
              </w:tc>
              <w:tc>
                <w:tcPr>
                  <w:tcW w:w="400" w:type="pct"/>
                  <w:vMerge w:val="continue"/>
                  <w:tcBorders>
                    <w:top w:val="nil"/>
                  </w:tcBorders>
                  <w:vAlign w:val="center"/>
                </w:tcPr>
                <w:p w14:paraId="1A80D3B7">
                  <w:pPr>
                    <w:pStyle w:val="55"/>
                    <w:rPr>
                      <w:color w:val="auto"/>
                    </w:rPr>
                  </w:pPr>
                </w:p>
              </w:tc>
            </w:tr>
            <w:tr w14:paraId="165646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jc w:val="center"/>
              </w:trPr>
              <w:tc>
                <w:tcPr>
                  <w:tcW w:w="1193" w:type="pct"/>
                  <w:vAlign w:val="center"/>
                </w:tcPr>
                <w:p w14:paraId="47DAD930">
                  <w:pPr>
                    <w:pStyle w:val="55"/>
                    <w:rPr>
                      <w:color w:val="auto"/>
                    </w:rPr>
                  </w:pPr>
                  <w:r>
                    <w:rPr>
                      <w:rFonts w:hint="eastAsia"/>
                      <w:color w:val="auto"/>
                    </w:rPr>
                    <w:t>升压</w:t>
                  </w:r>
                  <w:r>
                    <w:rPr>
                      <w:color w:val="auto"/>
                    </w:rPr>
                    <w:t>站建设区</w:t>
                  </w:r>
                </w:p>
              </w:tc>
              <w:tc>
                <w:tcPr>
                  <w:tcW w:w="744" w:type="pct"/>
                  <w:vAlign w:val="center"/>
                </w:tcPr>
                <w:p w14:paraId="31CAF34F">
                  <w:pPr>
                    <w:pStyle w:val="55"/>
                    <w:rPr>
                      <w:color w:val="auto"/>
                    </w:rPr>
                  </w:pPr>
                  <w:r>
                    <w:rPr>
                      <w:rFonts w:hint="eastAsia"/>
                      <w:color w:val="auto"/>
                    </w:rPr>
                    <w:t>1.24</w:t>
                  </w:r>
                </w:p>
              </w:tc>
              <w:tc>
                <w:tcPr>
                  <w:tcW w:w="725" w:type="pct"/>
                  <w:vAlign w:val="center"/>
                </w:tcPr>
                <w:p w14:paraId="51E4F49E">
                  <w:pPr>
                    <w:pStyle w:val="55"/>
                    <w:rPr>
                      <w:color w:val="auto"/>
                    </w:rPr>
                  </w:pPr>
                  <w:r>
                    <w:rPr>
                      <w:rFonts w:hint="eastAsia"/>
                      <w:color w:val="auto"/>
                    </w:rPr>
                    <w:t>0.31</w:t>
                  </w:r>
                </w:p>
              </w:tc>
              <w:tc>
                <w:tcPr>
                  <w:tcW w:w="770" w:type="pct"/>
                  <w:vAlign w:val="center"/>
                </w:tcPr>
                <w:p w14:paraId="57891FD9">
                  <w:pPr>
                    <w:pStyle w:val="55"/>
                    <w:rPr>
                      <w:color w:val="auto"/>
                    </w:rPr>
                  </w:pPr>
                  <w:r>
                    <w:rPr>
                      <w:color w:val="auto"/>
                    </w:rPr>
                    <w:t>/</w:t>
                  </w:r>
                </w:p>
              </w:tc>
              <w:tc>
                <w:tcPr>
                  <w:tcW w:w="552" w:type="pct"/>
                  <w:vAlign w:val="center"/>
                </w:tcPr>
                <w:p w14:paraId="4297A87D">
                  <w:pPr>
                    <w:pStyle w:val="55"/>
                    <w:rPr>
                      <w:color w:val="auto"/>
                    </w:rPr>
                  </w:pPr>
                  <w:r>
                    <w:rPr>
                      <w:rFonts w:hint="eastAsia"/>
                      <w:color w:val="auto"/>
                    </w:rPr>
                    <w:t>1.55</w:t>
                  </w:r>
                </w:p>
              </w:tc>
              <w:tc>
                <w:tcPr>
                  <w:tcW w:w="613" w:type="pct"/>
                  <w:vAlign w:val="center"/>
                </w:tcPr>
                <w:p w14:paraId="4F27A963">
                  <w:pPr>
                    <w:pStyle w:val="55"/>
                    <w:rPr>
                      <w:color w:val="auto"/>
                    </w:rPr>
                  </w:pPr>
                  <w:r>
                    <w:rPr>
                      <w:color w:val="auto"/>
                    </w:rPr>
                    <w:t>/</w:t>
                  </w:r>
                </w:p>
              </w:tc>
              <w:tc>
                <w:tcPr>
                  <w:tcW w:w="400" w:type="pct"/>
                  <w:vAlign w:val="center"/>
                </w:tcPr>
                <w:p w14:paraId="3F9A1CF9">
                  <w:pPr>
                    <w:pStyle w:val="55"/>
                    <w:rPr>
                      <w:color w:val="auto"/>
                    </w:rPr>
                  </w:pPr>
                  <w:r>
                    <w:rPr>
                      <w:rFonts w:hint="eastAsia"/>
                      <w:color w:val="auto"/>
                    </w:rPr>
                    <w:t>1.55</w:t>
                  </w:r>
                </w:p>
              </w:tc>
            </w:tr>
            <w:tr w14:paraId="5AA7BD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jc w:val="center"/>
              </w:trPr>
              <w:tc>
                <w:tcPr>
                  <w:tcW w:w="1193" w:type="pct"/>
                  <w:vAlign w:val="center"/>
                </w:tcPr>
                <w:p w14:paraId="06D80EB4">
                  <w:pPr>
                    <w:pStyle w:val="55"/>
                    <w:rPr>
                      <w:color w:val="auto"/>
                    </w:rPr>
                  </w:pPr>
                  <w:r>
                    <w:rPr>
                      <w:color w:val="auto"/>
                    </w:rPr>
                    <w:t>电缆施工区</w:t>
                  </w:r>
                </w:p>
              </w:tc>
              <w:tc>
                <w:tcPr>
                  <w:tcW w:w="744" w:type="pct"/>
                  <w:vAlign w:val="center"/>
                </w:tcPr>
                <w:p w14:paraId="29B8B9BA">
                  <w:pPr>
                    <w:pStyle w:val="55"/>
                    <w:rPr>
                      <w:color w:val="auto"/>
                    </w:rPr>
                  </w:pPr>
                  <w:r>
                    <w:rPr>
                      <w:rFonts w:hint="eastAsia"/>
                      <w:color w:val="auto"/>
                    </w:rPr>
                    <w:t>0.35</w:t>
                  </w:r>
                </w:p>
              </w:tc>
              <w:tc>
                <w:tcPr>
                  <w:tcW w:w="725" w:type="pct"/>
                  <w:vAlign w:val="center"/>
                </w:tcPr>
                <w:p w14:paraId="2EB9E019">
                  <w:pPr>
                    <w:pStyle w:val="55"/>
                    <w:rPr>
                      <w:color w:val="auto"/>
                    </w:rPr>
                  </w:pPr>
                  <w:r>
                    <w:rPr>
                      <w:color w:val="auto"/>
                    </w:rPr>
                    <w:t>/</w:t>
                  </w:r>
                </w:p>
              </w:tc>
              <w:tc>
                <w:tcPr>
                  <w:tcW w:w="770" w:type="pct"/>
                  <w:vAlign w:val="center"/>
                </w:tcPr>
                <w:p w14:paraId="2BD6FC85">
                  <w:pPr>
                    <w:pStyle w:val="55"/>
                    <w:rPr>
                      <w:color w:val="auto"/>
                    </w:rPr>
                  </w:pPr>
                  <w:r>
                    <w:rPr>
                      <w:rFonts w:hint="eastAsia"/>
                      <w:color w:val="auto"/>
                    </w:rPr>
                    <w:t>0.04</w:t>
                  </w:r>
                </w:p>
              </w:tc>
              <w:tc>
                <w:tcPr>
                  <w:tcW w:w="552" w:type="pct"/>
                  <w:vAlign w:val="center"/>
                </w:tcPr>
                <w:p w14:paraId="71A24132">
                  <w:pPr>
                    <w:pStyle w:val="55"/>
                    <w:rPr>
                      <w:color w:val="auto"/>
                    </w:rPr>
                  </w:pPr>
                  <w:r>
                    <w:rPr>
                      <w:rFonts w:hint="eastAsia"/>
                      <w:color w:val="auto"/>
                    </w:rPr>
                    <w:t>0.18</w:t>
                  </w:r>
                </w:p>
              </w:tc>
              <w:tc>
                <w:tcPr>
                  <w:tcW w:w="613" w:type="pct"/>
                  <w:vAlign w:val="center"/>
                </w:tcPr>
                <w:p w14:paraId="78AC14EB">
                  <w:pPr>
                    <w:pStyle w:val="55"/>
                    <w:rPr>
                      <w:color w:val="auto"/>
                    </w:rPr>
                  </w:pPr>
                  <w:r>
                    <w:rPr>
                      <w:rFonts w:hint="eastAsia"/>
                      <w:color w:val="auto"/>
                    </w:rPr>
                    <w:t>0.21</w:t>
                  </w:r>
                </w:p>
              </w:tc>
              <w:tc>
                <w:tcPr>
                  <w:tcW w:w="400" w:type="pct"/>
                  <w:vAlign w:val="center"/>
                </w:tcPr>
                <w:p w14:paraId="7CAB8204">
                  <w:pPr>
                    <w:pStyle w:val="55"/>
                    <w:rPr>
                      <w:color w:val="auto"/>
                    </w:rPr>
                  </w:pPr>
                  <w:r>
                    <w:rPr>
                      <w:rFonts w:hint="eastAsia"/>
                      <w:color w:val="auto"/>
                    </w:rPr>
                    <w:t>0.39</w:t>
                  </w:r>
                </w:p>
              </w:tc>
            </w:tr>
            <w:tr w14:paraId="070D37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jc w:val="center"/>
              </w:trPr>
              <w:tc>
                <w:tcPr>
                  <w:tcW w:w="1193" w:type="pct"/>
                  <w:vAlign w:val="center"/>
                </w:tcPr>
                <w:p w14:paraId="700B8CD5">
                  <w:pPr>
                    <w:pStyle w:val="55"/>
                    <w:rPr>
                      <w:color w:val="auto"/>
                    </w:rPr>
                  </w:pPr>
                  <w:r>
                    <w:rPr>
                      <w:color w:val="auto"/>
                    </w:rPr>
                    <w:t>塔基及塔基施工区</w:t>
                  </w:r>
                </w:p>
              </w:tc>
              <w:tc>
                <w:tcPr>
                  <w:tcW w:w="744" w:type="pct"/>
                  <w:vAlign w:val="center"/>
                </w:tcPr>
                <w:p w14:paraId="0626B8AD">
                  <w:pPr>
                    <w:pStyle w:val="55"/>
                    <w:rPr>
                      <w:color w:val="auto"/>
                    </w:rPr>
                  </w:pPr>
                  <w:r>
                    <w:rPr>
                      <w:rFonts w:hint="eastAsia"/>
                      <w:color w:val="auto"/>
                    </w:rPr>
                    <w:t>1.18</w:t>
                  </w:r>
                </w:p>
              </w:tc>
              <w:tc>
                <w:tcPr>
                  <w:tcW w:w="725" w:type="pct"/>
                  <w:vAlign w:val="center"/>
                </w:tcPr>
                <w:p w14:paraId="16876A8A">
                  <w:pPr>
                    <w:pStyle w:val="55"/>
                    <w:rPr>
                      <w:color w:val="auto"/>
                    </w:rPr>
                  </w:pPr>
                  <w:r>
                    <w:rPr>
                      <w:color w:val="auto"/>
                    </w:rPr>
                    <w:t>/</w:t>
                  </w:r>
                </w:p>
              </w:tc>
              <w:tc>
                <w:tcPr>
                  <w:tcW w:w="770" w:type="pct"/>
                  <w:vAlign w:val="center"/>
                </w:tcPr>
                <w:p w14:paraId="640EF19E">
                  <w:pPr>
                    <w:pStyle w:val="55"/>
                    <w:rPr>
                      <w:color w:val="auto"/>
                    </w:rPr>
                  </w:pPr>
                  <w:r>
                    <w:rPr>
                      <w:color w:val="auto"/>
                    </w:rPr>
                    <w:t>/</w:t>
                  </w:r>
                </w:p>
              </w:tc>
              <w:tc>
                <w:tcPr>
                  <w:tcW w:w="552" w:type="pct"/>
                  <w:vAlign w:val="center"/>
                </w:tcPr>
                <w:p w14:paraId="2C583129">
                  <w:pPr>
                    <w:pStyle w:val="55"/>
                    <w:rPr>
                      <w:color w:val="auto"/>
                    </w:rPr>
                  </w:pPr>
                  <w:r>
                    <w:rPr>
                      <w:rFonts w:hint="eastAsia"/>
                      <w:color w:val="auto"/>
                    </w:rPr>
                    <w:t>0.33</w:t>
                  </w:r>
                </w:p>
              </w:tc>
              <w:tc>
                <w:tcPr>
                  <w:tcW w:w="613" w:type="pct"/>
                  <w:vAlign w:val="center"/>
                </w:tcPr>
                <w:p w14:paraId="4E62C7E9">
                  <w:pPr>
                    <w:pStyle w:val="55"/>
                    <w:rPr>
                      <w:color w:val="auto"/>
                    </w:rPr>
                  </w:pPr>
                  <w:r>
                    <w:rPr>
                      <w:rFonts w:hint="eastAsia"/>
                      <w:color w:val="auto"/>
                    </w:rPr>
                    <w:t>0.85</w:t>
                  </w:r>
                </w:p>
              </w:tc>
              <w:tc>
                <w:tcPr>
                  <w:tcW w:w="400" w:type="pct"/>
                  <w:vAlign w:val="center"/>
                </w:tcPr>
                <w:p w14:paraId="3E9C2391">
                  <w:pPr>
                    <w:pStyle w:val="55"/>
                    <w:rPr>
                      <w:color w:val="auto"/>
                    </w:rPr>
                  </w:pPr>
                  <w:r>
                    <w:rPr>
                      <w:rFonts w:hint="eastAsia"/>
                      <w:color w:val="auto"/>
                    </w:rPr>
                    <w:t>1.18</w:t>
                  </w:r>
                </w:p>
              </w:tc>
            </w:tr>
            <w:tr w14:paraId="4B75C1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jc w:val="center"/>
              </w:trPr>
              <w:tc>
                <w:tcPr>
                  <w:tcW w:w="1193" w:type="pct"/>
                  <w:vAlign w:val="center"/>
                </w:tcPr>
                <w:p w14:paraId="21061BEF">
                  <w:pPr>
                    <w:pStyle w:val="55"/>
                    <w:rPr>
                      <w:color w:val="auto"/>
                    </w:rPr>
                  </w:pPr>
                  <w:r>
                    <w:rPr>
                      <w:color w:val="auto"/>
                    </w:rPr>
                    <w:t>牵张场及跨越场区</w:t>
                  </w:r>
                </w:p>
              </w:tc>
              <w:tc>
                <w:tcPr>
                  <w:tcW w:w="744" w:type="pct"/>
                  <w:vAlign w:val="center"/>
                </w:tcPr>
                <w:p w14:paraId="026A5F5E">
                  <w:pPr>
                    <w:pStyle w:val="55"/>
                    <w:rPr>
                      <w:color w:val="auto"/>
                    </w:rPr>
                  </w:pPr>
                  <w:r>
                    <w:rPr>
                      <w:rFonts w:hint="eastAsia"/>
                      <w:color w:val="auto"/>
                    </w:rPr>
                    <w:t>0.15</w:t>
                  </w:r>
                </w:p>
              </w:tc>
              <w:tc>
                <w:tcPr>
                  <w:tcW w:w="1933" w:type="dxa"/>
                  <w:vAlign w:val="center"/>
                </w:tcPr>
                <w:p w14:paraId="45D94DD3">
                  <w:pPr>
                    <w:pStyle w:val="55"/>
                    <w:rPr>
                      <w:color w:val="auto"/>
                    </w:rPr>
                  </w:pPr>
                  <w:r>
                    <w:rPr>
                      <w:color w:val="auto"/>
                    </w:rPr>
                    <w:t>/</w:t>
                  </w:r>
                </w:p>
              </w:tc>
              <w:tc>
                <w:tcPr>
                  <w:tcW w:w="2056" w:type="dxa"/>
                  <w:vAlign w:val="center"/>
                </w:tcPr>
                <w:p w14:paraId="3C8B65BB">
                  <w:pPr>
                    <w:pStyle w:val="55"/>
                    <w:rPr>
                      <w:color w:val="auto"/>
                    </w:rPr>
                  </w:pPr>
                  <w:r>
                    <w:rPr>
                      <w:color w:val="auto"/>
                    </w:rPr>
                    <w:t>/</w:t>
                  </w:r>
                </w:p>
              </w:tc>
              <w:tc>
                <w:tcPr>
                  <w:tcW w:w="552" w:type="pct"/>
                  <w:vAlign w:val="center"/>
                </w:tcPr>
                <w:p w14:paraId="4ACA8BC1">
                  <w:pPr>
                    <w:pStyle w:val="55"/>
                    <w:rPr>
                      <w:color w:val="auto"/>
                    </w:rPr>
                  </w:pPr>
                  <w:r>
                    <w:rPr>
                      <w:color w:val="auto"/>
                    </w:rPr>
                    <w:t>/</w:t>
                  </w:r>
                </w:p>
              </w:tc>
              <w:tc>
                <w:tcPr>
                  <w:tcW w:w="613" w:type="pct"/>
                  <w:vAlign w:val="center"/>
                </w:tcPr>
                <w:p w14:paraId="57603644">
                  <w:pPr>
                    <w:pStyle w:val="55"/>
                    <w:rPr>
                      <w:color w:val="auto"/>
                    </w:rPr>
                  </w:pPr>
                  <w:r>
                    <w:rPr>
                      <w:rFonts w:hint="eastAsia"/>
                      <w:color w:val="auto"/>
                    </w:rPr>
                    <w:t>0.15</w:t>
                  </w:r>
                </w:p>
              </w:tc>
              <w:tc>
                <w:tcPr>
                  <w:tcW w:w="400" w:type="pct"/>
                  <w:vAlign w:val="center"/>
                </w:tcPr>
                <w:p w14:paraId="210EAFAA">
                  <w:pPr>
                    <w:pStyle w:val="55"/>
                    <w:rPr>
                      <w:color w:val="auto"/>
                    </w:rPr>
                  </w:pPr>
                  <w:r>
                    <w:rPr>
                      <w:rFonts w:hint="eastAsia"/>
                      <w:color w:val="auto"/>
                    </w:rPr>
                    <w:t>0.15</w:t>
                  </w:r>
                </w:p>
              </w:tc>
            </w:tr>
            <w:tr w14:paraId="24CFB6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jc w:val="center"/>
              </w:trPr>
              <w:tc>
                <w:tcPr>
                  <w:tcW w:w="1193" w:type="pct"/>
                  <w:vAlign w:val="center"/>
                </w:tcPr>
                <w:p w14:paraId="7F9BCC9F">
                  <w:pPr>
                    <w:pStyle w:val="55"/>
                    <w:rPr>
                      <w:color w:val="auto"/>
                    </w:rPr>
                  </w:pPr>
                  <w:r>
                    <w:rPr>
                      <w:color w:val="auto"/>
                    </w:rPr>
                    <w:t>施工临时道路区</w:t>
                  </w:r>
                </w:p>
              </w:tc>
              <w:tc>
                <w:tcPr>
                  <w:tcW w:w="744" w:type="pct"/>
                  <w:vAlign w:val="center"/>
                </w:tcPr>
                <w:p w14:paraId="1705E195">
                  <w:pPr>
                    <w:pStyle w:val="55"/>
                    <w:rPr>
                      <w:color w:val="auto"/>
                    </w:rPr>
                  </w:pPr>
                  <w:r>
                    <w:rPr>
                      <w:rFonts w:hint="eastAsia"/>
                      <w:color w:val="auto"/>
                    </w:rPr>
                    <w:t>0.29</w:t>
                  </w:r>
                </w:p>
              </w:tc>
              <w:tc>
                <w:tcPr>
                  <w:tcW w:w="725" w:type="pct"/>
                  <w:vAlign w:val="center"/>
                </w:tcPr>
                <w:p w14:paraId="57ABC14F">
                  <w:pPr>
                    <w:pStyle w:val="55"/>
                    <w:rPr>
                      <w:color w:val="auto"/>
                    </w:rPr>
                  </w:pPr>
                  <w:r>
                    <w:rPr>
                      <w:color w:val="auto"/>
                    </w:rPr>
                    <w:t>/</w:t>
                  </w:r>
                </w:p>
              </w:tc>
              <w:tc>
                <w:tcPr>
                  <w:tcW w:w="770" w:type="pct"/>
                  <w:vAlign w:val="center"/>
                </w:tcPr>
                <w:p w14:paraId="7323C5AB">
                  <w:pPr>
                    <w:pStyle w:val="55"/>
                    <w:rPr>
                      <w:color w:val="auto"/>
                    </w:rPr>
                  </w:pPr>
                </w:p>
              </w:tc>
              <w:tc>
                <w:tcPr>
                  <w:tcW w:w="552" w:type="pct"/>
                  <w:vAlign w:val="center"/>
                </w:tcPr>
                <w:p w14:paraId="3E632662">
                  <w:pPr>
                    <w:pStyle w:val="55"/>
                    <w:rPr>
                      <w:color w:val="auto"/>
                    </w:rPr>
                  </w:pPr>
                  <w:r>
                    <w:rPr>
                      <w:color w:val="auto"/>
                    </w:rPr>
                    <w:t>/</w:t>
                  </w:r>
                </w:p>
              </w:tc>
              <w:tc>
                <w:tcPr>
                  <w:tcW w:w="613" w:type="pct"/>
                  <w:vAlign w:val="center"/>
                </w:tcPr>
                <w:p w14:paraId="7CC461C7">
                  <w:pPr>
                    <w:pStyle w:val="55"/>
                    <w:rPr>
                      <w:color w:val="auto"/>
                    </w:rPr>
                  </w:pPr>
                  <w:r>
                    <w:rPr>
                      <w:rFonts w:hint="eastAsia"/>
                      <w:color w:val="auto"/>
                    </w:rPr>
                    <w:t>0.29</w:t>
                  </w:r>
                </w:p>
              </w:tc>
              <w:tc>
                <w:tcPr>
                  <w:tcW w:w="400" w:type="pct"/>
                  <w:vAlign w:val="center"/>
                </w:tcPr>
                <w:p w14:paraId="14E809E1">
                  <w:pPr>
                    <w:pStyle w:val="55"/>
                    <w:rPr>
                      <w:color w:val="auto"/>
                    </w:rPr>
                  </w:pPr>
                  <w:r>
                    <w:rPr>
                      <w:rFonts w:hint="eastAsia"/>
                      <w:color w:val="auto"/>
                    </w:rPr>
                    <w:t>0.29</w:t>
                  </w:r>
                </w:p>
              </w:tc>
            </w:tr>
            <w:tr w14:paraId="3BF445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jc w:val="center"/>
              </w:trPr>
              <w:tc>
                <w:tcPr>
                  <w:tcW w:w="1193" w:type="pct"/>
                  <w:vAlign w:val="center"/>
                </w:tcPr>
                <w:p w14:paraId="4F9974CA">
                  <w:pPr>
                    <w:pStyle w:val="55"/>
                    <w:rPr>
                      <w:color w:val="auto"/>
                    </w:rPr>
                  </w:pPr>
                  <w:r>
                    <w:rPr>
                      <w:color w:val="auto"/>
                    </w:rPr>
                    <w:t>小计</w:t>
                  </w:r>
                </w:p>
              </w:tc>
              <w:tc>
                <w:tcPr>
                  <w:tcW w:w="744" w:type="pct"/>
                  <w:vAlign w:val="center"/>
                </w:tcPr>
                <w:p w14:paraId="4D2241DF">
                  <w:pPr>
                    <w:pStyle w:val="55"/>
                    <w:rPr>
                      <w:color w:val="auto"/>
                    </w:rPr>
                  </w:pPr>
                  <w:r>
                    <w:rPr>
                      <w:rFonts w:hint="eastAsia"/>
                      <w:color w:val="auto"/>
                    </w:rPr>
                    <w:t>3.21</w:t>
                  </w:r>
                </w:p>
              </w:tc>
              <w:tc>
                <w:tcPr>
                  <w:tcW w:w="725" w:type="pct"/>
                  <w:vAlign w:val="center"/>
                </w:tcPr>
                <w:p w14:paraId="3645F5B5">
                  <w:pPr>
                    <w:pStyle w:val="55"/>
                    <w:rPr>
                      <w:color w:val="auto"/>
                    </w:rPr>
                  </w:pPr>
                  <w:r>
                    <w:rPr>
                      <w:rFonts w:hint="eastAsia"/>
                      <w:color w:val="auto"/>
                    </w:rPr>
                    <w:t>0.31</w:t>
                  </w:r>
                </w:p>
              </w:tc>
              <w:tc>
                <w:tcPr>
                  <w:tcW w:w="770" w:type="pct"/>
                  <w:vAlign w:val="center"/>
                </w:tcPr>
                <w:p w14:paraId="34EFF799">
                  <w:pPr>
                    <w:pStyle w:val="55"/>
                    <w:rPr>
                      <w:color w:val="auto"/>
                    </w:rPr>
                  </w:pPr>
                  <w:r>
                    <w:rPr>
                      <w:rFonts w:hint="eastAsia"/>
                      <w:color w:val="auto"/>
                    </w:rPr>
                    <w:t>0.04</w:t>
                  </w:r>
                </w:p>
              </w:tc>
              <w:tc>
                <w:tcPr>
                  <w:tcW w:w="1472" w:type="dxa"/>
                  <w:vAlign w:val="center"/>
                </w:tcPr>
                <w:p w14:paraId="74FA7010">
                  <w:pPr>
                    <w:pStyle w:val="55"/>
                    <w:rPr>
                      <w:color w:val="auto"/>
                    </w:rPr>
                  </w:pPr>
                  <w:r>
                    <w:rPr>
                      <w:color w:val="auto"/>
                    </w:rPr>
                    <w:t>2.06</w:t>
                  </w:r>
                </w:p>
              </w:tc>
              <w:tc>
                <w:tcPr>
                  <w:tcW w:w="1635" w:type="dxa"/>
                  <w:vAlign w:val="center"/>
                </w:tcPr>
                <w:p w14:paraId="46A9FA97">
                  <w:pPr>
                    <w:pStyle w:val="55"/>
                    <w:rPr>
                      <w:color w:val="auto"/>
                    </w:rPr>
                  </w:pPr>
                  <w:r>
                    <w:rPr>
                      <w:color w:val="auto"/>
                    </w:rPr>
                    <w:t>1.5</w:t>
                  </w:r>
                  <w:r>
                    <w:rPr>
                      <w:rFonts w:hint="eastAsia"/>
                      <w:color w:val="auto"/>
                    </w:rPr>
                    <w:t>0</w:t>
                  </w:r>
                </w:p>
              </w:tc>
              <w:tc>
                <w:tcPr>
                  <w:tcW w:w="1067" w:type="dxa"/>
                  <w:vAlign w:val="center"/>
                </w:tcPr>
                <w:p w14:paraId="01FF588A">
                  <w:pPr>
                    <w:pStyle w:val="55"/>
                    <w:rPr>
                      <w:color w:val="auto"/>
                    </w:rPr>
                  </w:pPr>
                  <w:r>
                    <w:rPr>
                      <w:color w:val="auto"/>
                    </w:rPr>
                    <w:t>3.56</w:t>
                  </w:r>
                </w:p>
              </w:tc>
            </w:tr>
          </w:tbl>
          <w:p w14:paraId="6BE4621D">
            <w:pPr>
              <w:pStyle w:val="51"/>
              <w:rPr>
                <w:rFonts w:hint="eastAsia"/>
                <w:color w:val="auto"/>
              </w:rPr>
            </w:pPr>
            <w:r>
              <w:rPr>
                <w:rFonts w:hint="eastAsia"/>
                <w:color w:val="auto"/>
              </w:rPr>
              <w:t>从现场调查来看，本项目沿线主要为耕地，塔基占地以耕地为主。</w:t>
            </w:r>
          </w:p>
          <w:p w14:paraId="3394EE9E">
            <w:pPr>
              <w:pStyle w:val="70"/>
              <w:rPr>
                <w:color w:val="auto"/>
              </w:rPr>
            </w:pPr>
            <w:r>
              <w:rPr>
                <w:rFonts w:hint="eastAsia"/>
                <w:color w:val="auto"/>
              </w:rPr>
              <w:t>（3）对植被的影响</w:t>
            </w:r>
          </w:p>
          <w:p w14:paraId="7392F571">
            <w:pPr>
              <w:pStyle w:val="51"/>
              <w:rPr>
                <w:color w:val="auto"/>
              </w:rPr>
            </w:pPr>
            <w:r>
              <w:rPr>
                <w:rFonts w:hint="eastAsia"/>
                <w:color w:val="auto"/>
              </w:rPr>
              <w:t>施工期由于塔基基础开挖、场地平整等工程占用土地，地表扰动将使植被生境破坏，生物个体失去生长环境，原有植被遭到破坏，造成生物量损失。初步统计需砍伐杂树</w:t>
            </w:r>
            <w:r>
              <w:rPr>
                <w:color w:val="auto"/>
              </w:rPr>
              <w:t>540</w:t>
            </w:r>
            <w:r>
              <w:rPr>
                <w:rFonts w:hint="eastAsia"/>
                <w:color w:val="auto"/>
              </w:rPr>
              <w:t>棵，均为常见经济林木，无珍惜保护树种。</w:t>
            </w:r>
          </w:p>
          <w:p w14:paraId="67DEEC48">
            <w:pPr>
              <w:pStyle w:val="51"/>
              <w:rPr>
                <w:color w:val="auto"/>
              </w:rPr>
            </w:pPr>
            <w:r>
              <w:rPr>
                <w:rFonts w:hint="eastAsia"/>
                <w:color w:val="auto"/>
              </w:rPr>
              <w:t>经现场勘查与调查，评价范围内没有列入国家重点保护的珍稀树种和古、大树木，现场调查时也未发现。但受到环评调查时间和条件的限制，仍不排除在施工过程中发现值得保护的大树古树或其它珍稀植物，施工过程中施工方若有发现应停止施工，保护好现场，通知业主及有关专家提出合理的处置措施。</w:t>
            </w:r>
          </w:p>
          <w:p w14:paraId="6E1B6649">
            <w:pPr>
              <w:pStyle w:val="51"/>
              <w:rPr>
                <w:color w:val="auto"/>
              </w:rPr>
            </w:pPr>
            <w:r>
              <w:rPr>
                <w:rFonts w:hint="eastAsia"/>
                <w:color w:val="auto"/>
              </w:rPr>
              <w:t>本工程建设期间，塔基的架设、临时牵张场的铺设等，均需要破坏地表植被。施工过程中施工临时道路在林中穿越，将砍伐部分树木，对林木群落及植被产生直接破坏作用，从而使群落的生物多样性降低。</w:t>
            </w:r>
          </w:p>
          <w:p w14:paraId="2C300072">
            <w:pPr>
              <w:pStyle w:val="51"/>
              <w:rPr>
                <w:color w:val="auto"/>
              </w:rPr>
            </w:pPr>
            <w:r>
              <w:rPr>
                <w:rFonts w:hint="eastAsia"/>
                <w:color w:val="auto"/>
              </w:rPr>
              <w:t>施工过程中，项目建设永久占地区的自然植被不可恢复，只是塔基下区域的可以已当地常见的低矮灌木中恢复绿化；临时占地区以及施工活动区的自然植被通常可以有条件地恢复或重建。当外界破坏因素完全停止后，周围区域的植被将向着受破坏之前的类型恢复。恢复和演替的速度决定于外界因素作用的程度和持续时间长短，一般是竣工后二、三年植被可基本恢复。从总体上来讲，本地区原来的植被主要是林地荒草地，仅有一些常见草类、灌木、乔木、农作物等，没有较珍稀的植物，而且建成后项目方按要求需对施工区的植被采取有效的植被恢复和异地补偿绿化等措施。因此，本项目建设对当地植被的影响并不大。</w:t>
            </w:r>
          </w:p>
          <w:p w14:paraId="488DEE0E">
            <w:pPr>
              <w:pStyle w:val="70"/>
              <w:rPr>
                <w:color w:val="auto"/>
              </w:rPr>
            </w:pPr>
            <w:r>
              <w:rPr>
                <w:rFonts w:hint="eastAsia"/>
                <w:color w:val="auto"/>
              </w:rPr>
              <w:t>（4）对动物的影响</w:t>
            </w:r>
          </w:p>
          <w:p w14:paraId="07F2645C">
            <w:pPr>
              <w:spacing w:line="360" w:lineRule="auto"/>
              <w:ind w:firstLine="464" w:firstLineChars="200"/>
              <w:rPr>
                <w:spacing w:val="-4"/>
                <w:sz w:val="24"/>
              </w:rPr>
            </w:pPr>
            <w:r>
              <w:rPr>
                <w:rFonts w:hint="eastAsia"/>
                <w:spacing w:val="-4"/>
                <w:sz w:val="24"/>
              </w:rPr>
              <w:t>本项目对野生动物的影响途径来自植被破坏、施工噪声等，影响的表现很少是对野生动物个体造成直接的伤害，施工机械噪声和人员活动噪声是对野生动物的主要影响因素。</w:t>
            </w:r>
          </w:p>
          <w:p w14:paraId="7900C5A8">
            <w:pPr>
              <w:spacing w:line="360" w:lineRule="auto"/>
              <w:ind w:firstLine="464" w:firstLineChars="200"/>
              <w:rPr>
                <w:spacing w:val="-4"/>
                <w:sz w:val="24"/>
              </w:rPr>
            </w:pPr>
            <w:r>
              <w:rPr>
                <w:rFonts w:hint="eastAsia"/>
                <w:spacing w:val="-4"/>
                <w:sz w:val="24"/>
              </w:rPr>
              <w:t xml:space="preserve">工程施工占地，人类活动增加，缩小了野生动物的数量和种类；施工期如处在野生动物的繁殖季节，甚至会影响野生动物的生殖繁衍。另一方面体现在由于工程占地导致了野生植被损失，减少了草食动物的食物资源。施工期的这些影响都将在施工阶段及运营初期使周边区域野生动物的种类、数量有所减少，但项目运营一定时期后，野生动物的环境适应能力发挥作用，可以逐渐恢复其正常生活。 </w:t>
            </w:r>
          </w:p>
          <w:p w14:paraId="2DABACA0">
            <w:pPr>
              <w:spacing w:line="360" w:lineRule="auto"/>
              <w:ind w:firstLine="464" w:firstLineChars="200"/>
              <w:rPr>
                <w:spacing w:val="-4"/>
                <w:sz w:val="24"/>
              </w:rPr>
            </w:pPr>
            <w:r>
              <w:rPr>
                <w:rFonts w:hint="eastAsia"/>
                <w:spacing w:val="-4"/>
                <w:sz w:val="24"/>
              </w:rPr>
              <w:t>经调查，本区域内无大型野生动物，也无国家重点保护或珍稀濒危的野生动物，主要为野兔、鼠类、鸟类等常见的小型动物。施工期将会破坏该区域动物的生境，迫使动物迁徙至它处，这对动物的繁殖、栖息和觅食等产生干扰影响；工程占地使工程区内的动物的活动范围有所缩小，但由于塔基占地面积较小且后期通过绿化恢复，原有动物的活动范围基本可恢复。塔基施工期会对鸟类产生一定的影响，人为活动和机械噪声等均会惊吓、干扰鸟类，破坏其原有生活环境，使场址范围内的鸟类无法在此觅食、筑巢和繁殖，但塔基施工工期短且为点式施工，施工结束后即可撤出场地，原有鸟类资源短期内就可回归至原有水平，且输变电线路上鸟类可停留，不减少工程区域内鸟类生存范围。</w:t>
            </w:r>
          </w:p>
          <w:p w14:paraId="2E0A53DD">
            <w:pPr>
              <w:pStyle w:val="49"/>
              <w:rPr>
                <w:bCs/>
                <w:color w:val="auto"/>
                <w:lang w:val="zh-CN"/>
              </w:rPr>
            </w:pPr>
            <w:r>
              <w:rPr>
                <w:rFonts w:hint="eastAsia"/>
                <w:color w:val="auto"/>
              </w:rPr>
              <w:t>2、</w:t>
            </w:r>
            <w:r>
              <w:rPr>
                <w:color w:val="auto"/>
              </w:rPr>
              <w:t>施工</w:t>
            </w:r>
            <w:r>
              <w:rPr>
                <w:bCs/>
                <w:color w:val="auto"/>
                <w:lang w:val="zh-CN"/>
              </w:rPr>
              <w:t>噪声</w:t>
            </w:r>
            <w:r>
              <w:rPr>
                <w:rFonts w:hint="eastAsia"/>
                <w:bCs/>
                <w:color w:val="auto"/>
                <w:lang w:val="zh-CN"/>
              </w:rPr>
              <w:t>环境影响</w:t>
            </w:r>
          </w:p>
          <w:p w14:paraId="5D4001AD">
            <w:pPr>
              <w:pStyle w:val="70"/>
              <w:rPr>
                <w:color w:val="auto"/>
                <w:lang w:val="zh-CN"/>
              </w:rPr>
            </w:pPr>
            <w:r>
              <w:rPr>
                <w:rFonts w:hint="eastAsia"/>
                <w:color w:val="auto"/>
                <w:lang w:val="zh-CN"/>
              </w:rPr>
              <w:t>（1）</w:t>
            </w:r>
            <w:r>
              <w:rPr>
                <w:color w:val="auto"/>
                <w:lang w:val="zh-CN"/>
              </w:rPr>
              <w:t>声源描述</w:t>
            </w:r>
          </w:p>
          <w:p w14:paraId="7B8D331E">
            <w:pPr>
              <w:pStyle w:val="51"/>
              <w:rPr>
                <w:color w:val="auto"/>
                <w:lang w:val="zh-CN"/>
              </w:rPr>
            </w:pPr>
            <w:r>
              <w:rPr>
                <w:rFonts w:hint="eastAsia"/>
                <w:color w:val="auto"/>
                <w:lang w:val="zh-CN"/>
              </w:rPr>
              <w:t>①施工期主要声源</w:t>
            </w:r>
          </w:p>
          <w:p w14:paraId="72EF0DF7">
            <w:pPr>
              <w:pStyle w:val="51"/>
              <w:rPr>
                <w:color w:val="auto"/>
                <w:lang w:val="zh-CN"/>
              </w:rPr>
            </w:pPr>
            <w:r>
              <w:rPr>
                <w:color w:val="auto"/>
                <w:lang w:val="zh-CN"/>
              </w:rPr>
              <w:t>输电线路施工期在塔基开挖时挖土填方、基础施工等阶段中，主要噪声源为施工机械及运输车辆产生。在架线过程中，各牵张场内的牵张机、绞磨机等设备也产生一定的机械噪声，线路施工设备噪声一般为70-80dB(A)。</w:t>
            </w:r>
          </w:p>
          <w:p w14:paraId="57F7B789">
            <w:pPr>
              <w:pStyle w:val="51"/>
              <w:rPr>
                <w:color w:val="auto"/>
                <w:lang w:val="zh-CN"/>
              </w:rPr>
            </w:pPr>
            <w:r>
              <w:rPr>
                <w:rFonts w:hint="eastAsia"/>
                <w:color w:val="auto"/>
                <w:lang w:val="zh-CN"/>
              </w:rPr>
              <w:t>输电线路施工主要包括塔基施工及架线两个阶段，塔基基础采用刚性台阶基础钢筋混凝土板式基础及钻孔灌注桩基础。</w:t>
            </w:r>
          </w:p>
          <w:p w14:paraId="5548F7E2">
            <w:pPr>
              <w:pStyle w:val="51"/>
              <w:rPr>
                <w:color w:val="auto"/>
                <w:lang w:val="zh-CN"/>
              </w:rPr>
            </w:pPr>
            <w:r>
              <w:rPr>
                <w:rFonts w:hint="eastAsia"/>
                <w:color w:val="auto"/>
                <w:lang w:val="zh-CN"/>
              </w:rPr>
              <w:t>刚性台阶基础适用于各类地质，各种塔型。特点是大开挖，采用模板浇制，成型后再回填土，利用土体与混凝土自重抗拔，基础底板刚性受压，不配钢筋，施工相对简单。缺点是埋置较深，混凝</w:t>
            </w:r>
            <w:r>
              <w:rPr>
                <w:rFonts w:hint="eastAsia"/>
                <w:color w:val="auto"/>
                <w:lang w:val="en-US" w:eastAsia="zh-CN"/>
              </w:rPr>
              <w:t>土</w:t>
            </w:r>
            <w:r>
              <w:rPr>
                <w:rFonts w:hint="eastAsia"/>
                <w:color w:val="auto"/>
                <w:lang w:val="zh-CN"/>
              </w:rPr>
              <w:t>方量相对较大。</w:t>
            </w:r>
          </w:p>
          <w:p w14:paraId="6B5A6F44">
            <w:pPr>
              <w:pStyle w:val="51"/>
              <w:rPr>
                <w:color w:val="auto"/>
                <w:lang w:val="zh-CN"/>
              </w:rPr>
            </w:pPr>
            <w:r>
              <w:rPr>
                <w:rFonts w:hint="eastAsia"/>
                <w:color w:val="auto"/>
                <w:lang w:val="zh-CN"/>
              </w:rPr>
              <w:t>施工流程为：复测定位→平、降基→分坑测量→开挖、验基坑→绑钢筋、支模板→浇制→养护→拆模→接地→回填。</w:t>
            </w:r>
          </w:p>
          <w:p w14:paraId="076B7F90">
            <w:pPr>
              <w:pStyle w:val="51"/>
              <w:rPr>
                <w:color w:val="auto"/>
                <w:lang w:val="zh-CN"/>
              </w:rPr>
            </w:pPr>
            <w:r>
              <w:rPr>
                <w:rFonts w:hint="eastAsia"/>
                <w:color w:val="auto"/>
                <w:lang w:val="zh-CN"/>
              </w:rPr>
              <w:t>目前国内输电线路士坑挖掘主要还是人力挖掘施工，使用的工具包括铁铲（钢锹）、十字镐、钢钎等，不涉及机械挖土机；混凝土采用商品混凝土，不涉及搅拌机；台阶式基础施工涉及的施工设备主要有振捣器。</w:t>
            </w:r>
          </w:p>
          <w:p w14:paraId="42097487">
            <w:pPr>
              <w:pStyle w:val="51"/>
              <w:rPr>
                <w:color w:val="auto"/>
                <w:lang w:val="zh-CN"/>
              </w:rPr>
            </w:pPr>
            <w:r>
              <w:rPr>
                <w:rFonts w:hint="eastAsia"/>
                <w:color w:val="auto"/>
                <w:lang w:val="zh-CN"/>
              </w:rPr>
              <w:t>混凝土板式基础通常简称为“大板基础”或“板式基础”，其底板是用钢筋混凝土筑成的平板，属大开挖现浇式浅埋基础；该基础底板大、埋深浅、底板较薄，底板双向配筋承担由铁塔上拔、下压和水平力引起的弯矩和剪力。</w:t>
            </w:r>
          </w:p>
          <w:p w14:paraId="7FC8483D">
            <w:pPr>
              <w:pStyle w:val="51"/>
              <w:rPr>
                <w:color w:val="auto"/>
                <w:lang w:val="zh-CN"/>
              </w:rPr>
            </w:pPr>
            <w:r>
              <w:rPr>
                <w:rFonts w:hint="eastAsia"/>
                <w:color w:val="auto"/>
                <w:lang w:val="zh-CN"/>
              </w:rPr>
              <w:t>混凝土板式基础施工流程为：现场准备（材料与基础分坑）→模板安装（木模板或钢模板）→钢筋加工和安装（含地脚螺栓的安装）→混凝土浇筑和振捣→混凝土养护→拆模及回填土方。</w:t>
            </w:r>
          </w:p>
          <w:p w14:paraId="41884D43">
            <w:pPr>
              <w:pStyle w:val="51"/>
              <w:rPr>
                <w:color w:val="auto"/>
                <w:lang w:val="zh-CN"/>
              </w:rPr>
            </w:pPr>
            <w:r>
              <w:rPr>
                <w:rFonts w:hint="eastAsia"/>
                <w:color w:val="auto"/>
                <w:lang w:val="zh-CN"/>
              </w:rPr>
              <w:t>目前，国内输电线路士坑挖掘主要还是人力挖掘施工，使用的工具包括铁铲（钢锹）、十字镐、钢钎等，不涉及机械挖士机；混凝土采用商品混凝土，不涉及搅拌机；混凝土板式基础施工涉及的施工设备主要有振捣器。</w:t>
            </w:r>
          </w:p>
          <w:p w14:paraId="2508DBFB">
            <w:pPr>
              <w:pStyle w:val="51"/>
              <w:rPr>
                <w:color w:val="auto"/>
                <w:lang w:val="zh-CN"/>
              </w:rPr>
            </w:pPr>
            <w:r>
              <w:rPr>
                <w:rFonts w:hint="eastAsia"/>
                <w:color w:val="auto"/>
                <w:lang w:val="zh-CN"/>
              </w:rPr>
              <w:t>钻孔灌注桩基础是利用取土或挤土装置在地层桩位上成孔，然后灌注混凝土成桩。</w:t>
            </w:r>
          </w:p>
          <w:p w14:paraId="5FEC0173">
            <w:pPr>
              <w:pStyle w:val="51"/>
              <w:rPr>
                <w:color w:val="auto"/>
                <w:lang w:val="zh-CN"/>
              </w:rPr>
            </w:pPr>
            <w:r>
              <w:rPr>
                <w:rFonts w:hint="eastAsia"/>
                <w:color w:val="auto"/>
                <w:lang w:val="zh-CN"/>
              </w:rPr>
              <w:t>钻孔灌注桩基础的施工流程为：平整场地→泥浆植被→埋设护筒→铺设工作平台→安装钻机并定位→钻进成孔→清孔并检査成孔质量→下放钢筋笼→灌注水下混凝土→拔出护筒→检查质量。</w:t>
            </w:r>
          </w:p>
          <w:p w14:paraId="7C008DBD">
            <w:pPr>
              <w:pStyle w:val="51"/>
              <w:rPr>
                <w:color w:val="auto"/>
                <w:lang w:val="zh-CN"/>
              </w:rPr>
            </w:pPr>
            <w:r>
              <w:rPr>
                <w:rFonts w:hint="eastAsia"/>
                <w:color w:val="auto"/>
                <w:lang w:val="zh-CN"/>
              </w:rPr>
              <w:t>钻孔灌注桩基础施工渉及的施工机械主要为钻孔机，多以履带式挖掘机的底盘为底架，其上设置龙门导杆，作为钻凿工具的支承，并引导钻孔。</w:t>
            </w:r>
          </w:p>
          <w:p w14:paraId="3C4A7A41">
            <w:pPr>
              <w:pStyle w:val="51"/>
              <w:rPr>
                <w:color w:val="auto"/>
                <w:lang w:val="zh-CN"/>
              </w:rPr>
            </w:pPr>
            <w:r>
              <w:rPr>
                <w:rFonts w:hint="eastAsia"/>
                <w:color w:val="auto"/>
                <w:lang w:val="zh-CN"/>
              </w:rPr>
              <w:t>此外，材料运输需要运输车，也属于主要的噪声源。</w:t>
            </w:r>
          </w:p>
          <w:p w14:paraId="1040ED5A">
            <w:pPr>
              <w:pStyle w:val="51"/>
              <w:rPr>
                <w:color w:val="auto"/>
                <w:lang w:val="zh-CN"/>
              </w:rPr>
            </w:pPr>
            <w:r>
              <w:rPr>
                <w:rFonts w:hint="eastAsia"/>
                <w:color w:val="auto"/>
                <w:lang w:val="zh-CN"/>
              </w:rPr>
              <w:t>施工机械设备一般露天作业，噪声经几何扩散衰减后到达预测点。主要施工设备与周围敏感点之间的距离一般都大于2Hmax(Hmax为声源的最大几何尺寸)。</w:t>
            </w:r>
          </w:p>
          <w:p w14:paraId="25DE5217">
            <w:pPr>
              <w:pStyle w:val="51"/>
              <w:rPr>
                <w:color w:val="auto"/>
                <w:lang w:val="zh-CN"/>
              </w:rPr>
            </w:pPr>
            <w:r>
              <w:rPr>
                <w:rFonts w:hint="eastAsia"/>
                <w:color w:val="auto"/>
                <w:lang w:val="zh-CN"/>
              </w:rPr>
              <w:t>因此，本工程施工期施工设备均为室外声源，且可等效为点声源。</w:t>
            </w:r>
          </w:p>
          <w:p w14:paraId="5CFFFF44">
            <w:pPr>
              <w:pStyle w:val="53"/>
              <w:rPr>
                <w:color w:val="auto"/>
                <w:lang w:val="zh-CN"/>
              </w:rPr>
            </w:pPr>
            <w:r>
              <w:rPr>
                <w:rFonts w:hint="eastAsia"/>
                <w:color w:val="auto"/>
                <w:lang w:val="zh-CN"/>
              </w:rPr>
              <w:t>表4</w:t>
            </w:r>
            <w:r>
              <w:rPr>
                <w:color w:val="auto"/>
                <w:lang w:val="zh-CN"/>
              </w:rPr>
              <w:t xml:space="preserve">-2  </w:t>
            </w:r>
            <w:r>
              <w:rPr>
                <w:rFonts w:hint="eastAsia"/>
                <w:color w:val="auto"/>
                <w:lang w:val="zh-CN"/>
              </w:rPr>
              <w:t xml:space="preserve">主要施工机械噪声声源及场界噪声限值 </w:t>
            </w:r>
            <w:r>
              <w:rPr>
                <w:color w:val="auto"/>
                <w:lang w:val="zh-CN"/>
              </w:rPr>
              <w:t xml:space="preserve"> </w:t>
            </w:r>
            <w:r>
              <w:rPr>
                <w:rFonts w:hint="eastAsia"/>
                <w:color w:val="auto"/>
                <w:lang w:val="zh-CN"/>
              </w:rPr>
              <w:t>单位：dB（A）</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5"/>
              <w:gridCol w:w="1619"/>
              <w:gridCol w:w="1615"/>
              <w:gridCol w:w="1619"/>
              <w:gridCol w:w="1619"/>
            </w:tblGrid>
            <w:tr w14:paraId="447D3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7" w:type="dxa"/>
                  <w:vMerge w:val="restart"/>
                  <w:vAlign w:val="center"/>
                </w:tcPr>
                <w:p w14:paraId="63F0B568">
                  <w:pPr>
                    <w:pStyle w:val="55"/>
                    <w:rPr>
                      <w:color w:val="auto"/>
                      <w:lang w:val="zh-CN"/>
                    </w:rPr>
                  </w:pPr>
                  <w:r>
                    <w:rPr>
                      <w:rFonts w:hint="eastAsia"/>
                      <w:color w:val="auto"/>
                      <w:lang w:val="zh-CN"/>
                    </w:rPr>
                    <w:t>设备名称</w:t>
                  </w:r>
                </w:p>
              </w:tc>
              <w:tc>
                <w:tcPr>
                  <w:tcW w:w="1627" w:type="dxa"/>
                  <w:vMerge w:val="restart"/>
                  <w:vAlign w:val="center"/>
                </w:tcPr>
                <w:p w14:paraId="246C5197">
                  <w:pPr>
                    <w:pStyle w:val="55"/>
                    <w:rPr>
                      <w:color w:val="auto"/>
                      <w:lang w:val="zh-CN"/>
                    </w:rPr>
                  </w:pPr>
                  <w:r>
                    <w:rPr>
                      <w:rFonts w:hint="eastAsia"/>
                      <w:color w:val="auto"/>
                      <w:lang w:val="zh-CN"/>
                    </w:rPr>
                    <w:t>距设备距离（m）</w:t>
                  </w:r>
                </w:p>
              </w:tc>
              <w:tc>
                <w:tcPr>
                  <w:tcW w:w="1627" w:type="dxa"/>
                  <w:vMerge w:val="restart"/>
                  <w:vAlign w:val="center"/>
                </w:tcPr>
                <w:p w14:paraId="6A82DC87">
                  <w:pPr>
                    <w:pStyle w:val="55"/>
                    <w:rPr>
                      <w:color w:val="auto"/>
                      <w:lang w:val="zh-CN"/>
                    </w:rPr>
                  </w:pPr>
                  <w:r>
                    <w:rPr>
                      <w:rFonts w:hint="eastAsia"/>
                      <w:color w:val="auto"/>
                      <w:lang w:val="zh-CN"/>
                    </w:rPr>
                    <w:t>A声压级</w:t>
                  </w:r>
                </w:p>
              </w:tc>
              <w:tc>
                <w:tcPr>
                  <w:tcW w:w="3256" w:type="dxa"/>
                  <w:gridSpan w:val="2"/>
                  <w:vAlign w:val="center"/>
                </w:tcPr>
                <w:p w14:paraId="39531C9B">
                  <w:pPr>
                    <w:pStyle w:val="55"/>
                    <w:rPr>
                      <w:color w:val="auto"/>
                      <w:lang w:val="zh-CN"/>
                    </w:rPr>
                  </w:pPr>
                  <w:r>
                    <w:rPr>
                      <w:rFonts w:hint="eastAsia"/>
                      <w:color w:val="auto"/>
                      <w:lang w:val="zh-CN"/>
                    </w:rPr>
                    <w:t>建筑施工场界环境噪声排放标准（GB</w:t>
                  </w:r>
                  <w:r>
                    <w:rPr>
                      <w:color w:val="auto"/>
                      <w:lang w:val="zh-CN"/>
                    </w:rPr>
                    <w:t>12523-2011</w:t>
                  </w:r>
                  <w:r>
                    <w:rPr>
                      <w:rFonts w:hint="eastAsia"/>
                      <w:color w:val="auto"/>
                      <w:lang w:val="zh-CN"/>
                    </w:rPr>
                    <w:t>）</w:t>
                  </w:r>
                </w:p>
              </w:tc>
            </w:tr>
            <w:tr w14:paraId="4AACE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7" w:type="dxa"/>
                  <w:vMerge w:val="continue"/>
                  <w:vAlign w:val="center"/>
                </w:tcPr>
                <w:p w14:paraId="140A23DE">
                  <w:pPr>
                    <w:pStyle w:val="55"/>
                    <w:rPr>
                      <w:color w:val="auto"/>
                      <w:lang w:val="zh-CN"/>
                    </w:rPr>
                  </w:pPr>
                </w:p>
              </w:tc>
              <w:tc>
                <w:tcPr>
                  <w:tcW w:w="1627" w:type="dxa"/>
                  <w:vMerge w:val="continue"/>
                  <w:vAlign w:val="center"/>
                </w:tcPr>
                <w:p w14:paraId="640EBB09">
                  <w:pPr>
                    <w:pStyle w:val="55"/>
                    <w:rPr>
                      <w:color w:val="auto"/>
                      <w:lang w:val="zh-CN"/>
                    </w:rPr>
                  </w:pPr>
                </w:p>
              </w:tc>
              <w:tc>
                <w:tcPr>
                  <w:tcW w:w="1627" w:type="dxa"/>
                  <w:vMerge w:val="continue"/>
                  <w:vAlign w:val="center"/>
                </w:tcPr>
                <w:p w14:paraId="242A3BBC">
                  <w:pPr>
                    <w:pStyle w:val="55"/>
                    <w:rPr>
                      <w:color w:val="auto"/>
                      <w:lang w:val="zh-CN"/>
                    </w:rPr>
                  </w:pPr>
                </w:p>
              </w:tc>
              <w:tc>
                <w:tcPr>
                  <w:tcW w:w="1628" w:type="dxa"/>
                  <w:vAlign w:val="center"/>
                </w:tcPr>
                <w:p w14:paraId="0342719E">
                  <w:pPr>
                    <w:pStyle w:val="55"/>
                    <w:rPr>
                      <w:color w:val="auto"/>
                      <w:lang w:val="zh-CN"/>
                    </w:rPr>
                  </w:pPr>
                  <w:r>
                    <w:rPr>
                      <w:rFonts w:hint="eastAsia"/>
                      <w:color w:val="auto"/>
                      <w:lang w:val="zh-CN"/>
                    </w:rPr>
                    <w:t>昼间</w:t>
                  </w:r>
                </w:p>
              </w:tc>
              <w:tc>
                <w:tcPr>
                  <w:tcW w:w="1628" w:type="dxa"/>
                  <w:vAlign w:val="center"/>
                </w:tcPr>
                <w:p w14:paraId="270D7778">
                  <w:pPr>
                    <w:pStyle w:val="55"/>
                    <w:rPr>
                      <w:color w:val="auto"/>
                      <w:lang w:val="zh-CN"/>
                    </w:rPr>
                  </w:pPr>
                  <w:r>
                    <w:rPr>
                      <w:rFonts w:hint="eastAsia"/>
                      <w:color w:val="auto"/>
                      <w:lang w:val="zh-CN"/>
                    </w:rPr>
                    <w:t>夜间</w:t>
                  </w:r>
                </w:p>
              </w:tc>
            </w:tr>
            <w:tr w14:paraId="5D6B0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7" w:type="dxa"/>
                  <w:vAlign w:val="center"/>
                </w:tcPr>
                <w:p w14:paraId="66D33AC1">
                  <w:pPr>
                    <w:pStyle w:val="55"/>
                    <w:rPr>
                      <w:color w:val="auto"/>
                      <w:lang w:val="zh-CN"/>
                    </w:rPr>
                  </w:pPr>
                  <w:r>
                    <w:rPr>
                      <w:rFonts w:hint="eastAsia"/>
                      <w:color w:val="auto"/>
                      <w:lang w:val="zh-CN"/>
                    </w:rPr>
                    <w:t>混凝土振捣器</w:t>
                  </w:r>
                </w:p>
              </w:tc>
              <w:tc>
                <w:tcPr>
                  <w:tcW w:w="1627" w:type="dxa"/>
                  <w:vAlign w:val="center"/>
                </w:tcPr>
                <w:p w14:paraId="5081F33A">
                  <w:pPr>
                    <w:pStyle w:val="55"/>
                    <w:rPr>
                      <w:color w:val="auto"/>
                      <w:lang w:val="zh-CN"/>
                    </w:rPr>
                  </w:pPr>
                  <w:r>
                    <w:rPr>
                      <w:rFonts w:hint="eastAsia"/>
                      <w:color w:val="auto"/>
                      <w:lang w:val="zh-CN"/>
                    </w:rPr>
                    <w:t>1</w:t>
                  </w:r>
                  <w:r>
                    <w:rPr>
                      <w:color w:val="auto"/>
                      <w:lang w:val="zh-CN"/>
                    </w:rPr>
                    <w:t>0</w:t>
                  </w:r>
                </w:p>
              </w:tc>
              <w:tc>
                <w:tcPr>
                  <w:tcW w:w="1627" w:type="dxa"/>
                  <w:vAlign w:val="center"/>
                </w:tcPr>
                <w:p w14:paraId="245CCE3D">
                  <w:pPr>
                    <w:pStyle w:val="55"/>
                    <w:rPr>
                      <w:color w:val="auto"/>
                      <w:lang w:val="zh-CN"/>
                    </w:rPr>
                  </w:pPr>
                  <w:r>
                    <w:rPr>
                      <w:rFonts w:hint="eastAsia"/>
                      <w:color w:val="auto"/>
                      <w:lang w:val="zh-CN"/>
                    </w:rPr>
                    <w:t>8</w:t>
                  </w:r>
                  <w:r>
                    <w:rPr>
                      <w:color w:val="auto"/>
                      <w:lang w:val="zh-CN"/>
                    </w:rPr>
                    <w:t>4</w:t>
                  </w:r>
                </w:p>
              </w:tc>
              <w:tc>
                <w:tcPr>
                  <w:tcW w:w="1628" w:type="dxa"/>
                  <w:vAlign w:val="center"/>
                </w:tcPr>
                <w:p w14:paraId="1760CFA8">
                  <w:pPr>
                    <w:pStyle w:val="55"/>
                    <w:rPr>
                      <w:color w:val="auto"/>
                      <w:lang w:val="zh-CN"/>
                    </w:rPr>
                  </w:pPr>
                  <w:r>
                    <w:rPr>
                      <w:rFonts w:hint="eastAsia"/>
                      <w:color w:val="auto"/>
                      <w:lang w:val="zh-CN"/>
                    </w:rPr>
                    <w:t>7</w:t>
                  </w:r>
                  <w:r>
                    <w:rPr>
                      <w:color w:val="auto"/>
                      <w:lang w:val="zh-CN"/>
                    </w:rPr>
                    <w:t>0</w:t>
                  </w:r>
                </w:p>
              </w:tc>
              <w:tc>
                <w:tcPr>
                  <w:tcW w:w="1628" w:type="dxa"/>
                  <w:vAlign w:val="center"/>
                </w:tcPr>
                <w:p w14:paraId="780B1D2B">
                  <w:pPr>
                    <w:pStyle w:val="55"/>
                    <w:rPr>
                      <w:color w:val="auto"/>
                      <w:lang w:val="zh-CN"/>
                    </w:rPr>
                  </w:pPr>
                  <w:r>
                    <w:rPr>
                      <w:rFonts w:hint="eastAsia"/>
                      <w:color w:val="auto"/>
                      <w:lang w:val="zh-CN"/>
                    </w:rPr>
                    <w:t>5</w:t>
                  </w:r>
                  <w:r>
                    <w:rPr>
                      <w:color w:val="auto"/>
                      <w:lang w:val="zh-CN"/>
                    </w:rPr>
                    <w:t>5</w:t>
                  </w:r>
                </w:p>
              </w:tc>
            </w:tr>
            <w:tr w14:paraId="52C2E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7" w:type="dxa"/>
                  <w:vAlign w:val="center"/>
                </w:tcPr>
                <w:p w14:paraId="6D6733EA">
                  <w:pPr>
                    <w:pStyle w:val="55"/>
                    <w:rPr>
                      <w:color w:val="auto"/>
                      <w:lang w:val="zh-CN"/>
                    </w:rPr>
                  </w:pPr>
                  <w:r>
                    <w:rPr>
                      <w:rFonts w:hint="eastAsia"/>
                      <w:color w:val="auto"/>
                      <w:lang w:val="zh-CN"/>
                    </w:rPr>
                    <w:t>钻孔机</w:t>
                  </w:r>
                </w:p>
              </w:tc>
              <w:tc>
                <w:tcPr>
                  <w:tcW w:w="1627" w:type="dxa"/>
                  <w:vAlign w:val="center"/>
                </w:tcPr>
                <w:p w14:paraId="2B3F772B">
                  <w:pPr>
                    <w:pStyle w:val="55"/>
                    <w:rPr>
                      <w:color w:val="auto"/>
                      <w:lang w:val="zh-CN"/>
                    </w:rPr>
                  </w:pPr>
                  <w:r>
                    <w:rPr>
                      <w:color w:val="auto"/>
                      <w:lang w:val="zh-CN"/>
                    </w:rPr>
                    <w:t>10</w:t>
                  </w:r>
                </w:p>
              </w:tc>
              <w:tc>
                <w:tcPr>
                  <w:tcW w:w="1627" w:type="dxa"/>
                  <w:vAlign w:val="center"/>
                </w:tcPr>
                <w:p w14:paraId="3CCB7A79">
                  <w:pPr>
                    <w:pStyle w:val="55"/>
                    <w:rPr>
                      <w:color w:val="auto"/>
                      <w:lang w:val="zh-CN"/>
                    </w:rPr>
                  </w:pPr>
                  <w:r>
                    <w:rPr>
                      <w:rFonts w:hint="eastAsia"/>
                      <w:color w:val="auto"/>
                      <w:lang w:val="zh-CN"/>
                    </w:rPr>
                    <w:t>8</w:t>
                  </w:r>
                  <w:r>
                    <w:rPr>
                      <w:color w:val="auto"/>
                      <w:lang w:val="zh-CN"/>
                    </w:rPr>
                    <w:t>6</w:t>
                  </w:r>
                </w:p>
              </w:tc>
              <w:tc>
                <w:tcPr>
                  <w:tcW w:w="1628" w:type="dxa"/>
                  <w:vAlign w:val="center"/>
                </w:tcPr>
                <w:p w14:paraId="6526433B">
                  <w:pPr>
                    <w:pStyle w:val="55"/>
                    <w:rPr>
                      <w:color w:val="auto"/>
                      <w:lang w:val="zh-CN"/>
                    </w:rPr>
                  </w:pPr>
                  <w:r>
                    <w:rPr>
                      <w:rFonts w:hint="eastAsia"/>
                      <w:color w:val="auto"/>
                      <w:lang w:val="zh-CN"/>
                    </w:rPr>
                    <w:t>7</w:t>
                  </w:r>
                  <w:r>
                    <w:rPr>
                      <w:color w:val="auto"/>
                      <w:lang w:val="zh-CN"/>
                    </w:rPr>
                    <w:t>0</w:t>
                  </w:r>
                </w:p>
              </w:tc>
              <w:tc>
                <w:tcPr>
                  <w:tcW w:w="1628" w:type="dxa"/>
                  <w:vAlign w:val="center"/>
                </w:tcPr>
                <w:p w14:paraId="07EE0F05">
                  <w:pPr>
                    <w:pStyle w:val="55"/>
                    <w:rPr>
                      <w:color w:val="auto"/>
                      <w:lang w:val="zh-CN"/>
                    </w:rPr>
                  </w:pPr>
                  <w:r>
                    <w:rPr>
                      <w:rFonts w:hint="eastAsia"/>
                      <w:color w:val="auto"/>
                      <w:lang w:val="zh-CN"/>
                    </w:rPr>
                    <w:t>5</w:t>
                  </w:r>
                  <w:r>
                    <w:rPr>
                      <w:color w:val="auto"/>
                      <w:lang w:val="zh-CN"/>
                    </w:rPr>
                    <w:t>5</w:t>
                  </w:r>
                </w:p>
              </w:tc>
            </w:tr>
            <w:tr w14:paraId="31874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7" w:type="dxa"/>
                  <w:vAlign w:val="center"/>
                </w:tcPr>
                <w:p w14:paraId="1ACFF3FF">
                  <w:pPr>
                    <w:pStyle w:val="55"/>
                    <w:rPr>
                      <w:color w:val="auto"/>
                      <w:lang w:val="zh-CN"/>
                    </w:rPr>
                  </w:pPr>
                  <w:r>
                    <w:rPr>
                      <w:rFonts w:hint="eastAsia"/>
                      <w:color w:val="auto"/>
                      <w:lang w:val="zh-CN"/>
                    </w:rPr>
                    <w:t>运输车</w:t>
                  </w:r>
                </w:p>
              </w:tc>
              <w:tc>
                <w:tcPr>
                  <w:tcW w:w="1627" w:type="dxa"/>
                  <w:vAlign w:val="center"/>
                </w:tcPr>
                <w:p w14:paraId="36D04738">
                  <w:pPr>
                    <w:pStyle w:val="55"/>
                    <w:rPr>
                      <w:color w:val="auto"/>
                      <w:lang w:val="zh-CN"/>
                    </w:rPr>
                  </w:pPr>
                  <w:r>
                    <w:rPr>
                      <w:rFonts w:hint="eastAsia"/>
                      <w:color w:val="auto"/>
                      <w:lang w:val="zh-CN"/>
                    </w:rPr>
                    <w:t>1</w:t>
                  </w:r>
                  <w:r>
                    <w:rPr>
                      <w:color w:val="auto"/>
                      <w:lang w:val="zh-CN"/>
                    </w:rPr>
                    <w:t>0</w:t>
                  </w:r>
                </w:p>
              </w:tc>
              <w:tc>
                <w:tcPr>
                  <w:tcW w:w="1627" w:type="dxa"/>
                  <w:vAlign w:val="center"/>
                </w:tcPr>
                <w:p w14:paraId="6F48F10E">
                  <w:pPr>
                    <w:pStyle w:val="55"/>
                    <w:rPr>
                      <w:color w:val="auto"/>
                      <w:lang w:val="zh-CN"/>
                    </w:rPr>
                  </w:pPr>
                  <w:r>
                    <w:rPr>
                      <w:rFonts w:hint="eastAsia"/>
                      <w:color w:val="auto"/>
                      <w:lang w:val="zh-CN"/>
                    </w:rPr>
                    <w:t>8</w:t>
                  </w:r>
                  <w:r>
                    <w:rPr>
                      <w:color w:val="auto"/>
                      <w:lang w:val="zh-CN"/>
                    </w:rPr>
                    <w:t>6</w:t>
                  </w:r>
                </w:p>
              </w:tc>
              <w:tc>
                <w:tcPr>
                  <w:tcW w:w="1628" w:type="dxa"/>
                  <w:vAlign w:val="center"/>
                </w:tcPr>
                <w:p w14:paraId="5C548B63">
                  <w:pPr>
                    <w:pStyle w:val="55"/>
                    <w:rPr>
                      <w:color w:val="auto"/>
                      <w:lang w:val="zh-CN"/>
                    </w:rPr>
                  </w:pPr>
                  <w:r>
                    <w:rPr>
                      <w:rFonts w:hint="eastAsia"/>
                      <w:color w:val="auto"/>
                      <w:lang w:val="zh-CN"/>
                    </w:rPr>
                    <w:t>7</w:t>
                  </w:r>
                  <w:r>
                    <w:rPr>
                      <w:color w:val="auto"/>
                      <w:lang w:val="zh-CN"/>
                    </w:rPr>
                    <w:t>0</w:t>
                  </w:r>
                </w:p>
              </w:tc>
              <w:tc>
                <w:tcPr>
                  <w:tcW w:w="1628" w:type="dxa"/>
                  <w:vAlign w:val="center"/>
                </w:tcPr>
                <w:p w14:paraId="327444FC">
                  <w:pPr>
                    <w:pStyle w:val="55"/>
                    <w:rPr>
                      <w:color w:val="auto"/>
                      <w:lang w:val="zh-CN"/>
                    </w:rPr>
                  </w:pPr>
                  <w:r>
                    <w:rPr>
                      <w:rFonts w:hint="eastAsia"/>
                      <w:color w:val="auto"/>
                      <w:lang w:val="zh-CN"/>
                    </w:rPr>
                    <w:t>5</w:t>
                  </w:r>
                  <w:r>
                    <w:rPr>
                      <w:color w:val="auto"/>
                      <w:lang w:val="zh-CN"/>
                    </w:rPr>
                    <w:t>5</w:t>
                  </w:r>
                </w:p>
              </w:tc>
            </w:tr>
          </w:tbl>
          <w:p w14:paraId="2CB7D241">
            <w:pPr>
              <w:pStyle w:val="51"/>
              <w:rPr>
                <w:color w:val="auto"/>
                <w:lang w:val="zh-CN"/>
              </w:rPr>
            </w:pPr>
            <w:r>
              <w:rPr>
                <w:rFonts w:hint="eastAsia" w:ascii="宋体" w:hAnsi="宋体"/>
                <w:color w:val="auto"/>
                <w:lang w:val="zh-CN"/>
              </w:rPr>
              <w:t>②施工噪声预测计算模式</w:t>
            </w:r>
          </w:p>
          <w:p w14:paraId="2309D1A5">
            <w:pPr>
              <w:pStyle w:val="51"/>
              <w:rPr>
                <w:color w:val="auto"/>
              </w:rPr>
            </w:pPr>
            <w:r>
              <w:rPr>
                <w:color w:val="auto"/>
              </w:rPr>
              <w:t>点声源衰减模式如下：</w:t>
            </w:r>
          </w:p>
          <w:p w14:paraId="4ABC6C1A">
            <w:pPr>
              <w:pStyle w:val="51"/>
              <w:jc w:val="center"/>
              <w:rPr>
                <w:color w:val="auto"/>
              </w:rPr>
            </w:pPr>
            <w:r>
              <w:rPr>
                <w:color w:val="auto"/>
              </w:rPr>
              <w:drawing>
                <wp:inline distT="0" distB="0" distL="0" distR="0">
                  <wp:extent cx="1981200" cy="34290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21">
                            <a:lum contrast="18000"/>
                            <a:extLst>
                              <a:ext uri="{28A0092B-C50C-407E-A947-70E740481C1C}">
                                <a14:useLocalDpi xmlns:a14="http://schemas.microsoft.com/office/drawing/2010/main" val="0"/>
                              </a:ext>
                            </a:extLst>
                          </a:blip>
                          <a:srcRect/>
                          <a:stretch>
                            <a:fillRect/>
                          </a:stretch>
                        </pic:blipFill>
                        <pic:spPr>
                          <a:xfrm>
                            <a:off x="0" y="0"/>
                            <a:ext cx="1981200" cy="342900"/>
                          </a:xfrm>
                          <a:prstGeom prst="rect">
                            <a:avLst/>
                          </a:prstGeom>
                          <a:noFill/>
                          <a:ln>
                            <a:noFill/>
                          </a:ln>
                          <a:effectLst/>
                        </pic:spPr>
                      </pic:pic>
                    </a:graphicData>
                  </a:graphic>
                </wp:inline>
              </w:drawing>
            </w:r>
          </w:p>
          <w:p w14:paraId="398BEE06">
            <w:pPr>
              <w:pStyle w:val="51"/>
              <w:rPr>
                <w:color w:val="auto"/>
              </w:rPr>
            </w:pPr>
            <w:r>
              <w:rPr>
                <w:color w:val="auto"/>
              </w:rPr>
              <w:t>式中：</w:t>
            </w:r>
            <w:r>
              <w:rPr>
                <w:i/>
                <w:color w:val="auto"/>
              </w:rPr>
              <w:t>L</w:t>
            </w:r>
            <w:r>
              <w:rPr>
                <w:i/>
                <w:color w:val="auto"/>
                <w:vertAlign w:val="subscript"/>
              </w:rPr>
              <w:t>A</w:t>
            </w:r>
            <w:r>
              <w:rPr>
                <w:color w:val="auto"/>
              </w:rPr>
              <w:t>(</w:t>
            </w:r>
            <w:r>
              <w:rPr>
                <w:i/>
                <w:color w:val="auto"/>
              </w:rPr>
              <w:t>r</w:t>
            </w:r>
            <w:r>
              <w:rPr>
                <w:color w:val="auto"/>
              </w:rPr>
              <w:t>) ——距声源 r 处的声级，dB(A)；</w:t>
            </w:r>
          </w:p>
          <w:p w14:paraId="48372815">
            <w:pPr>
              <w:pStyle w:val="51"/>
              <w:ind w:firstLine="1200" w:firstLineChars="500"/>
              <w:rPr>
                <w:color w:val="auto"/>
              </w:rPr>
            </w:pPr>
            <w:r>
              <w:rPr>
                <w:i/>
                <w:color w:val="auto"/>
              </w:rPr>
              <w:t>L</w:t>
            </w:r>
            <w:r>
              <w:rPr>
                <w:i/>
                <w:color w:val="auto"/>
                <w:vertAlign w:val="subscript"/>
              </w:rPr>
              <w:t>A</w:t>
            </w:r>
            <w:r>
              <w:rPr>
                <w:color w:val="auto"/>
              </w:rPr>
              <w:t>(</w:t>
            </w:r>
            <w:r>
              <w:rPr>
                <w:i/>
                <w:color w:val="auto"/>
              </w:rPr>
              <w:t>r</w:t>
            </w:r>
            <w:r>
              <w:rPr>
                <w:i/>
                <w:color w:val="auto"/>
                <w:vertAlign w:val="subscript"/>
              </w:rPr>
              <w:t>0</w:t>
            </w:r>
            <w:r>
              <w:rPr>
                <w:color w:val="auto"/>
              </w:rPr>
              <w:t>) ——参考位置r</w:t>
            </w:r>
            <w:r>
              <w:rPr>
                <w:color w:val="auto"/>
                <w:vertAlign w:val="subscript"/>
              </w:rPr>
              <w:t>0</w:t>
            </w:r>
            <w:r>
              <w:rPr>
                <w:color w:val="auto"/>
              </w:rPr>
              <w:t>处的声级，dB(A)；</w:t>
            </w:r>
          </w:p>
          <w:p w14:paraId="0709878C">
            <w:pPr>
              <w:pStyle w:val="51"/>
              <w:ind w:firstLine="1200" w:firstLineChars="500"/>
              <w:rPr>
                <w:color w:val="auto"/>
              </w:rPr>
            </w:pPr>
            <w:r>
              <w:rPr>
                <w:i/>
                <w:color w:val="auto"/>
              </w:rPr>
              <w:t>r</w:t>
            </w:r>
            <w:r>
              <w:rPr>
                <w:color w:val="auto"/>
              </w:rPr>
              <w:t xml:space="preserve"> ——预测点与点声源之间的距离（m）；</w:t>
            </w:r>
          </w:p>
          <w:p w14:paraId="13A1B824">
            <w:pPr>
              <w:pStyle w:val="51"/>
              <w:ind w:firstLine="1200" w:firstLineChars="500"/>
              <w:rPr>
                <w:color w:val="auto"/>
              </w:rPr>
            </w:pPr>
            <w:r>
              <w:rPr>
                <w:i/>
                <w:color w:val="auto"/>
              </w:rPr>
              <w:t>r</w:t>
            </w:r>
            <w:r>
              <w:rPr>
                <w:i/>
                <w:color w:val="auto"/>
                <w:vertAlign w:val="subscript"/>
              </w:rPr>
              <w:t>0</w:t>
            </w:r>
            <w:r>
              <w:rPr>
                <w:color w:val="auto"/>
                <w:vertAlign w:val="subscript"/>
              </w:rPr>
              <w:t xml:space="preserve"> </w:t>
            </w:r>
            <w:r>
              <w:rPr>
                <w:color w:val="auto"/>
              </w:rPr>
              <w:t>——参考位置与点声源之间的距离（m）；</w:t>
            </w:r>
          </w:p>
          <w:p w14:paraId="3E21EBFC">
            <w:pPr>
              <w:pStyle w:val="70"/>
              <w:rPr>
                <w:color w:val="auto"/>
              </w:rPr>
            </w:pPr>
            <w:r>
              <w:rPr>
                <w:rFonts w:hint="eastAsia"/>
                <w:color w:val="auto"/>
              </w:rPr>
              <w:t>（2）</w:t>
            </w:r>
            <w:r>
              <w:rPr>
                <w:color w:val="auto"/>
              </w:rPr>
              <w:t>预测分析</w:t>
            </w:r>
          </w:p>
          <w:p w14:paraId="3666F126">
            <w:pPr>
              <w:pStyle w:val="51"/>
              <w:rPr>
                <w:color w:val="auto"/>
              </w:rPr>
            </w:pPr>
            <w:r>
              <w:rPr>
                <w:color w:val="auto"/>
              </w:rPr>
              <w:t>预测结果见表</w:t>
            </w:r>
            <w:r>
              <w:rPr>
                <w:rFonts w:hint="eastAsia"/>
                <w:color w:val="auto"/>
              </w:rPr>
              <w:t>4</w:t>
            </w:r>
            <w:r>
              <w:rPr>
                <w:color w:val="auto"/>
              </w:rPr>
              <w:t>-3。</w:t>
            </w:r>
          </w:p>
          <w:p w14:paraId="263E070A">
            <w:pPr>
              <w:pStyle w:val="53"/>
              <w:rPr>
                <w:color w:val="auto"/>
              </w:rPr>
            </w:pPr>
            <w:r>
              <w:rPr>
                <w:color w:val="auto"/>
              </w:rPr>
              <w:t>表</w:t>
            </w:r>
            <w:r>
              <w:rPr>
                <w:rFonts w:hint="eastAsia"/>
                <w:color w:val="auto"/>
              </w:rPr>
              <w:t>4</w:t>
            </w:r>
            <w:r>
              <w:rPr>
                <w:color w:val="auto"/>
              </w:rPr>
              <w:t>-3  本工程主要施工机械作业噪声预测值</w:t>
            </w:r>
            <w:r>
              <w:rPr>
                <w:rFonts w:hint="eastAsia"/>
                <w:color w:val="auto"/>
              </w:rPr>
              <w:t xml:space="preserve"> </w:t>
            </w:r>
            <w:r>
              <w:rPr>
                <w:color w:val="auto"/>
              </w:rPr>
              <w:t xml:space="preserve"> 单位：dB（A</w:t>
            </w:r>
            <w:r>
              <w:rPr>
                <w:rFonts w:hint="eastAsia"/>
                <w:color w:val="auto"/>
              </w:rPr>
              <w:t>）</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8"/>
              <w:gridCol w:w="729"/>
              <w:gridCol w:w="806"/>
              <w:gridCol w:w="805"/>
              <w:gridCol w:w="806"/>
              <w:gridCol w:w="813"/>
              <w:gridCol w:w="813"/>
              <w:gridCol w:w="813"/>
              <w:gridCol w:w="813"/>
            </w:tblGrid>
            <w:tr w14:paraId="1D95F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8" w:type="dxa"/>
                  <w:vMerge w:val="restart"/>
                  <w:vAlign w:val="center"/>
                </w:tcPr>
                <w:p w14:paraId="34A0C201">
                  <w:pPr>
                    <w:pStyle w:val="55"/>
                    <w:rPr>
                      <w:color w:val="auto"/>
                      <w:lang w:val="zh-CN"/>
                    </w:rPr>
                  </w:pPr>
                  <w:r>
                    <w:rPr>
                      <w:rFonts w:hint="eastAsia"/>
                      <w:color w:val="auto"/>
                      <w:lang w:val="zh-CN"/>
                    </w:rPr>
                    <w:t>机械种类</w:t>
                  </w:r>
                </w:p>
              </w:tc>
              <w:tc>
                <w:tcPr>
                  <w:tcW w:w="6398" w:type="dxa"/>
                  <w:gridSpan w:val="8"/>
                  <w:vAlign w:val="center"/>
                </w:tcPr>
                <w:p w14:paraId="163F831F">
                  <w:pPr>
                    <w:pStyle w:val="55"/>
                    <w:rPr>
                      <w:color w:val="auto"/>
                      <w:lang w:val="zh-CN"/>
                    </w:rPr>
                  </w:pPr>
                  <w:r>
                    <w:rPr>
                      <w:rFonts w:hint="eastAsia"/>
                      <w:color w:val="auto"/>
                      <w:lang w:val="zh-CN"/>
                    </w:rPr>
                    <w:t>距施工机械距离</w:t>
                  </w:r>
                </w:p>
              </w:tc>
            </w:tr>
            <w:tr w14:paraId="503CA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8" w:type="dxa"/>
                  <w:vMerge w:val="continue"/>
                  <w:vAlign w:val="center"/>
                </w:tcPr>
                <w:p w14:paraId="1E6B1CB1">
                  <w:pPr>
                    <w:pStyle w:val="55"/>
                    <w:rPr>
                      <w:color w:val="auto"/>
                      <w:lang w:val="zh-CN"/>
                    </w:rPr>
                  </w:pPr>
                </w:p>
              </w:tc>
              <w:tc>
                <w:tcPr>
                  <w:tcW w:w="729" w:type="dxa"/>
                  <w:vAlign w:val="center"/>
                </w:tcPr>
                <w:p w14:paraId="0E3886C0">
                  <w:pPr>
                    <w:pStyle w:val="55"/>
                    <w:rPr>
                      <w:color w:val="auto"/>
                      <w:lang w:val="zh-CN"/>
                    </w:rPr>
                  </w:pPr>
                  <w:r>
                    <w:rPr>
                      <w:rFonts w:hint="eastAsia"/>
                      <w:color w:val="auto"/>
                      <w:lang w:val="zh-CN"/>
                    </w:rPr>
                    <w:t>2</w:t>
                  </w:r>
                  <w:r>
                    <w:rPr>
                      <w:color w:val="auto"/>
                      <w:lang w:val="zh-CN"/>
                    </w:rPr>
                    <w:t>0</w:t>
                  </w:r>
                  <w:r>
                    <w:rPr>
                      <w:rFonts w:hint="eastAsia"/>
                      <w:color w:val="auto"/>
                      <w:lang w:val="zh-CN"/>
                    </w:rPr>
                    <w:t>m</w:t>
                  </w:r>
                </w:p>
              </w:tc>
              <w:tc>
                <w:tcPr>
                  <w:tcW w:w="806" w:type="dxa"/>
                  <w:vAlign w:val="center"/>
                </w:tcPr>
                <w:p w14:paraId="29961C10">
                  <w:pPr>
                    <w:pStyle w:val="55"/>
                    <w:rPr>
                      <w:color w:val="auto"/>
                      <w:lang w:val="zh-CN"/>
                    </w:rPr>
                  </w:pPr>
                  <w:r>
                    <w:rPr>
                      <w:rFonts w:hint="eastAsia"/>
                      <w:color w:val="auto"/>
                      <w:lang w:val="zh-CN"/>
                    </w:rPr>
                    <w:t>3</w:t>
                  </w:r>
                  <w:r>
                    <w:rPr>
                      <w:color w:val="auto"/>
                      <w:lang w:val="zh-CN"/>
                    </w:rPr>
                    <w:t>0</w:t>
                  </w:r>
                  <w:r>
                    <w:rPr>
                      <w:rFonts w:hint="eastAsia"/>
                      <w:color w:val="auto"/>
                      <w:lang w:val="zh-CN"/>
                    </w:rPr>
                    <w:t>m</w:t>
                  </w:r>
                </w:p>
              </w:tc>
              <w:tc>
                <w:tcPr>
                  <w:tcW w:w="805" w:type="dxa"/>
                  <w:vAlign w:val="center"/>
                </w:tcPr>
                <w:p w14:paraId="7EBF6102">
                  <w:pPr>
                    <w:pStyle w:val="55"/>
                    <w:rPr>
                      <w:color w:val="auto"/>
                      <w:lang w:val="zh-CN"/>
                    </w:rPr>
                  </w:pPr>
                  <w:r>
                    <w:rPr>
                      <w:rFonts w:hint="eastAsia"/>
                      <w:color w:val="auto"/>
                      <w:lang w:val="zh-CN"/>
                    </w:rPr>
                    <w:t>4</w:t>
                  </w:r>
                  <w:r>
                    <w:rPr>
                      <w:color w:val="auto"/>
                      <w:lang w:val="zh-CN"/>
                    </w:rPr>
                    <w:t>0</w:t>
                  </w:r>
                  <w:r>
                    <w:rPr>
                      <w:rFonts w:hint="eastAsia"/>
                      <w:color w:val="auto"/>
                      <w:lang w:val="zh-CN"/>
                    </w:rPr>
                    <w:t>m</w:t>
                  </w:r>
                </w:p>
              </w:tc>
              <w:tc>
                <w:tcPr>
                  <w:tcW w:w="806" w:type="dxa"/>
                  <w:vAlign w:val="center"/>
                </w:tcPr>
                <w:p w14:paraId="0EF989B5">
                  <w:pPr>
                    <w:pStyle w:val="55"/>
                    <w:rPr>
                      <w:color w:val="auto"/>
                      <w:lang w:val="zh-CN"/>
                    </w:rPr>
                  </w:pPr>
                  <w:r>
                    <w:rPr>
                      <w:rFonts w:hint="eastAsia"/>
                      <w:color w:val="auto"/>
                      <w:lang w:val="zh-CN"/>
                    </w:rPr>
                    <w:t>5</w:t>
                  </w:r>
                  <w:r>
                    <w:rPr>
                      <w:color w:val="auto"/>
                      <w:lang w:val="zh-CN"/>
                    </w:rPr>
                    <w:t>0</w:t>
                  </w:r>
                  <w:r>
                    <w:rPr>
                      <w:rFonts w:hint="eastAsia"/>
                      <w:color w:val="auto"/>
                      <w:lang w:val="zh-CN"/>
                    </w:rPr>
                    <w:t>m</w:t>
                  </w:r>
                </w:p>
              </w:tc>
              <w:tc>
                <w:tcPr>
                  <w:tcW w:w="813" w:type="dxa"/>
                  <w:vAlign w:val="center"/>
                </w:tcPr>
                <w:p w14:paraId="1624A186">
                  <w:pPr>
                    <w:pStyle w:val="55"/>
                    <w:rPr>
                      <w:color w:val="auto"/>
                      <w:lang w:val="zh-CN"/>
                    </w:rPr>
                  </w:pPr>
                  <w:r>
                    <w:rPr>
                      <w:rFonts w:hint="eastAsia"/>
                      <w:color w:val="auto"/>
                      <w:lang w:val="zh-CN"/>
                    </w:rPr>
                    <w:t>1</w:t>
                  </w:r>
                  <w:r>
                    <w:rPr>
                      <w:color w:val="auto"/>
                      <w:lang w:val="zh-CN"/>
                    </w:rPr>
                    <w:t>00</w:t>
                  </w:r>
                  <w:r>
                    <w:rPr>
                      <w:rFonts w:hint="eastAsia"/>
                      <w:color w:val="auto"/>
                      <w:lang w:val="zh-CN"/>
                    </w:rPr>
                    <w:t>m</w:t>
                  </w:r>
                </w:p>
              </w:tc>
              <w:tc>
                <w:tcPr>
                  <w:tcW w:w="813" w:type="dxa"/>
                  <w:vAlign w:val="center"/>
                </w:tcPr>
                <w:p w14:paraId="16555112">
                  <w:pPr>
                    <w:pStyle w:val="55"/>
                    <w:rPr>
                      <w:color w:val="auto"/>
                      <w:lang w:val="zh-CN"/>
                    </w:rPr>
                  </w:pPr>
                  <w:r>
                    <w:rPr>
                      <w:rFonts w:hint="eastAsia"/>
                      <w:color w:val="auto"/>
                      <w:lang w:val="zh-CN"/>
                    </w:rPr>
                    <w:t>2</w:t>
                  </w:r>
                  <w:r>
                    <w:rPr>
                      <w:color w:val="auto"/>
                      <w:lang w:val="zh-CN"/>
                    </w:rPr>
                    <w:t>00</w:t>
                  </w:r>
                  <w:r>
                    <w:rPr>
                      <w:rFonts w:hint="eastAsia"/>
                      <w:color w:val="auto"/>
                      <w:lang w:val="zh-CN"/>
                    </w:rPr>
                    <w:t>m</w:t>
                  </w:r>
                </w:p>
              </w:tc>
              <w:tc>
                <w:tcPr>
                  <w:tcW w:w="813" w:type="dxa"/>
                  <w:vAlign w:val="center"/>
                </w:tcPr>
                <w:p w14:paraId="6213ECA3">
                  <w:pPr>
                    <w:pStyle w:val="55"/>
                    <w:rPr>
                      <w:color w:val="auto"/>
                      <w:lang w:val="zh-CN"/>
                    </w:rPr>
                  </w:pPr>
                  <w:r>
                    <w:rPr>
                      <w:rFonts w:hint="eastAsia"/>
                      <w:color w:val="auto"/>
                      <w:lang w:val="zh-CN"/>
                    </w:rPr>
                    <w:t>3</w:t>
                  </w:r>
                  <w:r>
                    <w:rPr>
                      <w:color w:val="auto"/>
                      <w:lang w:val="zh-CN"/>
                    </w:rPr>
                    <w:t>00</w:t>
                  </w:r>
                  <w:r>
                    <w:rPr>
                      <w:rFonts w:hint="eastAsia"/>
                      <w:color w:val="auto"/>
                      <w:lang w:val="zh-CN"/>
                    </w:rPr>
                    <w:t>m</w:t>
                  </w:r>
                </w:p>
              </w:tc>
              <w:tc>
                <w:tcPr>
                  <w:tcW w:w="813" w:type="dxa"/>
                  <w:vAlign w:val="center"/>
                </w:tcPr>
                <w:p w14:paraId="316A25E6">
                  <w:pPr>
                    <w:pStyle w:val="55"/>
                    <w:rPr>
                      <w:color w:val="auto"/>
                      <w:lang w:val="zh-CN"/>
                    </w:rPr>
                  </w:pPr>
                  <w:r>
                    <w:rPr>
                      <w:rFonts w:hint="eastAsia"/>
                      <w:color w:val="auto"/>
                      <w:lang w:val="zh-CN"/>
                    </w:rPr>
                    <w:t>4</w:t>
                  </w:r>
                  <w:r>
                    <w:rPr>
                      <w:color w:val="auto"/>
                      <w:lang w:val="zh-CN"/>
                    </w:rPr>
                    <w:t>00</w:t>
                  </w:r>
                  <w:r>
                    <w:rPr>
                      <w:rFonts w:hint="eastAsia"/>
                      <w:color w:val="auto"/>
                      <w:lang w:val="zh-CN"/>
                    </w:rPr>
                    <w:t>m</w:t>
                  </w:r>
                </w:p>
              </w:tc>
            </w:tr>
            <w:tr w14:paraId="4753B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8" w:type="dxa"/>
                  <w:vAlign w:val="center"/>
                </w:tcPr>
                <w:p w14:paraId="41AAA006">
                  <w:pPr>
                    <w:pStyle w:val="55"/>
                    <w:rPr>
                      <w:color w:val="auto"/>
                      <w:lang w:val="zh-CN"/>
                    </w:rPr>
                  </w:pPr>
                  <w:r>
                    <w:rPr>
                      <w:rFonts w:hint="eastAsia"/>
                      <w:color w:val="auto"/>
                      <w:lang w:val="zh-CN"/>
                    </w:rPr>
                    <w:t>混凝土振捣器</w:t>
                  </w:r>
                </w:p>
              </w:tc>
              <w:tc>
                <w:tcPr>
                  <w:tcW w:w="729" w:type="dxa"/>
                  <w:vAlign w:val="center"/>
                </w:tcPr>
                <w:p w14:paraId="49C9E929">
                  <w:pPr>
                    <w:pStyle w:val="55"/>
                    <w:rPr>
                      <w:color w:val="auto"/>
                      <w:lang w:val="zh-CN"/>
                    </w:rPr>
                  </w:pPr>
                  <w:r>
                    <w:rPr>
                      <w:rFonts w:hint="eastAsia"/>
                      <w:color w:val="auto"/>
                      <w:lang w:val="zh-CN"/>
                    </w:rPr>
                    <w:t>7</w:t>
                  </w:r>
                  <w:r>
                    <w:rPr>
                      <w:color w:val="auto"/>
                      <w:lang w:val="zh-CN"/>
                    </w:rPr>
                    <w:t>8.0</w:t>
                  </w:r>
                </w:p>
              </w:tc>
              <w:tc>
                <w:tcPr>
                  <w:tcW w:w="806" w:type="dxa"/>
                  <w:vAlign w:val="center"/>
                </w:tcPr>
                <w:p w14:paraId="6202A1B5">
                  <w:pPr>
                    <w:pStyle w:val="55"/>
                    <w:rPr>
                      <w:color w:val="auto"/>
                      <w:lang w:val="zh-CN"/>
                    </w:rPr>
                  </w:pPr>
                  <w:r>
                    <w:rPr>
                      <w:rFonts w:hint="eastAsia"/>
                      <w:color w:val="auto"/>
                      <w:lang w:val="zh-CN"/>
                    </w:rPr>
                    <w:t>7</w:t>
                  </w:r>
                  <w:r>
                    <w:rPr>
                      <w:color w:val="auto"/>
                      <w:lang w:val="zh-CN"/>
                    </w:rPr>
                    <w:t>4.5</w:t>
                  </w:r>
                </w:p>
              </w:tc>
              <w:tc>
                <w:tcPr>
                  <w:tcW w:w="805" w:type="dxa"/>
                  <w:vAlign w:val="center"/>
                </w:tcPr>
                <w:p w14:paraId="1A029877">
                  <w:pPr>
                    <w:pStyle w:val="55"/>
                    <w:rPr>
                      <w:color w:val="auto"/>
                      <w:lang w:val="zh-CN"/>
                    </w:rPr>
                  </w:pPr>
                  <w:r>
                    <w:rPr>
                      <w:rFonts w:hint="eastAsia"/>
                      <w:color w:val="auto"/>
                      <w:lang w:val="zh-CN"/>
                    </w:rPr>
                    <w:t>7</w:t>
                  </w:r>
                  <w:r>
                    <w:rPr>
                      <w:color w:val="auto"/>
                      <w:lang w:val="zh-CN"/>
                    </w:rPr>
                    <w:t>2.0</w:t>
                  </w:r>
                </w:p>
              </w:tc>
              <w:tc>
                <w:tcPr>
                  <w:tcW w:w="806" w:type="dxa"/>
                  <w:vAlign w:val="center"/>
                </w:tcPr>
                <w:p w14:paraId="709FBC6F">
                  <w:pPr>
                    <w:pStyle w:val="55"/>
                    <w:rPr>
                      <w:color w:val="auto"/>
                      <w:lang w:val="zh-CN"/>
                    </w:rPr>
                  </w:pPr>
                  <w:r>
                    <w:rPr>
                      <w:rFonts w:hint="eastAsia"/>
                      <w:color w:val="auto"/>
                      <w:lang w:val="zh-CN"/>
                    </w:rPr>
                    <w:t>7</w:t>
                  </w:r>
                  <w:r>
                    <w:rPr>
                      <w:color w:val="auto"/>
                      <w:lang w:val="zh-CN"/>
                    </w:rPr>
                    <w:t>0.0</w:t>
                  </w:r>
                </w:p>
              </w:tc>
              <w:tc>
                <w:tcPr>
                  <w:tcW w:w="813" w:type="dxa"/>
                  <w:vAlign w:val="center"/>
                </w:tcPr>
                <w:p w14:paraId="3B0CD8CC">
                  <w:pPr>
                    <w:pStyle w:val="55"/>
                    <w:rPr>
                      <w:color w:val="auto"/>
                      <w:lang w:val="zh-CN"/>
                    </w:rPr>
                  </w:pPr>
                  <w:r>
                    <w:rPr>
                      <w:rFonts w:hint="eastAsia"/>
                      <w:color w:val="auto"/>
                      <w:lang w:val="zh-CN"/>
                    </w:rPr>
                    <w:t>6</w:t>
                  </w:r>
                  <w:r>
                    <w:rPr>
                      <w:color w:val="auto"/>
                      <w:lang w:val="zh-CN"/>
                    </w:rPr>
                    <w:t>4.0</w:t>
                  </w:r>
                </w:p>
              </w:tc>
              <w:tc>
                <w:tcPr>
                  <w:tcW w:w="813" w:type="dxa"/>
                  <w:vAlign w:val="center"/>
                </w:tcPr>
                <w:p w14:paraId="76E5E84B">
                  <w:pPr>
                    <w:pStyle w:val="55"/>
                    <w:rPr>
                      <w:color w:val="auto"/>
                      <w:lang w:val="zh-CN"/>
                    </w:rPr>
                  </w:pPr>
                  <w:r>
                    <w:rPr>
                      <w:rFonts w:hint="eastAsia"/>
                      <w:color w:val="auto"/>
                      <w:lang w:val="zh-CN"/>
                    </w:rPr>
                    <w:t>5</w:t>
                  </w:r>
                  <w:r>
                    <w:rPr>
                      <w:color w:val="auto"/>
                      <w:lang w:val="zh-CN"/>
                    </w:rPr>
                    <w:t>8.0</w:t>
                  </w:r>
                </w:p>
              </w:tc>
              <w:tc>
                <w:tcPr>
                  <w:tcW w:w="813" w:type="dxa"/>
                  <w:vAlign w:val="center"/>
                </w:tcPr>
                <w:p w14:paraId="6D0D6B72">
                  <w:pPr>
                    <w:pStyle w:val="55"/>
                    <w:rPr>
                      <w:color w:val="auto"/>
                      <w:lang w:val="zh-CN"/>
                    </w:rPr>
                  </w:pPr>
                  <w:r>
                    <w:rPr>
                      <w:rFonts w:hint="eastAsia"/>
                      <w:color w:val="auto"/>
                      <w:lang w:val="zh-CN"/>
                    </w:rPr>
                    <w:t>5</w:t>
                  </w:r>
                  <w:r>
                    <w:rPr>
                      <w:color w:val="auto"/>
                      <w:lang w:val="zh-CN"/>
                    </w:rPr>
                    <w:t>4.5</w:t>
                  </w:r>
                </w:p>
              </w:tc>
              <w:tc>
                <w:tcPr>
                  <w:tcW w:w="813" w:type="dxa"/>
                  <w:vAlign w:val="center"/>
                </w:tcPr>
                <w:p w14:paraId="36DFEB53">
                  <w:pPr>
                    <w:pStyle w:val="55"/>
                    <w:rPr>
                      <w:color w:val="auto"/>
                      <w:lang w:val="zh-CN"/>
                    </w:rPr>
                  </w:pPr>
                  <w:r>
                    <w:rPr>
                      <w:rFonts w:hint="eastAsia"/>
                      <w:color w:val="auto"/>
                      <w:lang w:val="zh-CN"/>
                    </w:rPr>
                    <w:t>5</w:t>
                  </w:r>
                  <w:r>
                    <w:rPr>
                      <w:color w:val="auto"/>
                      <w:lang w:val="zh-CN"/>
                    </w:rPr>
                    <w:t>2.0</w:t>
                  </w:r>
                </w:p>
              </w:tc>
            </w:tr>
            <w:tr w14:paraId="15248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8" w:type="dxa"/>
                  <w:vAlign w:val="center"/>
                </w:tcPr>
                <w:p w14:paraId="710DD85B">
                  <w:pPr>
                    <w:pStyle w:val="55"/>
                    <w:rPr>
                      <w:color w:val="auto"/>
                      <w:lang w:val="zh-CN"/>
                    </w:rPr>
                  </w:pPr>
                  <w:r>
                    <w:rPr>
                      <w:rFonts w:hint="eastAsia"/>
                      <w:color w:val="auto"/>
                      <w:lang w:val="zh-CN"/>
                    </w:rPr>
                    <w:t>钻孔车</w:t>
                  </w:r>
                </w:p>
              </w:tc>
              <w:tc>
                <w:tcPr>
                  <w:tcW w:w="729" w:type="dxa"/>
                  <w:vAlign w:val="center"/>
                </w:tcPr>
                <w:p w14:paraId="3B32036F">
                  <w:pPr>
                    <w:pStyle w:val="55"/>
                    <w:rPr>
                      <w:color w:val="auto"/>
                      <w:lang w:val="zh-CN"/>
                    </w:rPr>
                  </w:pPr>
                  <w:r>
                    <w:rPr>
                      <w:rFonts w:hint="eastAsia"/>
                      <w:color w:val="auto"/>
                      <w:lang w:val="zh-CN"/>
                    </w:rPr>
                    <w:t>8</w:t>
                  </w:r>
                  <w:r>
                    <w:rPr>
                      <w:color w:val="auto"/>
                      <w:lang w:val="zh-CN"/>
                    </w:rPr>
                    <w:t>0.0</w:t>
                  </w:r>
                </w:p>
              </w:tc>
              <w:tc>
                <w:tcPr>
                  <w:tcW w:w="806" w:type="dxa"/>
                  <w:vAlign w:val="center"/>
                </w:tcPr>
                <w:p w14:paraId="08BA9437">
                  <w:pPr>
                    <w:pStyle w:val="55"/>
                    <w:rPr>
                      <w:color w:val="auto"/>
                      <w:lang w:val="zh-CN"/>
                    </w:rPr>
                  </w:pPr>
                  <w:r>
                    <w:rPr>
                      <w:rFonts w:hint="eastAsia"/>
                      <w:color w:val="auto"/>
                      <w:lang w:val="zh-CN"/>
                    </w:rPr>
                    <w:t>7</w:t>
                  </w:r>
                  <w:r>
                    <w:rPr>
                      <w:color w:val="auto"/>
                      <w:lang w:val="zh-CN"/>
                    </w:rPr>
                    <w:t>6.4</w:t>
                  </w:r>
                </w:p>
              </w:tc>
              <w:tc>
                <w:tcPr>
                  <w:tcW w:w="805" w:type="dxa"/>
                  <w:vAlign w:val="center"/>
                </w:tcPr>
                <w:p w14:paraId="78D4C21E">
                  <w:pPr>
                    <w:pStyle w:val="55"/>
                    <w:rPr>
                      <w:color w:val="auto"/>
                      <w:lang w:val="zh-CN"/>
                    </w:rPr>
                  </w:pPr>
                  <w:r>
                    <w:rPr>
                      <w:rFonts w:hint="eastAsia"/>
                      <w:color w:val="auto"/>
                      <w:lang w:val="zh-CN"/>
                    </w:rPr>
                    <w:t>7</w:t>
                  </w:r>
                  <w:r>
                    <w:rPr>
                      <w:color w:val="auto"/>
                      <w:lang w:val="zh-CN"/>
                    </w:rPr>
                    <w:t>3.9</w:t>
                  </w:r>
                </w:p>
              </w:tc>
              <w:tc>
                <w:tcPr>
                  <w:tcW w:w="806" w:type="dxa"/>
                  <w:vAlign w:val="center"/>
                </w:tcPr>
                <w:p w14:paraId="1527E553">
                  <w:pPr>
                    <w:pStyle w:val="55"/>
                    <w:rPr>
                      <w:color w:val="auto"/>
                      <w:lang w:val="zh-CN"/>
                    </w:rPr>
                  </w:pPr>
                  <w:r>
                    <w:rPr>
                      <w:rFonts w:hint="eastAsia"/>
                      <w:color w:val="auto"/>
                      <w:lang w:val="zh-CN"/>
                    </w:rPr>
                    <w:t>7</w:t>
                  </w:r>
                  <w:r>
                    <w:rPr>
                      <w:color w:val="auto"/>
                      <w:lang w:val="zh-CN"/>
                    </w:rPr>
                    <w:t>2.0</w:t>
                  </w:r>
                </w:p>
              </w:tc>
              <w:tc>
                <w:tcPr>
                  <w:tcW w:w="813" w:type="dxa"/>
                  <w:vAlign w:val="center"/>
                </w:tcPr>
                <w:p w14:paraId="36954E56">
                  <w:pPr>
                    <w:pStyle w:val="55"/>
                    <w:rPr>
                      <w:color w:val="auto"/>
                      <w:lang w:val="zh-CN"/>
                    </w:rPr>
                  </w:pPr>
                  <w:r>
                    <w:rPr>
                      <w:rFonts w:hint="eastAsia"/>
                      <w:color w:val="auto"/>
                      <w:lang w:val="zh-CN"/>
                    </w:rPr>
                    <w:t>6</w:t>
                  </w:r>
                  <w:r>
                    <w:rPr>
                      <w:color w:val="auto"/>
                      <w:lang w:val="zh-CN"/>
                    </w:rPr>
                    <w:t>6.0</w:t>
                  </w:r>
                </w:p>
              </w:tc>
              <w:tc>
                <w:tcPr>
                  <w:tcW w:w="813" w:type="dxa"/>
                  <w:vAlign w:val="center"/>
                </w:tcPr>
                <w:p w14:paraId="18EB0107">
                  <w:pPr>
                    <w:pStyle w:val="55"/>
                    <w:rPr>
                      <w:color w:val="auto"/>
                      <w:lang w:val="zh-CN"/>
                    </w:rPr>
                  </w:pPr>
                  <w:r>
                    <w:rPr>
                      <w:rFonts w:hint="eastAsia"/>
                      <w:color w:val="auto"/>
                      <w:lang w:val="zh-CN"/>
                    </w:rPr>
                    <w:t>6</w:t>
                  </w:r>
                  <w:r>
                    <w:rPr>
                      <w:color w:val="auto"/>
                      <w:lang w:val="zh-CN"/>
                    </w:rPr>
                    <w:t>0.0</w:t>
                  </w:r>
                </w:p>
              </w:tc>
              <w:tc>
                <w:tcPr>
                  <w:tcW w:w="813" w:type="dxa"/>
                  <w:vAlign w:val="center"/>
                </w:tcPr>
                <w:p w14:paraId="0A931D79">
                  <w:pPr>
                    <w:pStyle w:val="55"/>
                    <w:rPr>
                      <w:color w:val="auto"/>
                      <w:lang w:val="zh-CN"/>
                    </w:rPr>
                  </w:pPr>
                  <w:r>
                    <w:rPr>
                      <w:rFonts w:hint="eastAsia"/>
                      <w:color w:val="auto"/>
                      <w:lang w:val="zh-CN"/>
                    </w:rPr>
                    <w:t>5</w:t>
                  </w:r>
                  <w:r>
                    <w:rPr>
                      <w:color w:val="auto"/>
                      <w:lang w:val="zh-CN"/>
                    </w:rPr>
                    <w:t>6.4</w:t>
                  </w:r>
                </w:p>
              </w:tc>
              <w:tc>
                <w:tcPr>
                  <w:tcW w:w="813" w:type="dxa"/>
                  <w:vAlign w:val="center"/>
                </w:tcPr>
                <w:p w14:paraId="48DE59B6">
                  <w:pPr>
                    <w:pStyle w:val="55"/>
                    <w:rPr>
                      <w:color w:val="auto"/>
                      <w:lang w:val="zh-CN"/>
                    </w:rPr>
                  </w:pPr>
                  <w:r>
                    <w:rPr>
                      <w:rFonts w:hint="eastAsia"/>
                      <w:color w:val="auto"/>
                      <w:lang w:val="zh-CN"/>
                    </w:rPr>
                    <w:t>5</w:t>
                  </w:r>
                  <w:r>
                    <w:rPr>
                      <w:color w:val="auto"/>
                      <w:lang w:val="zh-CN"/>
                    </w:rPr>
                    <w:t>3.9</w:t>
                  </w:r>
                </w:p>
              </w:tc>
            </w:tr>
            <w:tr w14:paraId="2B610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8" w:type="dxa"/>
                  <w:vAlign w:val="center"/>
                </w:tcPr>
                <w:p w14:paraId="34A195EA">
                  <w:pPr>
                    <w:pStyle w:val="55"/>
                    <w:rPr>
                      <w:color w:val="auto"/>
                      <w:lang w:val="zh-CN"/>
                    </w:rPr>
                  </w:pPr>
                  <w:r>
                    <w:rPr>
                      <w:rFonts w:hint="eastAsia"/>
                      <w:color w:val="auto"/>
                      <w:lang w:val="zh-CN"/>
                    </w:rPr>
                    <w:t>运输车</w:t>
                  </w:r>
                </w:p>
              </w:tc>
              <w:tc>
                <w:tcPr>
                  <w:tcW w:w="729" w:type="dxa"/>
                  <w:vAlign w:val="center"/>
                </w:tcPr>
                <w:p w14:paraId="36010EFF">
                  <w:pPr>
                    <w:pStyle w:val="55"/>
                    <w:rPr>
                      <w:color w:val="auto"/>
                      <w:lang w:val="zh-CN"/>
                    </w:rPr>
                  </w:pPr>
                  <w:r>
                    <w:rPr>
                      <w:rFonts w:hint="eastAsia"/>
                      <w:color w:val="auto"/>
                      <w:lang w:val="zh-CN"/>
                    </w:rPr>
                    <w:t>8</w:t>
                  </w:r>
                  <w:r>
                    <w:rPr>
                      <w:color w:val="auto"/>
                      <w:lang w:val="zh-CN"/>
                    </w:rPr>
                    <w:t>0.0</w:t>
                  </w:r>
                </w:p>
              </w:tc>
              <w:tc>
                <w:tcPr>
                  <w:tcW w:w="806" w:type="dxa"/>
                  <w:vAlign w:val="center"/>
                </w:tcPr>
                <w:p w14:paraId="61A91012">
                  <w:pPr>
                    <w:pStyle w:val="55"/>
                    <w:rPr>
                      <w:color w:val="auto"/>
                      <w:lang w:val="zh-CN"/>
                    </w:rPr>
                  </w:pPr>
                  <w:r>
                    <w:rPr>
                      <w:rFonts w:hint="eastAsia"/>
                      <w:color w:val="auto"/>
                      <w:lang w:val="zh-CN"/>
                    </w:rPr>
                    <w:t>7</w:t>
                  </w:r>
                  <w:r>
                    <w:rPr>
                      <w:color w:val="auto"/>
                      <w:lang w:val="zh-CN"/>
                    </w:rPr>
                    <w:t>6.4</w:t>
                  </w:r>
                </w:p>
              </w:tc>
              <w:tc>
                <w:tcPr>
                  <w:tcW w:w="805" w:type="dxa"/>
                  <w:vAlign w:val="center"/>
                </w:tcPr>
                <w:p w14:paraId="2DDA6EA9">
                  <w:pPr>
                    <w:pStyle w:val="55"/>
                    <w:rPr>
                      <w:color w:val="auto"/>
                      <w:lang w:val="zh-CN"/>
                    </w:rPr>
                  </w:pPr>
                  <w:r>
                    <w:rPr>
                      <w:rFonts w:hint="eastAsia"/>
                      <w:color w:val="auto"/>
                      <w:lang w:val="zh-CN"/>
                    </w:rPr>
                    <w:t>7</w:t>
                  </w:r>
                  <w:r>
                    <w:rPr>
                      <w:color w:val="auto"/>
                      <w:lang w:val="zh-CN"/>
                    </w:rPr>
                    <w:t>3.9</w:t>
                  </w:r>
                </w:p>
              </w:tc>
              <w:tc>
                <w:tcPr>
                  <w:tcW w:w="806" w:type="dxa"/>
                  <w:vAlign w:val="center"/>
                </w:tcPr>
                <w:p w14:paraId="2FD4275B">
                  <w:pPr>
                    <w:pStyle w:val="55"/>
                    <w:rPr>
                      <w:color w:val="auto"/>
                      <w:lang w:val="zh-CN"/>
                    </w:rPr>
                  </w:pPr>
                  <w:r>
                    <w:rPr>
                      <w:rFonts w:hint="eastAsia"/>
                      <w:color w:val="auto"/>
                      <w:lang w:val="zh-CN"/>
                    </w:rPr>
                    <w:t>7</w:t>
                  </w:r>
                  <w:r>
                    <w:rPr>
                      <w:color w:val="auto"/>
                      <w:lang w:val="zh-CN"/>
                    </w:rPr>
                    <w:t>2.0</w:t>
                  </w:r>
                </w:p>
              </w:tc>
              <w:tc>
                <w:tcPr>
                  <w:tcW w:w="813" w:type="dxa"/>
                  <w:vAlign w:val="center"/>
                </w:tcPr>
                <w:p w14:paraId="78F69F5A">
                  <w:pPr>
                    <w:pStyle w:val="55"/>
                    <w:rPr>
                      <w:color w:val="auto"/>
                      <w:lang w:val="zh-CN"/>
                    </w:rPr>
                  </w:pPr>
                  <w:r>
                    <w:rPr>
                      <w:rFonts w:hint="eastAsia"/>
                      <w:color w:val="auto"/>
                      <w:lang w:val="zh-CN"/>
                    </w:rPr>
                    <w:t>6</w:t>
                  </w:r>
                  <w:r>
                    <w:rPr>
                      <w:color w:val="auto"/>
                      <w:lang w:val="zh-CN"/>
                    </w:rPr>
                    <w:t>6.0</w:t>
                  </w:r>
                </w:p>
              </w:tc>
              <w:tc>
                <w:tcPr>
                  <w:tcW w:w="813" w:type="dxa"/>
                  <w:vAlign w:val="center"/>
                </w:tcPr>
                <w:p w14:paraId="284C42F9">
                  <w:pPr>
                    <w:pStyle w:val="55"/>
                    <w:rPr>
                      <w:color w:val="auto"/>
                      <w:lang w:val="zh-CN"/>
                    </w:rPr>
                  </w:pPr>
                  <w:r>
                    <w:rPr>
                      <w:rFonts w:hint="eastAsia"/>
                      <w:color w:val="auto"/>
                      <w:lang w:val="zh-CN"/>
                    </w:rPr>
                    <w:t>6</w:t>
                  </w:r>
                  <w:r>
                    <w:rPr>
                      <w:color w:val="auto"/>
                      <w:lang w:val="zh-CN"/>
                    </w:rPr>
                    <w:t>0.0</w:t>
                  </w:r>
                </w:p>
              </w:tc>
              <w:tc>
                <w:tcPr>
                  <w:tcW w:w="813" w:type="dxa"/>
                  <w:vAlign w:val="center"/>
                </w:tcPr>
                <w:p w14:paraId="10B206ED">
                  <w:pPr>
                    <w:pStyle w:val="55"/>
                    <w:rPr>
                      <w:color w:val="auto"/>
                      <w:lang w:val="zh-CN"/>
                    </w:rPr>
                  </w:pPr>
                  <w:r>
                    <w:rPr>
                      <w:rFonts w:hint="eastAsia"/>
                      <w:color w:val="auto"/>
                      <w:lang w:val="zh-CN"/>
                    </w:rPr>
                    <w:t>5</w:t>
                  </w:r>
                  <w:r>
                    <w:rPr>
                      <w:color w:val="auto"/>
                      <w:lang w:val="zh-CN"/>
                    </w:rPr>
                    <w:t>6.4</w:t>
                  </w:r>
                </w:p>
              </w:tc>
              <w:tc>
                <w:tcPr>
                  <w:tcW w:w="813" w:type="dxa"/>
                  <w:vAlign w:val="center"/>
                </w:tcPr>
                <w:p w14:paraId="18C07BFB">
                  <w:pPr>
                    <w:pStyle w:val="55"/>
                    <w:rPr>
                      <w:color w:val="auto"/>
                      <w:lang w:val="zh-CN"/>
                    </w:rPr>
                  </w:pPr>
                  <w:r>
                    <w:rPr>
                      <w:rFonts w:hint="eastAsia"/>
                      <w:color w:val="auto"/>
                      <w:lang w:val="zh-CN"/>
                    </w:rPr>
                    <w:t>5</w:t>
                  </w:r>
                  <w:r>
                    <w:rPr>
                      <w:color w:val="auto"/>
                      <w:lang w:val="zh-CN"/>
                    </w:rPr>
                    <w:t>3.9</w:t>
                  </w:r>
                </w:p>
              </w:tc>
            </w:tr>
          </w:tbl>
          <w:p w14:paraId="43CC819A">
            <w:pPr>
              <w:pStyle w:val="51"/>
              <w:rPr>
                <w:color w:val="auto"/>
                <w:lang w:val="zh-CN"/>
              </w:rPr>
            </w:pPr>
            <w:r>
              <w:rPr>
                <w:rFonts w:hint="eastAsia"/>
                <w:color w:val="auto"/>
                <w:lang w:val="zh-CN"/>
              </w:rPr>
              <w:t>根据预测结果，单台机械昼间施工噪声在距混凝</w:t>
            </w:r>
            <w:r>
              <w:rPr>
                <w:rFonts w:hint="eastAsia"/>
                <w:color w:val="auto"/>
                <w:lang w:val="en-US" w:eastAsia="zh-CN"/>
              </w:rPr>
              <w:t>土</w:t>
            </w:r>
            <w:bookmarkStart w:id="167" w:name="_GoBack"/>
            <w:bookmarkEnd w:id="167"/>
            <w:r>
              <w:rPr>
                <w:rFonts w:hint="eastAsia"/>
                <w:color w:val="auto"/>
                <w:lang w:val="zh-CN"/>
              </w:rPr>
              <w:t>振捣器50m处、距钻孔机和运输车65m处可满足70dB(A)的要求；夜间达标距离较远，因此禁止夜间施工。</w:t>
            </w:r>
          </w:p>
          <w:p w14:paraId="1794BC1A">
            <w:pPr>
              <w:pStyle w:val="51"/>
              <w:rPr>
                <w:color w:val="auto"/>
                <w:lang w:val="zh-CN"/>
              </w:rPr>
            </w:pPr>
            <w:r>
              <w:rPr>
                <w:rFonts w:hint="eastAsia"/>
                <w:color w:val="auto"/>
                <w:lang w:val="zh-CN"/>
              </w:rPr>
              <w:t>由于本工程塔基距离居民住宅较近，因此，为减小施工对附近居民的影响，施工过程中，在上述主要噪声源设备周围设置隔声屏障，以减小对附近居民的影响。</w:t>
            </w:r>
          </w:p>
          <w:p w14:paraId="4000EC0A">
            <w:pPr>
              <w:pStyle w:val="51"/>
              <w:rPr>
                <w:color w:val="auto"/>
                <w:lang w:val="zh-CN"/>
              </w:rPr>
            </w:pPr>
            <w:r>
              <w:rPr>
                <w:rFonts w:hint="eastAsia"/>
                <w:color w:val="auto"/>
                <w:lang w:val="zh-CN"/>
              </w:rPr>
              <w:t>综上所述，本工程塔基施工阶段，对附近居民会造成一定的噪音影响，但单塔施工时间一般较短，约为6-8天，因此，该影响是短暂的，施工结束立即可得到恢复同时，为尽量较小施工期间对附近居民的影响，建议尽量选用低噪声的液压螺旋钴孔机，在高噪声设备周围设置移动的隔声屏障，以减少施工期间对周围居民的影响，严禁夜间施工。</w:t>
            </w:r>
          </w:p>
          <w:p w14:paraId="7E6C171E">
            <w:pPr>
              <w:pStyle w:val="49"/>
              <w:rPr>
                <w:color w:val="auto"/>
                <w:lang w:val="zh-CN"/>
              </w:rPr>
            </w:pPr>
            <w:r>
              <w:rPr>
                <w:color w:val="auto"/>
              </w:rPr>
              <w:t>3</w:t>
            </w:r>
            <w:r>
              <w:rPr>
                <w:rFonts w:hint="eastAsia"/>
                <w:color w:val="auto"/>
              </w:rPr>
              <w:t>、</w:t>
            </w:r>
            <w:r>
              <w:rPr>
                <w:color w:val="auto"/>
              </w:rPr>
              <w:t>施工扬尘</w:t>
            </w:r>
            <w:r>
              <w:rPr>
                <w:rFonts w:hint="eastAsia"/>
                <w:color w:val="auto"/>
              </w:rPr>
              <w:t>环境影响分析</w:t>
            </w:r>
          </w:p>
          <w:p w14:paraId="13BFD1C9">
            <w:pPr>
              <w:pStyle w:val="70"/>
              <w:rPr>
                <w:color w:val="auto"/>
                <w:lang w:val="zh-CN"/>
              </w:rPr>
            </w:pPr>
            <w:r>
              <w:rPr>
                <w:rFonts w:hint="eastAsia"/>
                <w:color w:val="auto"/>
              </w:rPr>
              <w:t>（1）</w:t>
            </w:r>
            <w:r>
              <w:rPr>
                <w:color w:val="auto"/>
              </w:rPr>
              <w:t>污染源</w:t>
            </w:r>
          </w:p>
          <w:p w14:paraId="40DFD779">
            <w:pPr>
              <w:pStyle w:val="51"/>
              <w:rPr>
                <w:color w:val="auto"/>
              </w:rPr>
            </w:pPr>
            <w:r>
              <w:rPr>
                <w:color w:val="auto"/>
              </w:rPr>
              <w:t>基础开挖和设备运输产生。施工过程中，场地平整、基础开挖及回填时，若土壤含水率较低，空气湿度较小，日照强烈，则在施工过程中会因土壤被扰动而较易产生扬尘；车辆运输土方过程中，若没有防护措施则会导致土方漏洒，晒干后又因车辆的作用和风吹再次扬尘；粉状建筑材料运输、装卸、储存和使用过程也会产生扬尘。</w:t>
            </w:r>
          </w:p>
          <w:p w14:paraId="665A136C">
            <w:pPr>
              <w:pStyle w:val="51"/>
              <w:rPr>
                <w:color w:val="auto"/>
              </w:rPr>
            </w:pPr>
            <w:r>
              <w:rPr>
                <w:color w:val="auto"/>
              </w:rPr>
              <w:t>施工期间，尤其是施工初期，线路塔基开挖都会产生扬尘污染，特别是若遇久旱无雨的大风天气，扬尘污染更为突出。基础开挖、车辆运输等产生的粉尘短期内将使局部区域内空气中的TSP明显增加。</w:t>
            </w:r>
          </w:p>
          <w:p w14:paraId="28A8079A">
            <w:pPr>
              <w:pStyle w:val="70"/>
              <w:rPr>
                <w:color w:val="auto"/>
                <w:lang w:val="zh-CN"/>
              </w:rPr>
            </w:pPr>
            <w:r>
              <w:rPr>
                <w:rFonts w:hint="eastAsia"/>
                <w:color w:val="auto"/>
              </w:rPr>
              <w:t>（2）</w:t>
            </w:r>
            <w:r>
              <w:rPr>
                <w:color w:val="auto"/>
              </w:rPr>
              <w:t>影响分析</w:t>
            </w:r>
          </w:p>
          <w:p w14:paraId="513871F7">
            <w:pPr>
              <w:pStyle w:val="51"/>
              <w:rPr>
                <w:color w:val="auto"/>
                <w:lang w:val="zh-CN"/>
              </w:rPr>
            </w:pPr>
            <w:r>
              <w:rPr>
                <w:color w:val="auto"/>
                <w:lang w:val="zh-CN"/>
              </w:rPr>
              <w:t>输电线路为点位间隔占地的线性工程，各塔基开挖工程量小，点位分散，且单塔施工周期一般在1个月以内、施工作业时间一般在1周以内，施工时间短。故塔基施工对周围环境空气的影响为短暂的（一般在7天以内）和局部的（一般在50m以内），不会对周边环境保护目标构成扬尘污染，并且在施工完成后迅速恢复。</w:t>
            </w:r>
          </w:p>
          <w:p w14:paraId="7D78F475">
            <w:pPr>
              <w:pStyle w:val="51"/>
              <w:rPr>
                <w:color w:val="auto"/>
                <w:lang w:val="zh-CN"/>
              </w:rPr>
            </w:pPr>
            <w:r>
              <w:rPr>
                <w:color w:val="auto"/>
                <w:lang w:val="zh-CN"/>
              </w:rPr>
              <w:t>施工扬尘的产生量与扬尘场地表面积、扬尘含水率、环境风速以及施工作业方式等关系密切。通过采取以上规定的各项覆盖、洒水、设立围墙（围挡）、文明施工等措施，可有效控制扬尘量，将扬尘影响减小至最小程度，不会对周边环境构成污染影响。</w:t>
            </w:r>
          </w:p>
          <w:p w14:paraId="244723A4">
            <w:pPr>
              <w:pStyle w:val="51"/>
              <w:ind w:firstLine="482"/>
              <w:rPr>
                <w:b/>
                <w:color w:val="auto"/>
                <w:lang w:val="zh-CN"/>
              </w:rPr>
            </w:pPr>
            <w:r>
              <w:rPr>
                <w:b/>
                <w:color w:val="auto"/>
              </w:rPr>
              <w:t>4</w:t>
            </w:r>
            <w:r>
              <w:rPr>
                <w:rFonts w:hint="eastAsia"/>
                <w:b/>
                <w:color w:val="auto"/>
              </w:rPr>
              <w:t>、</w:t>
            </w:r>
            <w:r>
              <w:rPr>
                <w:b/>
                <w:color w:val="auto"/>
                <w:lang w:val="zh-CN"/>
              </w:rPr>
              <w:t>施工</w:t>
            </w:r>
            <w:r>
              <w:rPr>
                <w:rFonts w:hint="eastAsia"/>
                <w:b/>
                <w:color w:val="auto"/>
                <w:lang w:val="zh-CN"/>
              </w:rPr>
              <w:t>废水环境影响分析</w:t>
            </w:r>
          </w:p>
          <w:p w14:paraId="582F1D39">
            <w:pPr>
              <w:pStyle w:val="51"/>
              <w:rPr>
                <w:color w:val="auto"/>
              </w:rPr>
            </w:pPr>
            <w:r>
              <w:rPr>
                <w:color w:val="auto"/>
              </w:rPr>
              <w:t>本工程施工期间的主要水污染物为施工人员的生活污水</w:t>
            </w:r>
            <w:r>
              <w:rPr>
                <w:rFonts w:hint="eastAsia"/>
                <w:color w:val="auto"/>
              </w:rPr>
              <w:t>和少量施工废水</w:t>
            </w:r>
            <w:r>
              <w:rPr>
                <w:color w:val="auto"/>
              </w:rPr>
              <w:t>。</w:t>
            </w:r>
          </w:p>
          <w:p w14:paraId="2280FAF6">
            <w:pPr>
              <w:pStyle w:val="51"/>
              <w:rPr>
                <w:color w:val="auto"/>
              </w:rPr>
            </w:pPr>
            <w:r>
              <w:rPr>
                <w:color w:val="auto"/>
              </w:rPr>
              <w:t>施工生活污水主要为施工人员产生的生活污水，产生量与施工人数有关。本工程不设置施工营地，施工期的施工人员统一集中居住在施工点附近村庄租住的民房内，生活污水排入</w:t>
            </w:r>
            <w:r>
              <w:rPr>
                <w:rFonts w:hint="eastAsia"/>
                <w:color w:val="auto"/>
              </w:rPr>
              <w:t>居民</w:t>
            </w:r>
            <w:r>
              <w:rPr>
                <w:color w:val="auto"/>
              </w:rPr>
              <w:t>的化粪池中。</w:t>
            </w:r>
          </w:p>
          <w:p w14:paraId="49286E62">
            <w:pPr>
              <w:pStyle w:val="51"/>
              <w:rPr>
                <w:color w:val="auto"/>
              </w:rPr>
            </w:pPr>
            <w:r>
              <w:rPr>
                <w:rFonts w:hint="eastAsia"/>
                <w:color w:val="auto"/>
              </w:rPr>
              <w:t>升压站及线路施工时，一般采用商品混凝土，施工产生的施工废水较少。其中，升压站工程施工废水主要为施工泥浆水、施工车辆及机械设备冲洗废水等。</w:t>
            </w:r>
          </w:p>
          <w:p w14:paraId="2F1F763A">
            <w:pPr>
              <w:pStyle w:val="51"/>
              <w:rPr>
                <w:color w:val="auto"/>
              </w:rPr>
            </w:pPr>
            <w:r>
              <w:rPr>
                <w:rFonts w:hint="eastAsia"/>
                <w:color w:val="auto"/>
              </w:rPr>
              <w:t>施工废水排入临时隔油池、沉淀池，隔油、去除悬浮物后的废水循环使用不外排，沉渣定期清理。线路工程施工废水主要为杆塔基础等施工时产生的少量泥浆水，经临时沉淀池去除悬浮物后，循环使用不外排，沉渣定期清理。</w:t>
            </w:r>
          </w:p>
          <w:p w14:paraId="650753A1">
            <w:pPr>
              <w:pStyle w:val="51"/>
              <w:ind w:firstLine="482"/>
              <w:rPr>
                <w:b/>
                <w:color w:val="auto"/>
                <w:lang w:val="zh-CN"/>
              </w:rPr>
            </w:pPr>
            <w:r>
              <w:rPr>
                <w:b/>
                <w:color w:val="auto"/>
              </w:rPr>
              <w:t>5</w:t>
            </w:r>
            <w:r>
              <w:rPr>
                <w:rFonts w:hint="eastAsia"/>
                <w:b/>
                <w:color w:val="auto"/>
              </w:rPr>
              <w:t>、施工</w:t>
            </w:r>
            <w:r>
              <w:rPr>
                <w:b/>
                <w:color w:val="auto"/>
                <w:lang w:val="zh-CN"/>
              </w:rPr>
              <w:t>固体废物</w:t>
            </w:r>
            <w:r>
              <w:rPr>
                <w:rFonts w:hint="eastAsia"/>
                <w:b/>
                <w:color w:val="auto"/>
                <w:lang w:val="zh-CN"/>
              </w:rPr>
              <w:t>环境影响分析</w:t>
            </w:r>
          </w:p>
          <w:p w14:paraId="6520290B">
            <w:pPr>
              <w:pStyle w:val="51"/>
              <w:rPr>
                <w:color w:val="auto"/>
              </w:rPr>
            </w:pPr>
            <w:r>
              <w:rPr>
                <w:color w:val="auto"/>
              </w:rPr>
              <w:t>施工固体废物主要包括塔基</w:t>
            </w:r>
            <w:r>
              <w:rPr>
                <w:rFonts w:hint="eastAsia"/>
                <w:color w:val="auto"/>
              </w:rPr>
              <w:t>施工</w:t>
            </w:r>
            <w:r>
              <w:rPr>
                <w:color w:val="auto"/>
              </w:rPr>
              <w:t>的建筑垃圾、施工人员的生活垃圾</w:t>
            </w:r>
            <w:r>
              <w:rPr>
                <w:rFonts w:hint="eastAsia"/>
                <w:color w:val="auto"/>
              </w:rPr>
              <w:t>。</w:t>
            </w:r>
          </w:p>
          <w:p w14:paraId="1DD377DF">
            <w:pPr>
              <w:pStyle w:val="51"/>
              <w:rPr>
                <w:color w:val="auto"/>
              </w:rPr>
            </w:pPr>
            <w:r>
              <w:rPr>
                <w:color w:val="auto"/>
              </w:rPr>
              <w:t>建筑垃圾和生活垃圾应分别堆放，</w:t>
            </w:r>
            <w:r>
              <w:rPr>
                <w:rFonts w:hint="eastAsia"/>
                <w:color w:val="auto"/>
              </w:rPr>
              <w:t>生活垃圾可与当地环卫部门协议，由环卫部门或施工单位送入环卫系统处理，建筑垃圾由施工单位外送至指定处理地点</w:t>
            </w:r>
            <w:r>
              <w:rPr>
                <w:color w:val="auto"/>
              </w:rPr>
              <w:t>。施工时应加强施工管理，可减少对周围环境影响。施工时应加强施工管理，可减少对周围环境影响。</w:t>
            </w:r>
          </w:p>
          <w:p w14:paraId="54AA5690">
            <w:pPr>
              <w:pStyle w:val="51"/>
              <w:rPr>
                <w:color w:val="auto"/>
              </w:rPr>
            </w:pPr>
            <w:r>
              <w:rPr>
                <w:rFonts w:hint="eastAsia"/>
                <w:color w:val="auto"/>
              </w:rPr>
              <w:t>弃土弃渣尽量做到土石方平衡，如若施工过程中出现不平衡的弃土弃渣，对不平衡的弃土弃渣以及其他建筑垃圾及时清运至指定场地。</w:t>
            </w:r>
          </w:p>
          <w:p w14:paraId="25C7C721">
            <w:pPr>
              <w:pStyle w:val="49"/>
              <w:rPr>
                <w:color w:val="auto"/>
              </w:rPr>
            </w:pPr>
            <w:r>
              <w:rPr>
                <w:color w:val="auto"/>
              </w:rPr>
              <w:t>6</w:t>
            </w:r>
            <w:r>
              <w:rPr>
                <w:rFonts w:hint="eastAsia"/>
                <w:color w:val="auto"/>
              </w:rPr>
              <w:t>、</w:t>
            </w:r>
            <w:r>
              <w:rPr>
                <w:color w:val="auto"/>
                <w:lang w:val="zh-CN"/>
              </w:rPr>
              <w:t>施工期环境影响分析小结</w:t>
            </w:r>
          </w:p>
          <w:p w14:paraId="7C2EF747">
            <w:pPr>
              <w:pStyle w:val="51"/>
              <w:rPr>
                <w:color w:val="auto"/>
                <w:kern w:val="0"/>
              </w:rPr>
            </w:pPr>
            <w:r>
              <w:rPr>
                <w:color w:val="auto"/>
              </w:rPr>
              <w:t>综上所述，本工程在施工期的环境影响是短暂的、可逆的，随着施工期的结束而消失。施工单位应严格按照有关规定采取上述措施进行污染防治，并加强监管，使本项目施工对周围环境的影响降低到最小</w:t>
            </w:r>
            <w:r>
              <w:rPr>
                <w:rFonts w:hAnsi="宋体"/>
                <w:color w:val="auto"/>
                <w:kern w:val="0"/>
              </w:rPr>
              <w:t>。</w:t>
            </w:r>
          </w:p>
        </w:tc>
      </w:tr>
      <w:tr w14:paraId="3459E0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98" w:hRule="atLeast"/>
          <w:jc w:val="center"/>
        </w:trPr>
        <w:tc>
          <w:tcPr>
            <w:tcW w:w="485" w:type="pct"/>
            <w:tcMar>
              <w:left w:w="28" w:type="dxa"/>
              <w:right w:w="28" w:type="dxa"/>
            </w:tcMar>
            <w:vAlign w:val="center"/>
          </w:tcPr>
          <w:p w14:paraId="6D07D96E">
            <w:pPr>
              <w:pStyle w:val="23"/>
              <w:adjustRightInd w:val="0"/>
              <w:snapToGrid w:val="0"/>
              <w:spacing w:before="0" w:beforeAutospacing="0" w:after="0" w:afterAutospacing="0"/>
              <w:jc w:val="center"/>
              <w:rPr>
                <w:rFonts w:hint="eastAsia" w:cs="宋体"/>
                <w:b/>
                <w:kern w:val="2"/>
                <w:sz w:val="21"/>
                <w:szCs w:val="21"/>
              </w:rPr>
            </w:pPr>
            <w:r>
              <w:rPr>
                <w:rFonts w:hint="eastAsia" w:cs="宋体"/>
                <w:b/>
                <w:spacing w:val="10"/>
                <w:kern w:val="2"/>
                <w:sz w:val="21"/>
                <w:szCs w:val="21"/>
              </w:rPr>
              <w:t>运营期生态环境影响分析</w:t>
            </w:r>
          </w:p>
        </w:tc>
        <w:tc>
          <w:tcPr>
            <w:tcW w:w="4515" w:type="pct"/>
          </w:tcPr>
          <w:p w14:paraId="612D483F">
            <w:pPr>
              <w:spacing w:line="360" w:lineRule="auto"/>
              <w:rPr>
                <w:b/>
                <w:sz w:val="24"/>
              </w:rPr>
            </w:pPr>
            <w:r>
              <w:rPr>
                <w:rFonts w:hint="eastAsia"/>
                <w:b/>
                <w:sz w:val="24"/>
              </w:rPr>
              <w:t>（三）运营期产污环节分析</w:t>
            </w:r>
          </w:p>
          <w:p w14:paraId="21397952">
            <w:pPr>
              <w:pStyle w:val="49"/>
              <w:rPr>
                <w:color w:val="auto"/>
              </w:rPr>
            </w:pPr>
            <w:r>
              <w:rPr>
                <w:rFonts w:hint="eastAsia"/>
                <w:color w:val="auto"/>
              </w:rPr>
              <w:t>1、电磁环境影响</w:t>
            </w:r>
          </w:p>
          <w:p w14:paraId="34F00FDD">
            <w:pPr>
              <w:pStyle w:val="51"/>
              <w:rPr>
                <w:color w:val="auto"/>
              </w:rPr>
            </w:pPr>
            <w:r>
              <w:rPr>
                <w:rFonts w:hint="eastAsia"/>
                <w:color w:val="auto"/>
              </w:rPr>
              <w:t>升压站运行时，主变、配电装置等带高压的部件，通过电容耦合，在其附近的导电物体上感应出电压和电流而产生静电感应现象。</w:t>
            </w:r>
          </w:p>
          <w:p w14:paraId="789D594A">
            <w:pPr>
              <w:pStyle w:val="51"/>
              <w:rPr>
                <w:color w:val="auto"/>
              </w:rPr>
            </w:pPr>
            <w:r>
              <w:rPr>
                <w:rFonts w:hint="eastAsia"/>
                <w:color w:val="auto"/>
              </w:rPr>
              <w:t>由于导体内部带有负荷而在周围产生电场，导体上有电流通过而产生磁场输电线路运行时，在线路导线周围空间形成了工频电场、工频磁场，对周围环境产生一定的影响。</w:t>
            </w:r>
          </w:p>
          <w:p w14:paraId="47775B14">
            <w:pPr>
              <w:pStyle w:val="49"/>
              <w:rPr>
                <w:color w:val="auto"/>
              </w:rPr>
            </w:pPr>
            <w:r>
              <w:rPr>
                <w:color w:val="auto"/>
              </w:rPr>
              <w:t>2</w:t>
            </w:r>
            <w:r>
              <w:rPr>
                <w:rFonts w:hint="eastAsia"/>
                <w:color w:val="auto"/>
              </w:rPr>
              <w:t>、声环境</w:t>
            </w:r>
          </w:p>
          <w:p w14:paraId="48EDD705">
            <w:pPr>
              <w:pStyle w:val="51"/>
              <w:rPr>
                <w:color w:val="auto"/>
              </w:rPr>
            </w:pPr>
            <w:r>
              <w:rPr>
                <w:rFonts w:hint="eastAsia"/>
                <w:color w:val="auto"/>
              </w:rPr>
              <w:t>输电线路噪声主要是由导线、金具及绝缘子的电晕放电产生。在晴朗干燥天气条件下，导线通常在起晕水平以下运行，很少有电晕放电现象，因而产生的噪声不大。</w:t>
            </w:r>
          </w:p>
          <w:p w14:paraId="675EC2F7">
            <w:pPr>
              <w:pStyle w:val="49"/>
              <w:rPr>
                <w:color w:val="auto"/>
              </w:rPr>
            </w:pPr>
            <w:r>
              <w:rPr>
                <w:color w:val="auto"/>
              </w:rPr>
              <w:t>3</w:t>
            </w:r>
            <w:r>
              <w:rPr>
                <w:rFonts w:hint="eastAsia"/>
                <w:color w:val="auto"/>
              </w:rPr>
              <w:t>、生态环境</w:t>
            </w:r>
          </w:p>
          <w:p w14:paraId="396A6A01">
            <w:pPr>
              <w:pStyle w:val="51"/>
              <w:rPr>
                <w:color w:val="auto"/>
              </w:rPr>
            </w:pPr>
            <w:r>
              <w:rPr>
                <w:rFonts w:hint="eastAsia"/>
                <w:color w:val="auto"/>
              </w:rPr>
              <w:t>运行期间不会排放污染物，输电线路运行产生的工频电场强度、工频磁感应强度和噪声等均符合标准限值要求，对线下的动、植物基本无影响。从已投运工程的调查情况来看，运行线路下方的生态环境与其他区域并没有显著的差异。</w:t>
            </w:r>
          </w:p>
          <w:p w14:paraId="42716DE6">
            <w:pPr>
              <w:pStyle w:val="51"/>
              <w:rPr>
                <w:color w:val="auto"/>
              </w:rPr>
            </w:pPr>
            <w:r>
              <w:rPr>
                <w:rFonts w:hint="eastAsia"/>
                <w:color w:val="auto"/>
              </w:rPr>
              <w:t>因此，本工程运行期不会影响项目周边的自然植被和生态系统，仅线路巡查期间工作人员会对线路沿线植被、动物造成局部扰动，但扰动较轻微很快能自然恢复。</w:t>
            </w:r>
          </w:p>
          <w:p w14:paraId="1491D99D">
            <w:pPr>
              <w:pStyle w:val="49"/>
              <w:rPr>
                <w:color w:val="auto"/>
              </w:rPr>
            </w:pPr>
            <w:r>
              <w:rPr>
                <w:color w:val="auto"/>
              </w:rPr>
              <w:t>4</w:t>
            </w:r>
            <w:r>
              <w:rPr>
                <w:rFonts w:hint="eastAsia"/>
                <w:color w:val="auto"/>
              </w:rPr>
              <w:t>、废水影响</w:t>
            </w:r>
          </w:p>
          <w:p w14:paraId="3A561355">
            <w:pPr>
              <w:pStyle w:val="51"/>
              <w:rPr>
                <w:color w:val="auto"/>
              </w:rPr>
            </w:pPr>
            <w:r>
              <w:rPr>
                <w:rFonts w:hint="eastAsia"/>
                <w:color w:val="auto"/>
              </w:rPr>
              <w:t>本项目输电线路运行期无废污水产生。</w:t>
            </w:r>
          </w:p>
          <w:p w14:paraId="13307FAB">
            <w:pPr>
              <w:pStyle w:val="49"/>
              <w:rPr>
                <w:color w:val="auto"/>
              </w:rPr>
            </w:pPr>
            <w:r>
              <w:rPr>
                <w:color w:val="auto"/>
              </w:rPr>
              <w:t>5</w:t>
            </w:r>
            <w:r>
              <w:rPr>
                <w:rFonts w:hint="eastAsia"/>
                <w:color w:val="auto"/>
              </w:rPr>
              <w:t>、固体废物</w:t>
            </w:r>
          </w:p>
          <w:p w14:paraId="469E8A27">
            <w:pPr>
              <w:pStyle w:val="51"/>
              <w:rPr>
                <w:color w:val="auto"/>
              </w:rPr>
            </w:pPr>
            <w:r>
              <w:rPr>
                <w:rFonts w:hint="eastAsia"/>
                <w:color w:val="auto"/>
              </w:rPr>
              <w:t>本项目输电线路运行期无固体废物产生。</w:t>
            </w:r>
          </w:p>
          <w:p w14:paraId="4B26DB80">
            <w:pPr>
              <w:pStyle w:val="48"/>
              <w:rPr>
                <w:color w:val="auto"/>
              </w:rPr>
            </w:pPr>
            <w:r>
              <w:rPr>
                <w:rFonts w:hint="eastAsia"/>
                <w:color w:val="auto"/>
              </w:rPr>
              <w:t>（四）运营期生态环境影响分析</w:t>
            </w:r>
          </w:p>
          <w:p w14:paraId="2CBF9578">
            <w:pPr>
              <w:pStyle w:val="49"/>
              <w:rPr>
                <w:b w:val="0"/>
                <w:bCs/>
                <w:color w:val="auto"/>
              </w:rPr>
            </w:pPr>
            <w:r>
              <w:rPr>
                <w:color w:val="auto"/>
              </w:rPr>
              <w:t>1</w:t>
            </w:r>
            <w:r>
              <w:rPr>
                <w:rFonts w:hint="eastAsia"/>
                <w:color w:val="auto"/>
              </w:rPr>
              <w:t>、</w:t>
            </w:r>
            <w:r>
              <w:rPr>
                <w:color w:val="auto"/>
              </w:rPr>
              <w:t>声环境影响</w:t>
            </w:r>
            <w:r>
              <w:rPr>
                <w:rFonts w:hint="eastAsia"/>
                <w:color w:val="auto"/>
              </w:rPr>
              <w:t>分析</w:t>
            </w:r>
          </w:p>
          <w:p w14:paraId="4CD5D983">
            <w:pPr>
              <w:pStyle w:val="51"/>
              <w:rPr>
                <w:color w:val="auto"/>
              </w:rPr>
            </w:pPr>
            <w:r>
              <w:rPr>
                <w:rFonts w:hint="eastAsia"/>
                <w:color w:val="auto"/>
              </w:rPr>
              <w:t>（1）架空线路</w:t>
            </w:r>
          </w:p>
          <w:p w14:paraId="430643EA">
            <w:pPr>
              <w:pStyle w:val="51"/>
              <w:rPr>
                <w:color w:val="auto"/>
              </w:rPr>
            </w:pPr>
            <w:r>
              <w:rPr>
                <w:color w:val="auto"/>
              </w:rPr>
              <w:t>线路投入使用后，噪声源主要是</w:t>
            </w:r>
            <w:r>
              <w:rPr>
                <w:rFonts w:hint="eastAsia"/>
                <w:color w:val="auto"/>
              </w:rPr>
              <w:t>220kV</w:t>
            </w:r>
            <w:r>
              <w:rPr>
                <w:color w:val="auto"/>
              </w:rPr>
              <w:t>架空线路高压线的电晕放电而引起的无规则噪声以及输电线路的电荷运动产生的交流声，同时因高空风速大，线路振动发出一些风鸣声。</w:t>
            </w:r>
          </w:p>
          <w:p w14:paraId="6268533A">
            <w:pPr>
              <w:pStyle w:val="51"/>
              <w:rPr>
                <w:color w:val="auto"/>
              </w:rPr>
            </w:pPr>
            <w:r>
              <w:rPr>
                <w:color w:val="auto"/>
              </w:rPr>
              <w:t>运行中的输电线路导线表面附近的空气电离，在所有气候条件下，均会产生电晕。输电线路附近的噪声水平取决于环境噪声水平和导线表面的电场强度（与导线的几何结构和运行电压相关）以及天气情况，在下雨、雾等恶劣气候下，交流线路的电晕活动会显著增加，并由此产生可听噪声。工程设计过程中，可通过提高线路的污秽等级标准，降低烟雾引起的噪声影响；同时设计中要求选择符合国标的高品质导线，防止由于导线缺陷处的空气电离产生的电晕，降低线路运行时产生的可听噪声水平。</w:t>
            </w:r>
          </w:p>
          <w:p w14:paraId="574DD580">
            <w:pPr>
              <w:pStyle w:val="51"/>
              <w:rPr>
                <w:color w:val="auto"/>
              </w:rPr>
            </w:pPr>
            <w:r>
              <w:rPr>
                <w:rFonts w:hint="eastAsia"/>
                <w:color w:val="auto"/>
              </w:rPr>
              <w:t>本项目与220kV澧芦Ⅰ线、220kV澧芦Ⅱ线电压等级、架设形式、环境条件、运行工况、设计线路弧垂最大对地高度一致，因此河北龙源风力发电有限公司普迅220kV输电线路项目噪声监测断面进行类比分析。</w:t>
            </w:r>
          </w:p>
          <w:p w14:paraId="60046BE3">
            <w:pPr>
              <w:pStyle w:val="53"/>
              <w:rPr>
                <w:color w:val="auto"/>
              </w:rPr>
            </w:pPr>
            <w:r>
              <w:rPr>
                <w:rFonts w:hint="eastAsia"/>
                <w:color w:val="auto"/>
              </w:rPr>
              <w:t>表4</w:t>
            </w:r>
            <w:r>
              <w:rPr>
                <w:color w:val="auto"/>
              </w:rPr>
              <w:t xml:space="preserve">-7  </w:t>
            </w:r>
            <w:r>
              <w:rPr>
                <w:rFonts w:hint="eastAsia"/>
                <w:color w:val="auto"/>
              </w:rPr>
              <w:t>本项目输电线路与类比输电线路基本情况</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77"/>
              <w:gridCol w:w="2513"/>
              <w:gridCol w:w="2697"/>
            </w:tblGrid>
            <w:tr w14:paraId="2A0CE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9" w:type="pct"/>
                  <w:vAlign w:val="center"/>
                </w:tcPr>
                <w:p w14:paraId="24ABBBE2">
                  <w:pPr>
                    <w:pStyle w:val="55"/>
                    <w:rPr>
                      <w:color w:val="auto"/>
                    </w:rPr>
                  </w:pPr>
                  <w:r>
                    <w:rPr>
                      <w:rFonts w:hint="eastAsia"/>
                      <w:color w:val="auto"/>
                    </w:rPr>
                    <w:t>线路</w:t>
                  </w:r>
                </w:p>
              </w:tc>
              <w:tc>
                <w:tcPr>
                  <w:tcW w:w="1554" w:type="pct"/>
                  <w:vAlign w:val="center"/>
                </w:tcPr>
                <w:p w14:paraId="6B538D76">
                  <w:pPr>
                    <w:pStyle w:val="55"/>
                    <w:rPr>
                      <w:color w:val="auto"/>
                    </w:rPr>
                  </w:pPr>
                  <w:r>
                    <w:rPr>
                      <w:rFonts w:hint="eastAsia"/>
                      <w:color w:val="auto"/>
                    </w:rPr>
                    <w:t>本工程线路</w:t>
                  </w:r>
                </w:p>
              </w:tc>
              <w:tc>
                <w:tcPr>
                  <w:tcW w:w="1667" w:type="pct"/>
                  <w:vAlign w:val="center"/>
                </w:tcPr>
                <w:p w14:paraId="7F66E931">
                  <w:pPr>
                    <w:pStyle w:val="55"/>
                    <w:rPr>
                      <w:color w:val="auto"/>
                    </w:rPr>
                  </w:pPr>
                  <w:r>
                    <w:rPr>
                      <w:rFonts w:hint="eastAsia"/>
                      <w:color w:val="auto"/>
                    </w:rPr>
                    <w:t>220kV澧芦Ⅰ线、220kV澧芦Ⅱ线</w:t>
                  </w:r>
                </w:p>
              </w:tc>
            </w:tr>
            <w:tr w14:paraId="7ED5F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9" w:type="pct"/>
                  <w:vAlign w:val="center"/>
                </w:tcPr>
                <w:p w14:paraId="4C8A012F">
                  <w:pPr>
                    <w:pStyle w:val="55"/>
                    <w:rPr>
                      <w:color w:val="auto"/>
                    </w:rPr>
                  </w:pPr>
                  <w:r>
                    <w:rPr>
                      <w:rFonts w:hint="eastAsia"/>
                      <w:color w:val="auto"/>
                    </w:rPr>
                    <w:t>架设型式</w:t>
                  </w:r>
                </w:p>
              </w:tc>
              <w:tc>
                <w:tcPr>
                  <w:tcW w:w="1554" w:type="pct"/>
                  <w:vAlign w:val="center"/>
                </w:tcPr>
                <w:p w14:paraId="655C3AA5">
                  <w:pPr>
                    <w:pStyle w:val="55"/>
                    <w:rPr>
                      <w:color w:val="auto"/>
                    </w:rPr>
                  </w:pPr>
                  <w:r>
                    <w:rPr>
                      <w:rFonts w:hint="eastAsia"/>
                      <w:color w:val="auto"/>
                    </w:rPr>
                    <w:t>双回</w:t>
                  </w:r>
                </w:p>
              </w:tc>
              <w:tc>
                <w:tcPr>
                  <w:tcW w:w="1667" w:type="pct"/>
                  <w:vAlign w:val="center"/>
                </w:tcPr>
                <w:p w14:paraId="1E42AC3A">
                  <w:pPr>
                    <w:pStyle w:val="55"/>
                    <w:rPr>
                      <w:color w:val="auto"/>
                    </w:rPr>
                  </w:pPr>
                  <w:r>
                    <w:rPr>
                      <w:rFonts w:hint="eastAsia"/>
                      <w:color w:val="auto"/>
                    </w:rPr>
                    <w:t>双回</w:t>
                  </w:r>
                </w:p>
              </w:tc>
            </w:tr>
            <w:tr w14:paraId="09621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9" w:type="pct"/>
                  <w:vAlign w:val="center"/>
                </w:tcPr>
                <w:p w14:paraId="706CF180">
                  <w:pPr>
                    <w:pStyle w:val="55"/>
                    <w:rPr>
                      <w:color w:val="auto"/>
                    </w:rPr>
                  </w:pPr>
                  <w:r>
                    <w:rPr>
                      <w:rFonts w:hint="eastAsia"/>
                      <w:color w:val="auto"/>
                    </w:rPr>
                    <w:t>电压等级</w:t>
                  </w:r>
                </w:p>
              </w:tc>
              <w:tc>
                <w:tcPr>
                  <w:tcW w:w="1554" w:type="pct"/>
                  <w:vAlign w:val="center"/>
                </w:tcPr>
                <w:p w14:paraId="1E79AA06">
                  <w:pPr>
                    <w:pStyle w:val="55"/>
                    <w:rPr>
                      <w:color w:val="auto"/>
                    </w:rPr>
                  </w:pPr>
                  <w:r>
                    <w:rPr>
                      <w:rFonts w:hint="eastAsia"/>
                      <w:color w:val="auto"/>
                    </w:rPr>
                    <w:t>220kV</w:t>
                  </w:r>
                </w:p>
              </w:tc>
              <w:tc>
                <w:tcPr>
                  <w:tcW w:w="1667" w:type="pct"/>
                  <w:vAlign w:val="center"/>
                </w:tcPr>
                <w:p w14:paraId="3C7C58A9">
                  <w:pPr>
                    <w:pStyle w:val="55"/>
                    <w:rPr>
                      <w:color w:val="auto"/>
                    </w:rPr>
                  </w:pPr>
                  <w:r>
                    <w:rPr>
                      <w:rFonts w:hint="eastAsia"/>
                      <w:color w:val="auto"/>
                    </w:rPr>
                    <w:t>220kV</w:t>
                  </w:r>
                </w:p>
              </w:tc>
            </w:tr>
            <w:tr w14:paraId="5401B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9" w:type="pct"/>
                  <w:vAlign w:val="center"/>
                </w:tcPr>
                <w:p w14:paraId="127B0028">
                  <w:pPr>
                    <w:pStyle w:val="55"/>
                    <w:rPr>
                      <w:color w:val="auto"/>
                    </w:rPr>
                  </w:pPr>
                  <w:r>
                    <w:rPr>
                      <w:rFonts w:hint="eastAsia"/>
                      <w:color w:val="auto"/>
                    </w:rPr>
                    <w:t>分裂形式</w:t>
                  </w:r>
                </w:p>
              </w:tc>
              <w:tc>
                <w:tcPr>
                  <w:tcW w:w="1554" w:type="pct"/>
                  <w:vAlign w:val="center"/>
                </w:tcPr>
                <w:p w14:paraId="13C1BDC6">
                  <w:pPr>
                    <w:pStyle w:val="55"/>
                    <w:rPr>
                      <w:color w:val="auto"/>
                    </w:rPr>
                  </w:pPr>
                  <w:r>
                    <w:rPr>
                      <w:rFonts w:hint="eastAsia"/>
                      <w:color w:val="auto"/>
                    </w:rPr>
                    <w:t>二分裂</w:t>
                  </w:r>
                </w:p>
              </w:tc>
              <w:tc>
                <w:tcPr>
                  <w:tcW w:w="1667" w:type="pct"/>
                  <w:vAlign w:val="center"/>
                </w:tcPr>
                <w:p w14:paraId="0A9A1419">
                  <w:pPr>
                    <w:pStyle w:val="55"/>
                    <w:rPr>
                      <w:color w:val="auto"/>
                    </w:rPr>
                  </w:pPr>
                  <w:r>
                    <w:rPr>
                      <w:rFonts w:hint="eastAsia"/>
                      <w:color w:val="auto"/>
                    </w:rPr>
                    <w:t>二分裂</w:t>
                  </w:r>
                </w:p>
              </w:tc>
            </w:tr>
            <w:tr w14:paraId="0922E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9" w:type="pct"/>
                  <w:vAlign w:val="center"/>
                </w:tcPr>
                <w:p w14:paraId="617A7579">
                  <w:pPr>
                    <w:pStyle w:val="55"/>
                    <w:rPr>
                      <w:color w:val="auto"/>
                    </w:rPr>
                  </w:pPr>
                  <w:r>
                    <w:rPr>
                      <w:rFonts w:hint="eastAsia"/>
                      <w:color w:val="auto"/>
                    </w:rPr>
                    <w:t>环境条件</w:t>
                  </w:r>
                </w:p>
              </w:tc>
              <w:tc>
                <w:tcPr>
                  <w:tcW w:w="1554" w:type="pct"/>
                  <w:vAlign w:val="center"/>
                </w:tcPr>
                <w:p w14:paraId="31F98544">
                  <w:pPr>
                    <w:pStyle w:val="55"/>
                    <w:rPr>
                      <w:color w:val="auto"/>
                    </w:rPr>
                  </w:pPr>
                  <w:r>
                    <w:rPr>
                      <w:rFonts w:hint="eastAsia"/>
                      <w:color w:val="auto"/>
                    </w:rPr>
                    <w:t>平原</w:t>
                  </w:r>
                </w:p>
              </w:tc>
              <w:tc>
                <w:tcPr>
                  <w:tcW w:w="1667" w:type="pct"/>
                  <w:vAlign w:val="center"/>
                </w:tcPr>
                <w:p w14:paraId="4C7A412B">
                  <w:pPr>
                    <w:pStyle w:val="55"/>
                    <w:rPr>
                      <w:color w:val="auto"/>
                    </w:rPr>
                  </w:pPr>
                  <w:r>
                    <w:rPr>
                      <w:rFonts w:hint="eastAsia"/>
                      <w:color w:val="auto"/>
                    </w:rPr>
                    <w:t>平原</w:t>
                  </w:r>
                </w:p>
              </w:tc>
            </w:tr>
            <w:tr w14:paraId="7CBAC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9" w:type="pct"/>
                  <w:vAlign w:val="center"/>
                </w:tcPr>
                <w:p w14:paraId="1A5F7280">
                  <w:pPr>
                    <w:pStyle w:val="55"/>
                    <w:rPr>
                      <w:color w:val="auto"/>
                    </w:rPr>
                  </w:pPr>
                  <w:r>
                    <w:rPr>
                      <w:rFonts w:hint="eastAsia"/>
                      <w:color w:val="auto"/>
                    </w:rPr>
                    <w:t>运行工况</w:t>
                  </w:r>
                </w:p>
              </w:tc>
              <w:tc>
                <w:tcPr>
                  <w:tcW w:w="1554" w:type="pct"/>
                  <w:vAlign w:val="center"/>
                </w:tcPr>
                <w:p w14:paraId="5AB855F1">
                  <w:pPr>
                    <w:pStyle w:val="55"/>
                    <w:rPr>
                      <w:color w:val="auto"/>
                    </w:rPr>
                  </w:pPr>
                  <w:r>
                    <w:rPr>
                      <w:rFonts w:hint="eastAsia"/>
                      <w:color w:val="auto"/>
                    </w:rPr>
                    <w:t>正常</w:t>
                  </w:r>
                </w:p>
              </w:tc>
              <w:tc>
                <w:tcPr>
                  <w:tcW w:w="1667" w:type="pct"/>
                  <w:vAlign w:val="center"/>
                </w:tcPr>
                <w:p w14:paraId="6CC5D64A">
                  <w:pPr>
                    <w:pStyle w:val="55"/>
                    <w:rPr>
                      <w:color w:val="auto"/>
                    </w:rPr>
                  </w:pPr>
                  <w:r>
                    <w:rPr>
                      <w:rFonts w:hint="eastAsia"/>
                      <w:color w:val="auto"/>
                    </w:rPr>
                    <w:t>正常</w:t>
                  </w:r>
                </w:p>
              </w:tc>
            </w:tr>
            <w:tr w14:paraId="5D167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9" w:type="pct"/>
                  <w:vAlign w:val="center"/>
                </w:tcPr>
                <w:p w14:paraId="24D5B29A">
                  <w:pPr>
                    <w:pStyle w:val="55"/>
                    <w:rPr>
                      <w:color w:val="auto"/>
                    </w:rPr>
                  </w:pPr>
                  <w:r>
                    <w:rPr>
                      <w:rFonts w:hint="eastAsia"/>
                      <w:color w:val="auto"/>
                    </w:rPr>
                    <w:t>设计线路弧垂最大对地高度</w:t>
                  </w:r>
                </w:p>
              </w:tc>
              <w:tc>
                <w:tcPr>
                  <w:tcW w:w="1554" w:type="pct"/>
                  <w:vAlign w:val="center"/>
                </w:tcPr>
                <w:p w14:paraId="35318FB1">
                  <w:pPr>
                    <w:pStyle w:val="55"/>
                    <w:rPr>
                      <w:color w:val="auto"/>
                    </w:rPr>
                  </w:pPr>
                  <w:r>
                    <w:rPr>
                      <w:rFonts w:hint="eastAsia"/>
                      <w:color w:val="auto"/>
                    </w:rPr>
                    <w:t>12m</w:t>
                  </w:r>
                </w:p>
              </w:tc>
              <w:tc>
                <w:tcPr>
                  <w:tcW w:w="1667" w:type="pct"/>
                  <w:vAlign w:val="center"/>
                </w:tcPr>
                <w:p w14:paraId="496259A9">
                  <w:pPr>
                    <w:pStyle w:val="55"/>
                    <w:rPr>
                      <w:color w:val="auto"/>
                    </w:rPr>
                  </w:pPr>
                  <w:r>
                    <w:rPr>
                      <w:rFonts w:hint="eastAsia"/>
                      <w:color w:val="auto"/>
                    </w:rPr>
                    <w:t>12m</w:t>
                  </w:r>
                </w:p>
              </w:tc>
            </w:tr>
          </w:tbl>
          <w:p w14:paraId="413364A1">
            <w:pPr>
              <w:pStyle w:val="51"/>
              <w:rPr>
                <w:color w:val="auto"/>
              </w:rPr>
            </w:pPr>
            <w:r>
              <w:rPr>
                <w:rFonts w:hint="eastAsia"/>
                <w:color w:val="auto"/>
              </w:rPr>
              <w:t>根据表4</w:t>
            </w:r>
            <w:r>
              <w:rPr>
                <w:color w:val="auto"/>
              </w:rPr>
              <w:t>-7</w:t>
            </w:r>
            <w:r>
              <w:rPr>
                <w:rFonts w:hint="eastAsia"/>
                <w:color w:val="auto"/>
              </w:rPr>
              <w:t>可知，类比对象的电压等级、架线形式、环境条件、运行工况、线高基本与本项目一致，因此采用220kV澧芦Ⅰ线、220kV澧芦Ⅱ线作为类比对象可行。</w:t>
            </w:r>
          </w:p>
          <w:p w14:paraId="6BA83CF1">
            <w:pPr>
              <w:pStyle w:val="53"/>
              <w:rPr>
                <w:color w:val="auto"/>
              </w:rPr>
            </w:pPr>
            <w:r>
              <w:rPr>
                <w:rFonts w:hint="eastAsia"/>
                <w:color w:val="auto"/>
              </w:rPr>
              <w:t>表4</w:t>
            </w:r>
            <w:r>
              <w:rPr>
                <w:color w:val="auto"/>
              </w:rPr>
              <w:t xml:space="preserve">-8  </w:t>
            </w:r>
            <w:r>
              <w:rPr>
                <w:rFonts w:hint="eastAsia"/>
                <w:color w:val="auto"/>
              </w:rPr>
              <w:t>类比220kV澧芦Ⅰ线、220kV澧芦Ⅱ线噪声环境监测结果</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54"/>
              <w:gridCol w:w="2738"/>
              <w:gridCol w:w="1585"/>
              <w:gridCol w:w="1610"/>
            </w:tblGrid>
            <w:tr w14:paraId="6FC17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5" w:type="pct"/>
                  <w:gridSpan w:val="2"/>
                  <w:vMerge w:val="restart"/>
                  <w:vAlign w:val="center"/>
                </w:tcPr>
                <w:p w14:paraId="3036DC31">
                  <w:pPr>
                    <w:pStyle w:val="55"/>
                    <w:rPr>
                      <w:b/>
                      <w:bCs w:val="0"/>
                      <w:color w:val="auto"/>
                    </w:rPr>
                  </w:pPr>
                  <w:r>
                    <w:rPr>
                      <w:rFonts w:hint="eastAsia"/>
                      <w:b/>
                      <w:bCs w:val="0"/>
                      <w:color w:val="auto"/>
                    </w:rPr>
                    <w:t>测点到线路中心线路投影的距离（m）</w:t>
                  </w:r>
                </w:p>
              </w:tc>
              <w:tc>
                <w:tcPr>
                  <w:tcW w:w="1975" w:type="pct"/>
                  <w:gridSpan w:val="2"/>
                  <w:vAlign w:val="center"/>
                </w:tcPr>
                <w:p w14:paraId="43AA1A58">
                  <w:pPr>
                    <w:pStyle w:val="55"/>
                    <w:rPr>
                      <w:b/>
                      <w:bCs w:val="0"/>
                      <w:color w:val="auto"/>
                    </w:rPr>
                  </w:pPr>
                  <w:r>
                    <w:rPr>
                      <w:rFonts w:hint="eastAsia"/>
                      <w:b/>
                      <w:bCs w:val="0"/>
                      <w:color w:val="auto"/>
                    </w:rPr>
                    <w:t>220kV澧芦Ⅰ线、220kV澧芦Ⅱ线</w:t>
                  </w:r>
                </w:p>
              </w:tc>
            </w:tr>
            <w:tr w14:paraId="35CB9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5" w:type="pct"/>
                  <w:gridSpan w:val="2"/>
                  <w:vMerge w:val="continue"/>
                  <w:vAlign w:val="center"/>
                </w:tcPr>
                <w:p w14:paraId="6B89B373">
                  <w:pPr>
                    <w:pStyle w:val="55"/>
                    <w:rPr>
                      <w:b/>
                      <w:bCs w:val="0"/>
                      <w:color w:val="auto"/>
                    </w:rPr>
                  </w:pPr>
                </w:p>
              </w:tc>
              <w:tc>
                <w:tcPr>
                  <w:tcW w:w="980" w:type="pct"/>
                  <w:vAlign w:val="center"/>
                </w:tcPr>
                <w:p w14:paraId="1CB626F5">
                  <w:pPr>
                    <w:pStyle w:val="55"/>
                    <w:rPr>
                      <w:b/>
                      <w:bCs w:val="0"/>
                      <w:color w:val="auto"/>
                    </w:rPr>
                  </w:pPr>
                  <w:r>
                    <w:rPr>
                      <w:rFonts w:hint="eastAsia"/>
                      <w:b/>
                      <w:bCs w:val="0"/>
                      <w:color w:val="auto"/>
                    </w:rPr>
                    <w:t>昼间dB（A）</w:t>
                  </w:r>
                </w:p>
              </w:tc>
              <w:tc>
                <w:tcPr>
                  <w:tcW w:w="995" w:type="pct"/>
                  <w:vAlign w:val="center"/>
                </w:tcPr>
                <w:p w14:paraId="1301594D">
                  <w:pPr>
                    <w:pStyle w:val="55"/>
                    <w:rPr>
                      <w:b/>
                      <w:bCs w:val="0"/>
                      <w:color w:val="auto"/>
                    </w:rPr>
                  </w:pPr>
                  <w:r>
                    <w:rPr>
                      <w:rFonts w:hint="eastAsia"/>
                      <w:b/>
                      <w:bCs w:val="0"/>
                      <w:color w:val="auto"/>
                    </w:rPr>
                    <w:t>夜间dB（A）</w:t>
                  </w:r>
                </w:p>
              </w:tc>
            </w:tr>
            <w:tr w14:paraId="58880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5" w:type="pct"/>
                  <w:gridSpan w:val="2"/>
                  <w:vAlign w:val="center"/>
                </w:tcPr>
                <w:p w14:paraId="5FBAE08F">
                  <w:pPr>
                    <w:pStyle w:val="55"/>
                    <w:rPr>
                      <w:color w:val="auto"/>
                    </w:rPr>
                  </w:pPr>
                  <w:r>
                    <w:rPr>
                      <w:rFonts w:hint="eastAsia"/>
                      <w:color w:val="auto"/>
                    </w:rPr>
                    <w:t>距线路中心0m</w:t>
                  </w:r>
                </w:p>
              </w:tc>
              <w:tc>
                <w:tcPr>
                  <w:tcW w:w="980" w:type="pct"/>
                  <w:vAlign w:val="center"/>
                </w:tcPr>
                <w:p w14:paraId="1F45A6D1">
                  <w:pPr>
                    <w:pStyle w:val="55"/>
                    <w:rPr>
                      <w:rFonts w:hint="eastAsia"/>
                      <w:color w:val="auto"/>
                    </w:rPr>
                  </w:pPr>
                  <w:r>
                    <w:rPr>
                      <w:rFonts w:hint="eastAsia"/>
                      <w:color w:val="auto"/>
                    </w:rPr>
                    <w:t>44.1</w:t>
                  </w:r>
                </w:p>
              </w:tc>
              <w:tc>
                <w:tcPr>
                  <w:tcW w:w="995" w:type="pct"/>
                  <w:vAlign w:val="center"/>
                </w:tcPr>
                <w:p w14:paraId="4E1D63BC">
                  <w:pPr>
                    <w:pStyle w:val="55"/>
                    <w:rPr>
                      <w:rFonts w:hint="eastAsia"/>
                      <w:color w:val="auto"/>
                    </w:rPr>
                  </w:pPr>
                  <w:r>
                    <w:rPr>
                      <w:rFonts w:hint="eastAsia"/>
                      <w:color w:val="auto"/>
                    </w:rPr>
                    <w:t>42.3</w:t>
                  </w:r>
                </w:p>
              </w:tc>
            </w:tr>
            <w:tr w14:paraId="35DE8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5" w:type="pct"/>
                  <w:gridSpan w:val="2"/>
                  <w:vAlign w:val="center"/>
                </w:tcPr>
                <w:p w14:paraId="763D3FE8">
                  <w:pPr>
                    <w:pStyle w:val="55"/>
                    <w:rPr>
                      <w:color w:val="auto"/>
                    </w:rPr>
                  </w:pPr>
                  <w:r>
                    <w:rPr>
                      <w:rFonts w:hint="eastAsia"/>
                      <w:color w:val="auto"/>
                    </w:rPr>
                    <w:t>距线路中心1m</w:t>
                  </w:r>
                </w:p>
              </w:tc>
              <w:tc>
                <w:tcPr>
                  <w:tcW w:w="980" w:type="pct"/>
                  <w:vAlign w:val="center"/>
                </w:tcPr>
                <w:p w14:paraId="26C9A0D1">
                  <w:pPr>
                    <w:pStyle w:val="55"/>
                    <w:rPr>
                      <w:rFonts w:hint="eastAsia"/>
                      <w:color w:val="auto"/>
                    </w:rPr>
                  </w:pPr>
                  <w:r>
                    <w:rPr>
                      <w:rFonts w:hint="eastAsia"/>
                      <w:color w:val="auto"/>
                    </w:rPr>
                    <w:t>44.3</w:t>
                  </w:r>
                </w:p>
              </w:tc>
              <w:tc>
                <w:tcPr>
                  <w:tcW w:w="995" w:type="pct"/>
                  <w:vAlign w:val="center"/>
                </w:tcPr>
                <w:p w14:paraId="202B3D61">
                  <w:pPr>
                    <w:pStyle w:val="55"/>
                    <w:rPr>
                      <w:rFonts w:hint="eastAsia"/>
                      <w:color w:val="auto"/>
                    </w:rPr>
                  </w:pPr>
                  <w:r>
                    <w:rPr>
                      <w:rFonts w:hint="eastAsia"/>
                      <w:color w:val="auto"/>
                    </w:rPr>
                    <w:t>41.9</w:t>
                  </w:r>
                </w:p>
              </w:tc>
            </w:tr>
            <w:tr w14:paraId="679AD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5" w:type="pct"/>
                  <w:gridSpan w:val="2"/>
                  <w:vAlign w:val="center"/>
                </w:tcPr>
                <w:p w14:paraId="352F52C2">
                  <w:pPr>
                    <w:pStyle w:val="55"/>
                    <w:rPr>
                      <w:color w:val="auto"/>
                    </w:rPr>
                  </w:pPr>
                  <w:r>
                    <w:rPr>
                      <w:rFonts w:hint="eastAsia"/>
                      <w:color w:val="auto"/>
                    </w:rPr>
                    <w:t>距线路中心2m</w:t>
                  </w:r>
                </w:p>
              </w:tc>
              <w:tc>
                <w:tcPr>
                  <w:tcW w:w="980" w:type="pct"/>
                  <w:vAlign w:val="center"/>
                </w:tcPr>
                <w:p w14:paraId="7386AF7F">
                  <w:pPr>
                    <w:pStyle w:val="55"/>
                    <w:rPr>
                      <w:rFonts w:hint="eastAsia"/>
                      <w:color w:val="auto"/>
                    </w:rPr>
                  </w:pPr>
                  <w:r>
                    <w:rPr>
                      <w:rFonts w:hint="eastAsia"/>
                      <w:color w:val="auto"/>
                    </w:rPr>
                    <w:t>43.9</w:t>
                  </w:r>
                </w:p>
              </w:tc>
              <w:tc>
                <w:tcPr>
                  <w:tcW w:w="995" w:type="pct"/>
                  <w:vAlign w:val="center"/>
                </w:tcPr>
                <w:p w14:paraId="11077EDF">
                  <w:pPr>
                    <w:pStyle w:val="55"/>
                    <w:rPr>
                      <w:rFonts w:hint="eastAsia"/>
                      <w:color w:val="auto"/>
                    </w:rPr>
                  </w:pPr>
                  <w:r>
                    <w:rPr>
                      <w:rFonts w:hint="eastAsia"/>
                      <w:color w:val="auto"/>
                    </w:rPr>
                    <w:t>41.6</w:t>
                  </w:r>
                </w:p>
              </w:tc>
            </w:tr>
            <w:tr w14:paraId="72722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5" w:type="pct"/>
                  <w:gridSpan w:val="2"/>
                  <w:vAlign w:val="center"/>
                </w:tcPr>
                <w:p w14:paraId="3AE3709A">
                  <w:pPr>
                    <w:pStyle w:val="55"/>
                    <w:rPr>
                      <w:color w:val="auto"/>
                    </w:rPr>
                  </w:pPr>
                  <w:r>
                    <w:rPr>
                      <w:rFonts w:hint="eastAsia"/>
                      <w:color w:val="auto"/>
                    </w:rPr>
                    <w:t>距线路中心3m</w:t>
                  </w:r>
                </w:p>
              </w:tc>
              <w:tc>
                <w:tcPr>
                  <w:tcW w:w="980" w:type="pct"/>
                  <w:vAlign w:val="center"/>
                </w:tcPr>
                <w:p w14:paraId="42639924">
                  <w:pPr>
                    <w:pStyle w:val="55"/>
                    <w:rPr>
                      <w:rFonts w:hint="eastAsia"/>
                      <w:color w:val="auto"/>
                    </w:rPr>
                  </w:pPr>
                  <w:r>
                    <w:rPr>
                      <w:rFonts w:hint="eastAsia"/>
                      <w:color w:val="auto"/>
                    </w:rPr>
                    <w:t>43.5</w:t>
                  </w:r>
                </w:p>
              </w:tc>
              <w:tc>
                <w:tcPr>
                  <w:tcW w:w="995" w:type="pct"/>
                  <w:vAlign w:val="center"/>
                </w:tcPr>
                <w:p w14:paraId="01F6C1B7">
                  <w:pPr>
                    <w:pStyle w:val="55"/>
                    <w:rPr>
                      <w:rFonts w:hint="eastAsia"/>
                      <w:color w:val="auto"/>
                    </w:rPr>
                  </w:pPr>
                  <w:r>
                    <w:rPr>
                      <w:rFonts w:hint="eastAsia"/>
                      <w:color w:val="auto"/>
                    </w:rPr>
                    <w:t>41.4</w:t>
                  </w:r>
                </w:p>
              </w:tc>
            </w:tr>
            <w:tr w14:paraId="1ADE9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5" w:type="pct"/>
                  <w:gridSpan w:val="2"/>
                  <w:vAlign w:val="center"/>
                </w:tcPr>
                <w:p w14:paraId="2193EBF5">
                  <w:pPr>
                    <w:pStyle w:val="55"/>
                    <w:rPr>
                      <w:color w:val="auto"/>
                    </w:rPr>
                  </w:pPr>
                  <w:r>
                    <w:rPr>
                      <w:rFonts w:hint="eastAsia"/>
                      <w:color w:val="auto"/>
                    </w:rPr>
                    <w:t>距线路中心4m</w:t>
                  </w:r>
                </w:p>
              </w:tc>
              <w:tc>
                <w:tcPr>
                  <w:tcW w:w="980" w:type="pct"/>
                  <w:vAlign w:val="center"/>
                </w:tcPr>
                <w:p w14:paraId="42CFECFF">
                  <w:pPr>
                    <w:pStyle w:val="55"/>
                    <w:rPr>
                      <w:rFonts w:hint="eastAsia"/>
                      <w:color w:val="auto"/>
                    </w:rPr>
                  </w:pPr>
                  <w:r>
                    <w:rPr>
                      <w:rFonts w:hint="eastAsia"/>
                      <w:color w:val="auto"/>
                    </w:rPr>
                    <w:t>43.8</w:t>
                  </w:r>
                </w:p>
              </w:tc>
              <w:tc>
                <w:tcPr>
                  <w:tcW w:w="995" w:type="pct"/>
                  <w:vAlign w:val="center"/>
                </w:tcPr>
                <w:p w14:paraId="3DC3C80E">
                  <w:pPr>
                    <w:pStyle w:val="55"/>
                    <w:rPr>
                      <w:rFonts w:hint="eastAsia"/>
                      <w:color w:val="auto"/>
                    </w:rPr>
                  </w:pPr>
                  <w:r>
                    <w:rPr>
                      <w:rFonts w:hint="eastAsia"/>
                      <w:color w:val="auto"/>
                    </w:rPr>
                    <w:t>41.7</w:t>
                  </w:r>
                </w:p>
              </w:tc>
            </w:tr>
            <w:tr w14:paraId="1B246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5" w:type="pct"/>
                  <w:gridSpan w:val="2"/>
                  <w:vAlign w:val="center"/>
                </w:tcPr>
                <w:p w14:paraId="6951C31D">
                  <w:pPr>
                    <w:pStyle w:val="55"/>
                    <w:rPr>
                      <w:color w:val="auto"/>
                    </w:rPr>
                  </w:pPr>
                  <w:r>
                    <w:rPr>
                      <w:rFonts w:hint="eastAsia"/>
                      <w:color w:val="auto"/>
                    </w:rPr>
                    <w:t>距线路中心5m</w:t>
                  </w:r>
                </w:p>
              </w:tc>
              <w:tc>
                <w:tcPr>
                  <w:tcW w:w="980" w:type="pct"/>
                  <w:vAlign w:val="center"/>
                </w:tcPr>
                <w:p w14:paraId="00B70E06">
                  <w:pPr>
                    <w:pStyle w:val="55"/>
                    <w:rPr>
                      <w:rFonts w:hint="eastAsia"/>
                      <w:color w:val="auto"/>
                    </w:rPr>
                  </w:pPr>
                  <w:r>
                    <w:rPr>
                      <w:rFonts w:hint="eastAsia"/>
                      <w:color w:val="auto"/>
                    </w:rPr>
                    <w:t>43.6</w:t>
                  </w:r>
                </w:p>
              </w:tc>
              <w:tc>
                <w:tcPr>
                  <w:tcW w:w="995" w:type="pct"/>
                  <w:vAlign w:val="center"/>
                </w:tcPr>
                <w:p w14:paraId="09A1B188">
                  <w:pPr>
                    <w:pStyle w:val="55"/>
                    <w:rPr>
                      <w:rFonts w:hint="eastAsia"/>
                      <w:color w:val="auto"/>
                    </w:rPr>
                  </w:pPr>
                  <w:r>
                    <w:rPr>
                      <w:rFonts w:hint="eastAsia"/>
                      <w:color w:val="auto"/>
                    </w:rPr>
                    <w:t>40.9</w:t>
                  </w:r>
                </w:p>
              </w:tc>
            </w:tr>
            <w:tr w14:paraId="5D7B0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5" w:type="pct"/>
                  <w:gridSpan w:val="2"/>
                  <w:vAlign w:val="center"/>
                </w:tcPr>
                <w:p w14:paraId="5FAEE28C">
                  <w:pPr>
                    <w:pStyle w:val="55"/>
                    <w:rPr>
                      <w:color w:val="auto"/>
                    </w:rPr>
                  </w:pPr>
                  <w:r>
                    <w:rPr>
                      <w:rFonts w:hint="eastAsia"/>
                      <w:color w:val="auto"/>
                    </w:rPr>
                    <w:t>距线路中心6m（边导线下）</w:t>
                  </w:r>
                </w:p>
              </w:tc>
              <w:tc>
                <w:tcPr>
                  <w:tcW w:w="980" w:type="pct"/>
                  <w:vAlign w:val="center"/>
                </w:tcPr>
                <w:p w14:paraId="5335FB19">
                  <w:pPr>
                    <w:pStyle w:val="55"/>
                    <w:rPr>
                      <w:rFonts w:hint="eastAsia"/>
                      <w:color w:val="auto"/>
                    </w:rPr>
                  </w:pPr>
                  <w:r>
                    <w:rPr>
                      <w:rFonts w:hint="eastAsia"/>
                      <w:color w:val="auto"/>
                    </w:rPr>
                    <w:t>43.5</w:t>
                  </w:r>
                </w:p>
              </w:tc>
              <w:tc>
                <w:tcPr>
                  <w:tcW w:w="995" w:type="pct"/>
                  <w:vAlign w:val="center"/>
                </w:tcPr>
                <w:p w14:paraId="58EED555">
                  <w:pPr>
                    <w:pStyle w:val="55"/>
                    <w:rPr>
                      <w:rFonts w:hint="eastAsia"/>
                      <w:color w:val="auto"/>
                    </w:rPr>
                  </w:pPr>
                  <w:r>
                    <w:rPr>
                      <w:rFonts w:hint="eastAsia"/>
                      <w:color w:val="auto"/>
                    </w:rPr>
                    <w:t>40.8</w:t>
                  </w:r>
                </w:p>
              </w:tc>
            </w:tr>
            <w:tr w14:paraId="7B252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5" w:type="pct"/>
                  <w:gridSpan w:val="2"/>
                  <w:vAlign w:val="center"/>
                </w:tcPr>
                <w:p w14:paraId="5338CB99">
                  <w:pPr>
                    <w:pStyle w:val="55"/>
                    <w:rPr>
                      <w:color w:val="auto"/>
                    </w:rPr>
                  </w:pPr>
                  <w:r>
                    <w:rPr>
                      <w:rFonts w:hint="eastAsia"/>
                      <w:color w:val="auto"/>
                    </w:rPr>
                    <w:t>距边导线5m</w:t>
                  </w:r>
                </w:p>
              </w:tc>
              <w:tc>
                <w:tcPr>
                  <w:tcW w:w="980" w:type="pct"/>
                  <w:vAlign w:val="center"/>
                </w:tcPr>
                <w:p w14:paraId="44E79781">
                  <w:pPr>
                    <w:pStyle w:val="55"/>
                    <w:rPr>
                      <w:rFonts w:hint="eastAsia"/>
                      <w:color w:val="auto"/>
                    </w:rPr>
                  </w:pPr>
                  <w:r>
                    <w:rPr>
                      <w:rFonts w:hint="eastAsia"/>
                      <w:color w:val="auto"/>
                    </w:rPr>
                    <w:t>43.2</w:t>
                  </w:r>
                </w:p>
              </w:tc>
              <w:tc>
                <w:tcPr>
                  <w:tcW w:w="995" w:type="pct"/>
                  <w:vAlign w:val="center"/>
                </w:tcPr>
                <w:p w14:paraId="03AC116D">
                  <w:pPr>
                    <w:pStyle w:val="55"/>
                    <w:rPr>
                      <w:rFonts w:hint="eastAsia"/>
                      <w:color w:val="auto"/>
                    </w:rPr>
                  </w:pPr>
                  <w:r>
                    <w:rPr>
                      <w:rFonts w:hint="eastAsia"/>
                      <w:color w:val="auto"/>
                    </w:rPr>
                    <w:t>40.6</w:t>
                  </w:r>
                </w:p>
              </w:tc>
            </w:tr>
            <w:tr w14:paraId="083E0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5" w:type="pct"/>
                  <w:gridSpan w:val="2"/>
                  <w:vAlign w:val="center"/>
                </w:tcPr>
                <w:p w14:paraId="5AB2A9F0">
                  <w:pPr>
                    <w:pStyle w:val="55"/>
                    <w:rPr>
                      <w:rFonts w:hint="eastAsia"/>
                      <w:color w:val="auto"/>
                    </w:rPr>
                  </w:pPr>
                  <w:r>
                    <w:rPr>
                      <w:rFonts w:hint="eastAsia"/>
                      <w:color w:val="auto"/>
                    </w:rPr>
                    <w:t>距边导线10m</w:t>
                  </w:r>
                </w:p>
              </w:tc>
              <w:tc>
                <w:tcPr>
                  <w:tcW w:w="980" w:type="pct"/>
                  <w:vAlign w:val="center"/>
                </w:tcPr>
                <w:p w14:paraId="132E5101">
                  <w:pPr>
                    <w:pStyle w:val="55"/>
                    <w:rPr>
                      <w:rFonts w:hint="eastAsia"/>
                      <w:color w:val="auto"/>
                    </w:rPr>
                  </w:pPr>
                  <w:r>
                    <w:rPr>
                      <w:rFonts w:hint="eastAsia"/>
                      <w:color w:val="auto"/>
                    </w:rPr>
                    <w:t>43.7</w:t>
                  </w:r>
                </w:p>
              </w:tc>
              <w:tc>
                <w:tcPr>
                  <w:tcW w:w="995" w:type="pct"/>
                  <w:vAlign w:val="center"/>
                </w:tcPr>
                <w:p w14:paraId="72E64DA8">
                  <w:pPr>
                    <w:pStyle w:val="55"/>
                    <w:rPr>
                      <w:rFonts w:hint="eastAsia"/>
                      <w:color w:val="auto"/>
                    </w:rPr>
                  </w:pPr>
                  <w:r>
                    <w:rPr>
                      <w:rFonts w:hint="eastAsia"/>
                      <w:color w:val="auto"/>
                    </w:rPr>
                    <w:t>40.5</w:t>
                  </w:r>
                </w:p>
              </w:tc>
            </w:tr>
            <w:tr w14:paraId="55598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5" w:type="pct"/>
                  <w:gridSpan w:val="2"/>
                  <w:vAlign w:val="center"/>
                </w:tcPr>
                <w:p w14:paraId="4F5F8ACF">
                  <w:pPr>
                    <w:pStyle w:val="55"/>
                    <w:rPr>
                      <w:color w:val="auto"/>
                    </w:rPr>
                  </w:pPr>
                  <w:r>
                    <w:rPr>
                      <w:rFonts w:hint="eastAsia"/>
                      <w:color w:val="auto"/>
                    </w:rPr>
                    <w:t>距边导线15m</w:t>
                  </w:r>
                </w:p>
              </w:tc>
              <w:tc>
                <w:tcPr>
                  <w:tcW w:w="980" w:type="pct"/>
                  <w:vAlign w:val="center"/>
                </w:tcPr>
                <w:p w14:paraId="1F5CF820">
                  <w:pPr>
                    <w:pStyle w:val="55"/>
                    <w:rPr>
                      <w:rFonts w:hint="eastAsia"/>
                      <w:color w:val="auto"/>
                    </w:rPr>
                  </w:pPr>
                  <w:r>
                    <w:rPr>
                      <w:rFonts w:hint="eastAsia"/>
                      <w:color w:val="auto"/>
                    </w:rPr>
                    <w:t>43.5</w:t>
                  </w:r>
                </w:p>
              </w:tc>
              <w:tc>
                <w:tcPr>
                  <w:tcW w:w="995" w:type="pct"/>
                  <w:vAlign w:val="center"/>
                </w:tcPr>
                <w:p w14:paraId="4CA79DB2">
                  <w:pPr>
                    <w:pStyle w:val="55"/>
                    <w:rPr>
                      <w:rFonts w:hint="eastAsia"/>
                      <w:color w:val="auto"/>
                    </w:rPr>
                  </w:pPr>
                  <w:r>
                    <w:rPr>
                      <w:rFonts w:hint="eastAsia"/>
                      <w:color w:val="auto"/>
                    </w:rPr>
                    <w:t>41.2</w:t>
                  </w:r>
                </w:p>
              </w:tc>
            </w:tr>
            <w:tr w14:paraId="184CE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5" w:type="pct"/>
                  <w:gridSpan w:val="2"/>
                  <w:vAlign w:val="center"/>
                </w:tcPr>
                <w:p w14:paraId="6692C8AA">
                  <w:pPr>
                    <w:pStyle w:val="55"/>
                    <w:rPr>
                      <w:color w:val="auto"/>
                    </w:rPr>
                  </w:pPr>
                  <w:r>
                    <w:rPr>
                      <w:rFonts w:hint="eastAsia"/>
                      <w:color w:val="auto"/>
                    </w:rPr>
                    <w:t>距边导线20m</w:t>
                  </w:r>
                </w:p>
              </w:tc>
              <w:tc>
                <w:tcPr>
                  <w:tcW w:w="980" w:type="pct"/>
                  <w:vAlign w:val="center"/>
                </w:tcPr>
                <w:p w14:paraId="282910F4">
                  <w:pPr>
                    <w:pStyle w:val="55"/>
                    <w:rPr>
                      <w:rFonts w:hint="eastAsia"/>
                      <w:color w:val="auto"/>
                    </w:rPr>
                  </w:pPr>
                  <w:r>
                    <w:rPr>
                      <w:rFonts w:hint="eastAsia"/>
                      <w:color w:val="auto"/>
                    </w:rPr>
                    <w:t>44.3</w:t>
                  </w:r>
                </w:p>
              </w:tc>
              <w:tc>
                <w:tcPr>
                  <w:tcW w:w="995" w:type="pct"/>
                  <w:vAlign w:val="center"/>
                </w:tcPr>
                <w:p w14:paraId="4A7C2965">
                  <w:pPr>
                    <w:pStyle w:val="55"/>
                    <w:rPr>
                      <w:rFonts w:hint="eastAsia"/>
                      <w:color w:val="auto"/>
                    </w:rPr>
                  </w:pPr>
                  <w:r>
                    <w:rPr>
                      <w:rFonts w:hint="eastAsia"/>
                      <w:color w:val="auto"/>
                    </w:rPr>
                    <w:t>41.6</w:t>
                  </w:r>
                </w:p>
              </w:tc>
            </w:tr>
            <w:tr w14:paraId="797AC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5" w:type="pct"/>
                  <w:gridSpan w:val="2"/>
                  <w:vAlign w:val="center"/>
                </w:tcPr>
                <w:p w14:paraId="47AE46B3">
                  <w:pPr>
                    <w:pStyle w:val="55"/>
                    <w:rPr>
                      <w:rFonts w:hint="eastAsia"/>
                      <w:color w:val="auto"/>
                    </w:rPr>
                  </w:pPr>
                  <w:r>
                    <w:rPr>
                      <w:rFonts w:hint="eastAsia"/>
                      <w:color w:val="auto"/>
                    </w:rPr>
                    <w:t>距边导线25m</w:t>
                  </w:r>
                </w:p>
              </w:tc>
              <w:tc>
                <w:tcPr>
                  <w:tcW w:w="980" w:type="pct"/>
                  <w:vAlign w:val="center"/>
                </w:tcPr>
                <w:p w14:paraId="03DB19D2">
                  <w:pPr>
                    <w:pStyle w:val="55"/>
                    <w:rPr>
                      <w:rFonts w:hint="eastAsia"/>
                      <w:color w:val="auto"/>
                    </w:rPr>
                  </w:pPr>
                  <w:r>
                    <w:rPr>
                      <w:rFonts w:hint="eastAsia"/>
                      <w:color w:val="auto"/>
                    </w:rPr>
                    <w:t>44.6</w:t>
                  </w:r>
                </w:p>
              </w:tc>
              <w:tc>
                <w:tcPr>
                  <w:tcW w:w="995" w:type="pct"/>
                  <w:vAlign w:val="center"/>
                </w:tcPr>
                <w:p w14:paraId="077A4A22">
                  <w:pPr>
                    <w:pStyle w:val="55"/>
                    <w:rPr>
                      <w:rFonts w:hint="eastAsia"/>
                      <w:color w:val="auto"/>
                    </w:rPr>
                  </w:pPr>
                  <w:r>
                    <w:rPr>
                      <w:rFonts w:hint="eastAsia"/>
                      <w:color w:val="auto"/>
                    </w:rPr>
                    <w:t>42.3</w:t>
                  </w:r>
                </w:p>
              </w:tc>
            </w:tr>
            <w:tr w14:paraId="08F2E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5" w:type="pct"/>
                  <w:gridSpan w:val="2"/>
                  <w:vAlign w:val="center"/>
                </w:tcPr>
                <w:p w14:paraId="10D0396B">
                  <w:pPr>
                    <w:pStyle w:val="55"/>
                    <w:rPr>
                      <w:rFonts w:hint="eastAsia"/>
                      <w:color w:val="auto"/>
                    </w:rPr>
                  </w:pPr>
                  <w:r>
                    <w:rPr>
                      <w:rFonts w:hint="eastAsia"/>
                      <w:color w:val="auto"/>
                    </w:rPr>
                    <w:t>距边导线30m</w:t>
                  </w:r>
                </w:p>
              </w:tc>
              <w:tc>
                <w:tcPr>
                  <w:tcW w:w="980" w:type="pct"/>
                  <w:vAlign w:val="center"/>
                </w:tcPr>
                <w:p w14:paraId="1F3778FF">
                  <w:pPr>
                    <w:pStyle w:val="55"/>
                    <w:rPr>
                      <w:rFonts w:hint="eastAsia"/>
                      <w:color w:val="auto"/>
                    </w:rPr>
                  </w:pPr>
                  <w:r>
                    <w:rPr>
                      <w:rFonts w:hint="eastAsia"/>
                      <w:color w:val="auto"/>
                    </w:rPr>
                    <w:t>44.5</w:t>
                  </w:r>
                </w:p>
              </w:tc>
              <w:tc>
                <w:tcPr>
                  <w:tcW w:w="995" w:type="pct"/>
                  <w:vAlign w:val="center"/>
                </w:tcPr>
                <w:p w14:paraId="2E297ED1">
                  <w:pPr>
                    <w:pStyle w:val="55"/>
                    <w:rPr>
                      <w:rFonts w:hint="eastAsia"/>
                      <w:color w:val="auto"/>
                    </w:rPr>
                  </w:pPr>
                  <w:r>
                    <w:rPr>
                      <w:rFonts w:hint="eastAsia"/>
                      <w:color w:val="auto"/>
                    </w:rPr>
                    <w:t>41.9</w:t>
                  </w:r>
                </w:p>
              </w:tc>
            </w:tr>
            <w:tr w14:paraId="0B0E7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5" w:type="pct"/>
                  <w:gridSpan w:val="2"/>
                  <w:vAlign w:val="center"/>
                </w:tcPr>
                <w:p w14:paraId="707935F7">
                  <w:pPr>
                    <w:pStyle w:val="55"/>
                    <w:rPr>
                      <w:rFonts w:hint="eastAsia"/>
                      <w:color w:val="auto"/>
                    </w:rPr>
                  </w:pPr>
                  <w:r>
                    <w:rPr>
                      <w:rFonts w:hint="eastAsia"/>
                      <w:color w:val="auto"/>
                    </w:rPr>
                    <w:t>距边导线35m</w:t>
                  </w:r>
                </w:p>
              </w:tc>
              <w:tc>
                <w:tcPr>
                  <w:tcW w:w="980" w:type="pct"/>
                  <w:vAlign w:val="center"/>
                </w:tcPr>
                <w:p w14:paraId="75184647">
                  <w:pPr>
                    <w:pStyle w:val="55"/>
                    <w:rPr>
                      <w:rFonts w:hint="eastAsia"/>
                      <w:color w:val="auto"/>
                    </w:rPr>
                  </w:pPr>
                  <w:r>
                    <w:rPr>
                      <w:rFonts w:hint="eastAsia"/>
                      <w:color w:val="auto"/>
                    </w:rPr>
                    <w:t>44.2</w:t>
                  </w:r>
                </w:p>
              </w:tc>
              <w:tc>
                <w:tcPr>
                  <w:tcW w:w="995" w:type="pct"/>
                  <w:vAlign w:val="center"/>
                </w:tcPr>
                <w:p w14:paraId="3F4D143E">
                  <w:pPr>
                    <w:pStyle w:val="55"/>
                    <w:rPr>
                      <w:rFonts w:hint="eastAsia"/>
                      <w:color w:val="auto"/>
                    </w:rPr>
                  </w:pPr>
                  <w:r>
                    <w:rPr>
                      <w:rFonts w:hint="eastAsia"/>
                      <w:color w:val="auto"/>
                    </w:rPr>
                    <w:t>41.4</w:t>
                  </w:r>
                </w:p>
              </w:tc>
            </w:tr>
            <w:tr w14:paraId="0D4BD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5" w:type="pct"/>
                  <w:gridSpan w:val="2"/>
                  <w:vAlign w:val="center"/>
                </w:tcPr>
                <w:p w14:paraId="0DDB90A5">
                  <w:pPr>
                    <w:pStyle w:val="55"/>
                    <w:rPr>
                      <w:rFonts w:hint="eastAsia"/>
                      <w:color w:val="auto"/>
                    </w:rPr>
                  </w:pPr>
                  <w:r>
                    <w:rPr>
                      <w:rFonts w:hint="eastAsia"/>
                      <w:color w:val="auto"/>
                    </w:rPr>
                    <w:t>距边导线40m</w:t>
                  </w:r>
                </w:p>
              </w:tc>
              <w:tc>
                <w:tcPr>
                  <w:tcW w:w="980" w:type="pct"/>
                  <w:vAlign w:val="center"/>
                </w:tcPr>
                <w:p w14:paraId="3B48C1B0">
                  <w:pPr>
                    <w:pStyle w:val="55"/>
                    <w:rPr>
                      <w:rFonts w:hint="eastAsia"/>
                      <w:color w:val="auto"/>
                    </w:rPr>
                  </w:pPr>
                  <w:r>
                    <w:rPr>
                      <w:rFonts w:hint="eastAsia"/>
                      <w:color w:val="auto"/>
                    </w:rPr>
                    <w:t>43.8</w:t>
                  </w:r>
                </w:p>
              </w:tc>
              <w:tc>
                <w:tcPr>
                  <w:tcW w:w="995" w:type="pct"/>
                  <w:vAlign w:val="center"/>
                </w:tcPr>
                <w:p w14:paraId="713B5C2B">
                  <w:pPr>
                    <w:pStyle w:val="55"/>
                    <w:rPr>
                      <w:rFonts w:hint="eastAsia"/>
                      <w:color w:val="auto"/>
                    </w:rPr>
                  </w:pPr>
                  <w:r>
                    <w:rPr>
                      <w:rFonts w:hint="eastAsia"/>
                      <w:color w:val="auto"/>
                    </w:rPr>
                    <w:t>41.5</w:t>
                  </w:r>
                </w:p>
              </w:tc>
            </w:tr>
            <w:tr w14:paraId="1FC41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vAlign w:val="center"/>
                </w:tcPr>
                <w:p w14:paraId="2B9C21A9">
                  <w:pPr>
                    <w:pStyle w:val="55"/>
                    <w:rPr>
                      <w:color w:val="auto"/>
                    </w:rPr>
                  </w:pPr>
                  <w:r>
                    <w:rPr>
                      <w:rFonts w:hint="eastAsia"/>
                      <w:color w:val="auto"/>
                    </w:rPr>
                    <w:t>220kV澧芦Ⅰ线、220kV澧芦Ⅱ线#88~#89 杆塔间声环境敏感目标</w:t>
                  </w:r>
                </w:p>
              </w:tc>
            </w:tr>
            <w:tr w14:paraId="01D92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2" w:type="pct"/>
                  <w:vMerge w:val="restart"/>
                  <w:vAlign w:val="center"/>
                </w:tcPr>
                <w:p w14:paraId="33E295F4">
                  <w:pPr>
                    <w:pStyle w:val="55"/>
                    <w:rPr>
                      <w:rFonts w:hint="eastAsia"/>
                      <w:color w:val="auto"/>
                    </w:rPr>
                  </w:pPr>
                  <w:r>
                    <w:rPr>
                      <w:rFonts w:hint="eastAsia"/>
                      <w:color w:val="auto"/>
                    </w:rPr>
                    <w:t>常德市澧县澧浦街道办事处十回港村</w:t>
                  </w:r>
                </w:p>
              </w:tc>
              <w:tc>
                <w:tcPr>
                  <w:tcW w:w="1693" w:type="pct"/>
                  <w:vAlign w:val="center"/>
                </w:tcPr>
                <w:p w14:paraId="557F1925">
                  <w:pPr>
                    <w:pStyle w:val="55"/>
                    <w:rPr>
                      <w:rFonts w:hint="eastAsia"/>
                      <w:color w:val="auto"/>
                    </w:rPr>
                  </w:pPr>
                  <w:r>
                    <w:rPr>
                      <w:rFonts w:hint="eastAsia"/>
                      <w:color w:val="auto"/>
                    </w:rPr>
                    <w:t>二十六组(1)</w:t>
                  </w:r>
                  <w:r>
                    <w:rPr>
                      <w:rFonts w:hint="eastAsia"/>
                    </w:rPr>
                    <w:t xml:space="preserve"> </w:t>
                  </w:r>
                  <w:r>
                    <w:rPr>
                      <w:rFonts w:hint="eastAsia"/>
                      <w:color w:val="auto"/>
                    </w:rPr>
                    <w:t>民房a北侧</w:t>
                  </w:r>
                </w:p>
              </w:tc>
              <w:tc>
                <w:tcPr>
                  <w:tcW w:w="980" w:type="pct"/>
                  <w:vAlign w:val="center"/>
                </w:tcPr>
                <w:p w14:paraId="07F470C5">
                  <w:pPr>
                    <w:pStyle w:val="55"/>
                    <w:rPr>
                      <w:rFonts w:hint="eastAsia"/>
                      <w:color w:val="auto"/>
                    </w:rPr>
                  </w:pPr>
                  <w:r>
                    <w:rPr>
                      <w:rFonts w:hint="eastAsia"/>
                      <w:color w:val="auto"/>
                    </w:rPr>
                    <w:t>43.6</w:t>
                  </w:r>
                </w:p>
              </w:tc>
              <w:tc>
                <w:tcPr>
                  <w:tcW w:w="995" w:type="pct"/>
                  <w:vAlign w:val="center"/>
                </w:tcPr>
                <w:p w14:paraId="4796DE41">
                  <w:pPr>
                    <w:pStyle w:val="55"/>
                    <w:rPr>
                      <w:rFonts w:hint="eastAsia"/>
                      <w:color w:val="auto"/>
                    </w:rPr>
                  </w:pPr>
                  <w:r>
                    <w:rPr>
                      <w:rFonts w:hint="eastAsia"/>
                      <w:color w:val="auto"/>
                    </w:rPr>
                    <w:t>41.2</w:t>
                  </w:r>
                </w:p>
              </w:tc>
            </w:tr>
            <w:tr w14:paraId="0EF7E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2" w:type="pct"/>
                  <w:vMerge w:val="continue"/>
                  <w:vAlign w:val="center"/>
                </w:tcPr>
                <w:p w14:paraId="13090C93">
                  <w:pPr>
                    <w:pStyle w:val="55"/>
                    <w:rPr>
                      <w:rFonts w:hint="eastAsia"/>
                      <w:color w:val="auto"/>
                    </w:rPr>
                  </w:pPr>
                </w:p>
              </w:tc>
              <w:tc>
                <w:tcPr>
                  <w:tcW w:w="1693" w:type="pct"/>
                  <w:vAlign w:val="center"/>
                </w:tcPr>
                <w:p w14:paraId="719C41F1">
                  <w:pPr>
                    <w:pStyle w:val="55"/>
                    <w:rPr>
                      <w:rFonts w:hint="eastAsia"/>
                      <w:color w:val="auto"/>
                    </w:rPr>
                  </w:pPr>
                  <w:r>
                    <w:rPr>
                      <w:rFonts w:hint="eastAsia"/>
                      <w:color w:val="auto"/>
                    </w:rPr>
                    <w:t>二十六组(2) 民房b南侧</w:t>
                  </w:r>
                </w:p>
              </w:tc>
              <w:tc>
                <w:tcPr>
                  <w:tcW w:w="980" w:type="pct"/>
                  <w:vAlign w:val="center"/>
                </w:tcPr>
                <w:p w14:paraId="129ABF54">
                  <w:pPr>
                    <w:pStyle w:val="55"/>
                    <w:rPr>
                      <w:rFonts w:hint="eastAsia"/>
                      <w:color w:val="auto"/>
                    </w:rPr>
                  </w:pPr>
                  <w:r>
                    <w:rPr>
                      <w:rFonts w:hint="eastAsia"/>
                      <w:color w:val="auto"/>
                    </w:rPr>
                    <w:t>44.3</w:t>
                  </w:r>
                </w:p>
              </w:tc>
              <w:tc>
                <w:tcPr>
                  <w:tcW w:w="995" w:type="pct"/>
                  <w:vAlign w:val="center"/>
                </w:tcPr>
                <w:p w14:paraId="55AAA7E5">
                  <w:pPr>
                    <w:pStyle w:val="55"/>
                    <w:rPr>
                      <w:rFonts w:hint="eastAsia"/>
                      <w:color w:val="auto"/>
                    </w:rPr>
                  </w:pPr>
                  <w:r>
                    <w:rPr>
                      <w:rFonts w:hint="eastAsia"/>
                      <w:color w:val="auto"/>
                    </w:rPr>
                    <w:t>41.9</w:t>
                  </w:r>
                </w:p>
              </w:tc>
            </w:tr>
          </w:tbl>
          <w:p w14:paraId="18E7B9FD">
            <w:pPr>
              <w:pStyle w:val="51"/>
              <w:rPr>
                <w:color w:val="auto"/>
              </w:rPr>
            </w:pPr>
            <w:r>
              <w:rPr>
                <w:rFonts w:hint="eastAsia"/>
                <w:color w:val="auto"/>
              </w:rPr>
              <w:t>由类比监测结果可知，运行状态下220kV双回线路弧垂中心下方离地面1.2m高度处断面噪声均满足《声环境质量标准》（GB3096-2008）中1类标准（昼间55dB（A）、夜间45dB（A）），且断面变化趋势不明显，说明输电线路的运行噪声对周围声环境背景值造成的影响较小。</w:t>
            </w:r>
          </w:p>
          <w:p w14:paraId="0CD6D636">
            <w:pPr>
              <w:pStyle w:val="49"/>
              <w:rPr>
                <w:color w:val="auto"/>
              </w:rPr>
            </w:pPr>
            <w:r>
              <w:rPr>
                <w:color w:val="auto"/>
                <w:kern w:val="0"/>
                <w:lang w:val="zh-CN"/>
              </w:rPr>
              <w:t>2</w:t>
            </w:r>
            <w:r>
              <w:rPr>
                <w:rFonts w:hint="eastAsia"/>
                <w:color w:val="auto"/>
              </w:rPr>
              <w:t>、</w:t>
            </w:r>
            <w:r>
              <w:rPr>
                <w:color w:val="auto"/>
              </w:rPr>
              <w:t>电磁场影响</w:t>
            </w:r>
            <w:r>
              <w:rPr>
                <w:rFonts w:hint="eastAsia"/>
                <w:color w:val="auto"/>
              </w:rPr>
              <w:t>分析</w:t>
            </w:r>
          </w:p>
          <w:p w14:paraId="28E48B0B">
            <w:pPr>
              <w:pStyle w:val="51"/>
              <w:ind w:firstLine="482"/>
              <w:rPr>
                <w:b/>
                <w:bCs/>
                <w:color w:val="auto"/>
                <w:lang w:val="zh-CN"/>
              </w:rPr>
            </w:pPr>
            <w:r>
              <w:rPr>
                <w:rFonts w:hint="eastAsia"/>
                <w:b/>
                <w:bCs/>
                <w:color w:val="auto"/>
                <w:lang w:val="zh-CN"/>
              </w:rPr>
              <w:t>根据电磁环境影响评价专题报告：</w:t>
            </w:r>
          </w:p>
          <w:p w14:paraId="62B6EC07">
            <w:pPr>
              <w:pStyle w:val="51"/>
              <w:ind w:firstLine="482"/>
              <w:rPr>
                <w:b/>
                <w:bCs/>
                <w:color w:val="auto"/>
                <w:szCs w:val="18"/>
              </w:rPr>
            </w:pPr>
            <w:r>
              <w:rPr>
                <w:rFonts w:hint="eastAsia"/>
                <w:b/>
                <w:bCs/>
                <w:color w:val="auto"/>
              </w:rPr>
              <w:t>升压站类比预测结论：</w:t>
            </w:r>
          </w:p>
          <w:p w14:paraId="1E89A9E1">
            <w:pPr>
              <w:pStyle w:val="51"/>
              <w:rPr>
                <w:color w:val="auto"/>
              </w:rPr>
            </w:pPr>
            <w:r>
              <w:rPr>
                <w:rFonts w:hint="eastAsia"/>
                <w:color w:val="auto"/>
              </w:rPr>
              <w:t>通过对已运行220kV升压站的类比监测结果，可以预测本工程新建220kV升压站运行后产生的工频电场强度小于居民区</w:t>
            </w:r>
            <w:r>
              <w:rPr>
                <w:color w:val="auto"/>
              </w:rPr>
              <w:t>4000V/m</w:t>
            </w:r>
            <w:r>
              <w:rPr>
                <w:rFonts w:hint="eastAsia"/>
                <w:color w:val="auto"/>
              </w:rPr>
              <w:t>、工频磁感应强度小于</w:t>
            </w:r>
            <w:r>
              <w:rPr>
                <w:color w:val="auto"/>
              </w:rPr>
              <w:t>100μT</w:t>
            </w:r>
            <w:r>
              <w:rPr>
                <w:rFonts w:hint="eastAsia"/>
                <w:color w:val="auto"/>
              </w:rPr>
              <w:t>的评价标准要求。</w:t>
            </w:r>
          </w:p>
          <w:p w14:paraId="2246CE58">
            <w:pPr>
              <w:pStyle w:val="51"/>
              <w:ind w:firstLine="482"/>
              <w:rPr>
                <w:b/>
                <w:bCs/>
                <w:color w:val="auto"/>
              </w:rPr>
            </w:pPr>
            <w:r>
              <w:rPr>
                <w:rFonts w:hint="eastAsia"/>
                <w:b/>
                <w:bCs/>
                <w:color w:val="auto"/>
              </w:rPr>
              <w:t>220kV架空线路计算结果结论：</w:t>
            </w:r>
          </w:p>
          <w:p w14:paraId="1166C2E3">
            <w:pPr>
              <w:pStyle w:val="51"/>
              <w:numPr>
                <w:ilvl w:val="0"/>
                <w:numId w:val="1"/>
              </w:numPr>
              <w:ind w:firstLineChars="0"/>
              <w:rPr>
                <w:b/>
                <w:bCs/>
                <w:color w:val="auto"/>
              </w:rPr>
            </w:pPr>
            <w:r>
              <w:rPr>
                <w:rFonts w:hint="eastAsia"/>
                <w:b/>
                <w:bCs/>
                <w:color w:val="auto"/>
              </w:rPr>
              <w:t>线路经过非居民区，本工程输电线路导线对地最小距离6.5</w:t>
            </w:r>
            <w:r>
              <w:rPr>
                <w:b/>
                <w:bCs/>
                <w:color w:val="auto"/>
              </w:rPr>
              <w:t>m</w:t>
            </w:r>
            <w:r>
              <w:rPr>
                <w:rFonts w:hint="eastAsia"/>
                <w:b/>
                <w:bCs/>
                <w:color w:val="auto"/>
              </w:rPr>
              <w:t>时：</w:t>
            </w:r>
          </w:p>
          <w:p w14:paraId="2E4F4BCB">
            <w:pPr>
              <w:pStyle w:val="51"/>
              <w:rPr>
                <w:color w:val="auto"/>
              </w:rPr>
            </w:pPr>
            <w:r>
              <w:rPr>
                <w:rFonts w:hint="eastAsia"/>
                <w:color w:val="auto"/>
              </w:rPr>
              <w:t>距离地面</w:t>
            </w:r>
            <w:r>
              <w:rPr>
                <w:color w:val="auto"/>
              </w:rPr>
              <w:t>1.5m</w:t>
            </w:r>
            <w:r>
              <w:rPr>
                <w:rFonts w:hint="eastAsia"/>
                <w:color w:val="auto"/>
              </w:rPr>
              <w:t>高度处的工频电场强度最大值为</w:t>
            </w:r>
            <w:r>
              <w:rPr>
                <w:color w:val="auto"/>
              </w:rPr>
              <w:t>2796V/m</w:t>
            </w:r>
            <w:r>
              <w:rPr>
                <w:rFonts w:hint="eastAsia"/>
                <w:color w:val="auto"/>
              </w:rPr>
              <w:t>，出现在距线路中心线</w:t>
            </w:r>
            <w:r>
              <w:rPr>
                <w:color w:val="auto"/>
              </w:rPr>
              <w:t>5m</w:t>
            </w:r>
            <w:r>
              <w:rPr>
                <w:rFonts w:hint="eastAsia"/>
                <w:color w:val="auto"/>
              </w:rPr>
              <w:t>处，分别满足《电磁环境控制限值》（</w:t>
            </w:r>
            <w:r>
              <w:rPr>
                <w:color w:val="auto"/>
              </w:rPr>
              <w:t>GB8702-2014</w:t>
            </w:r>
            <w:r>
              <w:rPr>
                <w:rFonts w:hint="eastAsia"/>
                <w:color w:val="auto"/>
              </w:rPr>
              <w:t>）</w:t>
            </w:r>
            <w:r>
              <w:rPr>
                <w:color w:val="auto"/>
              </w:rPr>
              <w:t>50Hz</w:t>
            </w:r>
            <w:r>
              <w:rPr>
                <w:rFonts w:hint="eastAsia"/>
                <w:color w:val="auto"/>
              </w:rPr>
              <w:t>频率下公众曝露控制限值</w:t>
            </w:r>
            <w:r>
              <w:rPr>
                <w:color w:val="auto"/>
              </w:rPr>
              <w:t>4000V/m</w:t>
            </w:r>
            <w:r>
              <w:rPr>
                <w:rFonts w:hint="eastAsia"/>
                <w:color w:val="auto"/>
              </w:rPr>
              <w:t>和架空输电线路线下的耕地、园地、牧草地、畜禽饲养地、养殖水面、道路等场所电场强度控制限值</w:t>
            </w:r>
            <w:r>
              <w:rPr>
                <w:color w:val="auto"/>
              </w:rPr>
              <w:t>10kV/m</w:t>
            </w:r>
            <w:r>
              <w:rPr>
                <w:rFonts w:hint="eastAsia"/>
                <w:color w:val="auto"/>
              </w:rPr>
              <w:t>的要求；</w:t>
            </w:r>
          </w:p>
          <w:p w14:paraId="331B6F9B">
            <w:pPr>
              <w:pStyle w:val="51"/>
              <w:rPr>
                <w:color w:val="auto"/>
              </w:rPr>
            </w:pPr>
            <w:r>
              <w:rPr>
                <w:rFonts w:hint="eastAsia"/>
                <w:color w:val="auto"/>
              </w:rPr>
              <w:t>距离地面</w:t>
            </w:r>
            <w:r>
              <w:rPr>
                <w:color w:val="auto"/>
              </w:rPr>
              <w:t>1.5m</w:t>
            </w:r>
            <w:r>
              <w:rPr>
                <w:rFonts w:hint="eastAsia"/>
                <w:color w:val="auto"/>
              </w:rPr>
              <w:t>高度处的工频磁感应强度最大值为</w:t>
            </w:r>
            <w:r>
              <w:rPr>
                <w:color w:val="auto"/>
              </w:rPr>
              <w:t>19.820μT</w:t>
            </w:r>
            <w:r>
              <w:rPr>
                <w:rFonts w:hint="eastAsia"/>
                <w:color w:val="auto"/>
              </w:rPr>
              <w:t>，出现在距线路中心线</w:t>
            </w:r>
            <w:r>
              <w:rPr>
                <w:color w:val="auto"/>
              </w:rPr>
              <w:t>5m</w:t>
            </w:r>
            <w:r>
              <w:rPr>
                <w:rFonts w:hint="eastAsia"/>
                <w:color w:val="auto"/>
              </w:rPr>
              <w:t>处，满足《电磁环境控制限值》（</w:t>
            </w:r>
            <w:r>
              <w:rPr>
                <w:color w:val="auto"/>
              </w:rPr>
              <w:t>GB8702-2014</w:t>
            </w:r>
            <w:r>
              <w:rPr>
                <w:rFonts w:hint="eastAsia"/>
                <w:color w:val="auto"/>
              </w:rPr>
              <w:t>）</w:t>
            </w:r>
            <w:r>
              <w:rPr>
                <w:color w:val="auto"/>
              </w:rPr>
              <w:t>50Hz</w:t>
            </w:r>
            <w:r>
              <w:rPr>
                <w:rFonts w:hint="eastAsia"/>
                <w:color w:val="auto"/>
              </w:rPr>
              <w:t>频率下公众曝露控制限值</w:t>
            </w:r>
            <w:r>
              <w:rPr>
                <w:color w:val="auto"/>
              </w:rPr>
              <w:t>100μT</w:t>
            </w:r>
            <w:r>
              <w:rPr>
                <w:rFonts w:hint="eastAsia"/>
                <w:color w:val="auto"/>
              </w:rPr>
              <w:t>的要求。</w:t>
            </w:r>
          </w:p>
          <w:p w14:paraId="3E956460">
            <w:pPr>
              <w:pStyle w:val="51"/>
              <w:rPr>
                <w:color w:val="auto"/>
              </w:rPr>
            </w:pPr>
            <w:r>
              <w:rPr>
                <w:rFonts w:hint="eastAsia"/>
                <w:color w:val="auto"/>
              </w:rPr>
              <w:t>工频电场强度、工频磁感应强度整体变化趋势是随着距离增加而逐渐减小。</w:t>
            </w:r>
          </w:p>
          <w:p w14:paraId="04389344">
            <w:pPr>
              <w:pStyle w:val="51"/>
              <w:numPr>
                <w:ilvl w:val="0"/>
                <w:numId w:val="1"/>
              </w:numPr>
              <w:ind w:firstLineChars="0"/>
              <w:rPr>
                <w:b/>
                <w:bCs/>
                <w:color w:val="auto"/>
              </w:rPr>
            </w:pPr>
            <w:r>
              <w:rPr>
                <w:rFonts w:hint="eastAsia"/>
                <w:b/>
                <w:bCs/>
                <w:color w:val="auto"/>
              </w:rPr>
              <w:t>线路经过居民区，本工程输电线路导线对地最小距离</w:t>
            </w:r>
            <w:r>
              <w:rPr>
                <w:b/>
                <w:bCs/>
                <w:color w:val="auto"/>
              </w:rPr>
              <w:t>7.</w:t>
            </w:r>
            <w:r>
              <w:rPr>
                <w:rFonts w:hint="eastAsia"/>
                <w:b/>
                <w:bCs/>
                <w:color w:val="auto"/>
              </w:rPr>
              <w:t>5</w:t>
            </w:r>
            <w:r>
              <w:rPr>
                <w:b/>
                <w:bCs/>
                <w:color w:val="auto"/>
              </w:rPr>
              <w:t>m</w:t>
            </w:r>
            <w:r>
              <w:rPr>
                <w:rFonts w:hint="eastAsia"/>
                <w:b/>
                <w:bCs/>
                <w:color w:val="auto"/>
              </w:rPr>
              <w:t>时：</w:t>
            </w:r>
          </w:p>
          <w:p w14:paraId="097649C2">
            <w:pPr>
              <w:pStyle w:val="51"/>
              <w:rPr>
                <w:color w:val="auto"/>
              </w:rPr>
            </w:pPr>
            <w:r>
              <w:rPr>
                <w:rFonts w:hint="eastAsia"/>
                <w:color w:val="auto"/>
              </w:rPr>
              <w:t>距离地面</w:t>
            </w:r>
            <w:r>
              <w:rPr>
                <w:color w:val="auto"/>
              </w:rPr>
              <w:t>1.5m</w:t>
            </w:r>
            <w:r>
              <w:rPr>
                <w:rFonts w:hint="eastAsia"/>
                <w:color w:val="auto"/>
              </w:rPr>
              <w:t>高度处的工频电场强度最大值为</w:t>
            </w:r>
            <w:r>
              <w:rPr>
                <w:color w:val="auto"/>
              </w:rPr>
              <w:t>2137V/m</w:t>
            </w:r>
            <w:r>
              <w:rPr>
                <w:rFonts w:hint="eastAsia"/>
                <w:color w:val="auto"/>
              </w:rPr>
              <w:t>，出现在距线路中心线</w:t>
            </w:r>
            <w:r>
              <w:rPr>
                <w:color w:val="auto"/>
              </w:rPr>
              <w:t>5m</w:t>
            </w:r>
            <w:r>
              <w:rPr>
                <w:rFonts w:hint="eastAsia"/>
                <w:color w:val="auto"/>
              </w:rPr>
              <w:t>处，满足《电磁环境控制限值》（</w:t>
            </w:r>
            <w:r>
              <w:rPr>
                <w:color w:val="auto"/>
              </w:rPr>
              <w:t>GB8702-2014</w:t>
            </w:r>
            <w:r>
              <w:rPr>
                <w:rFonts w:hint="eastAsia"/>
                <w:color w:val="auto"/>
              </w:rPr>
              <w:t>）</w:t>
            </w:r>
            <w:r>
              <w:rPr>
                <w:color w:val="auto"/>
              </w:rPr>
              <w:t>50Hz</w:t>
            </w:r>
            <w:r>
              <w:rPr>
                <w:rFonts w:hint="eastAsia"/>
                <w:color w:val="auto"/>
              </w:rPr>
              <w:t>频率下公众曝露控制限值</w:t>
            </w:r>
            <w:r>
              <w:rPr>
                <w:color w:val="auto"/>
              </w:rPr>
              <w:t>4000V/m</w:t>
            </w:r>
            <w:r>
              <w:rPr>
                <w:rFonts w:hint="eastAsia"/>
                <w:color w:val="auto"/>
              </w:rPr>
              <w:t>；</w:t>
            </w:r>
          </w:p>
          <w:p w14:paraId="19F857D8">
            <w:pPr>
              <w:pStyle w:val="51"/>
              <w:rPr>
                <w:color w:val="auto"/>
              </w:rPr>
            </w:pPr>
            <w:r>
              <w:rPr>
                <w:rFonts w:hint="eastAsia"/>
                <w:color w:val="auto"/>
              </w:rPr>
              <w:t>距离地面</w:t>
            </w:r>
            <w:r>
              <w:rPr>
                <w:color w:val="auto"/>
              </w:rPr>
              <w:t>1.5m</w:t>
            </w:r>
            <w:r>
              <w:rPr>
                <w:rFonts w:hint="eastAsia"/>
                <w:color w:val="auto"/>
              </w:rPr>
              <w:t>高度处的工频磁感应强度最大值为</w:t>
            </w:r>
            <w:r>
              <w:rPr>
                <w:color w:val="auto"/>
              </w:rPr>
              <w:t>17.199μT</w:t>
            </w:r>
            <w:r>
              <w:rPr>
                <w:rFonts w:hint="eastAsia"/>
                <w:color w:val="auto"/>
              </w:rPr>
              <w:t>，出现在距线路中心线</w:t>
            </w:r>
            <w:r>
              <w:rPr>
                <w:color w:val="auto"/>
              </w:rPr>
              <w:t>5m</w:t>
            </w:r>
            <w:r>
              <w:rPr>
                <w:rFonts w:hint="eastAsia"/>
                <w:color w:val="auto"/>
              </w:rPr>
              <w:t>处，满足《电磁环境控制限值》（</w:t>
            </w:r>
            <w:r>
              <w:rPr>
                <w:color w:val="auto"/>
              </w:rPr>
              <w:t>GB8702-2014</w:t>
            </w:r>
            <w:r>
              <w:rPr>
                <w:rFonts w:hint="eastAsia"/>
                <w:color w:val="auto"/>
              </w:rPr>
              <w:t>）</w:t>
            </w:r>
            <w:r>
              <w:rPr>
                <w:color w:val="auto"/>
              </w:rPr>
              <w:t>50Hz</w:t>
            </w:r>
            <w:r>
              <w:rPr>
                <w:rFonts w:hint="eastAsia"/>
                <w:color w:val="auto"/>
              </w:rPr>
              <w:t>频率下公众曝露控制限值</w:t>
            </w:r>
            <w:r>
              <w:rPr>
                <w:color w:val="auto"/>
              </w:rPr>
              <w:t>100μT</w:t>
            </w:r>
            <w:r>
              <w:rPr>
                <w:rFonts w:hint="eastAsia"/>
                <w:color w:val="auto"/>
              </w:rPr>
              <w:t>的要求。</w:t>
            </w:r>
          </w:p>
          <w:p w14:paraId="674EAE11">
            <w:pPr>
              <w:pStyle w:val="51"/>
              <w:rPr>
                <w:color w:val="auto"/>
              </w:rPr>
            </w:pPr>
            <w:r>
              <w:rPr>
                <w:rFonts w:hint="eastAsia"/>
                <w:color w:val="auto"/>
              </w:rPr>
              <w:t>工频电场强度、工频磁感应强度整体变化趋势是随着距离增加而逐渐减小。</w:t>
            </w:r>
          </w:p>
          <w:p w14:paraId="5078AFA5">
            <w:pPr>
              <w:pStyle w:val="51"/>
              <w:rPr>
                <w:color w:val="auto"/>
              </w:rPr>
            </w:pPr>
            <w:r>
              <w:rPr>
                <w:rFonts w:hint="eastAsia"/>
                <w:color w:val="auto"/>
              </w:rPr>
              <w:t>当线路周边有民房时，线路与楼房房顶的最小垂直距离需大于</w:t>
            </w:r>
            <w:r>
              <w:rPr>
                <w:color w:val="auto"/>
              </w:rPr>
              <w:t>4m</w:t>
            </w:r>
            <w:r>
              <w:rPr>
                <w:rFonts w:hint="eastAsia"/>
                <w:color w:val="auto"/>
              </w:rPr>
              <w:t>，根据勾股定理计算可得单回路线路导线与楼房间的净空距离需满足</w:t>
            </w:r>
            <w:r>
              <w:rPr>
                <w:color w:val="auto"/>
              </w:rPr>
              <w:t>5m</w:t>
            </w:r>
            <w:r>
              <w:rPr>
                <w:rFonts w:hint="eastAsia"/>
                <w:color w:val="auto"/>
              </w:rPr>
              <w:t>的要求；楼房的一层、二层、三层房顶处能满足</w:t>
            </w:r>
            <w:r>
              <w:rPr>
                <w:color w:val="auto"/>
              </w:rPr>
              <w:t>4000V/m</w:t>
            </w:r>
            <w:r>
              <w:rPr>
                <w:rFonts w:hint="eastAsia"/>
                <w:color w:val="auto"/>
              </w:rPr>
              <w:t>的评价标准要求。</w:t>
            </w:r>
          </w:p>
          <w:p w14:paraId="40F7353E">
            <w:pPr>
              <w:pStyle w:val="49"/>
              <w:rPr>
                <w:color w:val="auto"/>
              </w:rPr>
            </w:pPr>
            <w:r>
              <w:rPr>
                <w:color w:val="auto"/>
              </w:rPr>
              <w:t>3、环境空气影响</w:t>
            </w:r>
          </w:p>
          <w:p w14:paraId="66C25F5E">
            <w:pPr>
              <w:pStyle w:val="51"/>
              <w:rPr>
                <w:color w:val="auto"/>
              </w:rPr>
            </w:pPr>
            <w:r>
              <w:rPr>
                <w:rFonts w:hint="eastAsia"/>
                <w:color w:val="auto"/>
              </w:rPr>
              <w:t>本送出线路工程</w:t>
            </w:r>
            <w:r>
              <w:rPr>
                <w:color w:val="auto"/>
              </w:rPr>
              <w:t>建成投运后无废气产生，对环境空气无影响。</w:t>
            </w:r>
          </w:p>
          <w:p w14:paraId="49D17CCE">
            <w:pPr>
              <w:pStyle w:val="49"/>
              <w:rPr>
                <w:color w:val="auto"/>
              </w:rPr>
            </w:pPr>
            <w:r>
              <w:rPr>
                <w:color w:val="auto"/>
              </w:rPr>
              <w:t>4、水环境影响</w:t>
            </w:r>
          </w:p>
          <w:p w14:paraId="04ADB4A5">
            <w:pPr>
              <w:pStyle w:val="51"/>
              <w:rPr>
                <w:color w:val="auto"/>
              </w:rPr>
            </w:pPr>
            <w:r>
              <w:rPr>
                <w:color w:val="auto"/>
              </w:rPr>
              <w:t>在运行期间，本工程输电线路无废水产生。</w:t>
            </w:r>
          </w:p>
          <w:p w14:paraId="16F7CE33">
            <w:pPr>
              <w:pStyle w:val="49"/>
              <w:rPr>
                <w:color w:val="auto"/>
              </w:rPr>
            </w:pPr>
            <w:r>
              <w:rPr>
                <w:color w:val="auto"/>
              </w:rPr>
              <w:t>5、固体废物影响</w:t>
            </w:r>
          </w:p>
          <w:p w14:paraId="3BAE2D1B">
            <w:pPr>
              <w:pStyle w:val="51"/>
              <w:rPr>
                <w:color w:val="auto"/>
              </w:rPr>
            </w:pPr>
            <w:r>
              <w:rPr>
                <w:color w:val="auto"/>
              </w:rPr>
              <w:t>本送出线路工程项目建成投运后无固体废物产生，对环境无影响。</w:t>
            </w:r>
          </w:p>
          <w:p w14:paraId="24052F97">
            <w:pPr>
              <w:pStyle w:val="49"/>
              <w:rPr>
                <w:color w:val="auto"/>
              </w:rPr>
            </w:pPr>
            <w:r>
              <w:rPr>
                <w:color w:val="auto"/>
              </w:rPr>
              <w:t>6、生态环境</w:t>
            </w:r>
          </w:p>
          <w:p w14:paraId="75FF71F8">
            <w:pPr>
              <w:pStyle w:val="51"/>
              <w:ind w:firstLine="482"/>
              <w:rPr>
                <w:b/>
                <w:bCs/>
                <w:color w:val="auto"/>
              </w:rPr>
            </w:pPr>
            <w:r>
              <w:rPr>
                <w:rFonts w:hint="eastAsia"/>
                <w:b/>
                <w:bCs/>
                <w:color w:val="auto"/>
              </w:rPr>
              <w:t>（1）对生态系统及主要生态因子影响分析</w:t>
            </w:r>
          </w:p>
          <w:p w14:paraId="63C4272F">
            <w:pPr>
              <w:pStyle w:val="51"/>
              <w:rPr>
                <w:color w:val="auto"/>
              </w:rPr>
            </w:pPr>
            <w:r>
              <w:rPr>
                <w:rFonts w:hint="eastAsia"/>
                <w:color w:val="auto"/>
              </w:rPr>
              <w:t>本线路工程不属于污染型项目，运营期无污染物排放，运营期对评价区的影响主要源自输电线路产生的电磁辐射及噪声，经预测，电磁辐射及噪声值均较小，远低于标准限值，对动植物影响较小，在可接受范围内。</w:t>
            </w:r>
          </w:p>
          <w:p w14:paraId="77202C15">
            <w:pPr>
              <w:pStyle w:val="51"/>
              <w:rPr>
                <w:color w:val="auto"/>
              </w:rPr>
            </w:pPr>
            <w:r>
              <w:rPr>
                <w:rFonts w:hint="eastAsia"/>
                <w:color w:val="auto"/>
              </w:rPr>
              <w:t>工程运营期不会影响周边生态系统结构和生态服务功能，区域生物多样性水平不会下降。</w:t>
            </w:r>
          </w:p>
          <w:p w14:paraId="2848250E">
            <w:pPr>
              <w:pStyle w:val="51"/>
              <w:ind w:firstLine="482"/>
              <w:rPr>
                <w:b/>
                <w:bCs/>
                <w:color w:val="auto"/>
              </w:rPr>
            </w:pPr>
            <w:r>
              <w:rPr>
                <w:rFonts w:hint="eastAsia"/>
                <w:b/>
                <w:bCs/>
                <w:color w:val="auto"/>
              </w:rPr>
              <w:t>（2）对植被及植物多样性影响分析</w:t>
            </w:r>
          </w:p>
          <w:p w14:paraId="72C254A3">
            <w:pPr>
              <w:pStyle w:val="51"/>
              <w:rPr>
                <w:color w:val="auto"/>
              </w:rPr>
            </w:pPr>
            <w:r>
              <w:rPr>
                <w:rFonts w:hint="eastAsia"/>
                <w:color w:val="auto"/>
              </w:rPr>
              <w:t>本工程不属于污染型项目，运营期无污染物排放，工程运营期不会对地表植被产生破坏影响，此外，经</w:t>
            </w:r>
            <w:r>
              <w:rPr>
                <w:color w:val="auto"/>
              </w:rPr>
              <w:t>2</w:t>
            </w:r>
            <w:r>
              <w:rPr>
                <w:rFonts w:hint="eastAsia"/>
                <w:color w:val="auto"/>
              </w:rPr>
              <w:t>~</w:t>
            </w:r>
            <w:r>
              <w:rPr>
                <w:color w:val="auto"/>
              </w:rPr>
              <w:t>3</w:t>
            </w:r>
            <w:r>
              <w:rPr>
                <w:rFonts w:hint="eastAsia"/>
                <w:color w:val="auto"/>
              </w:rPr>
              <w:t>年生态恢复，工程占地区域内植被可以基本恢复至自然状态。</w:t>
            </w:r>
          </w:p>
          <w:p w14:paraId="2435E727">
            <w:pPr>
              <w:pStyle w:val="51"/>
              <w:ind w:firstLine="482"/>
              <w:rPr>
                <w:b/>
                <w:bCs/>
                <w:color w:val="auto"/>
              </w:rPr>
            </w:pPr>
            <w:r>
              <w:rPr>
                <w:rFonts w:hint="eastAsia"/>
                <w:b/>
                <w:bCs/>
                <w:color w:val="auto"/>
              </w:rPr>
              <w:t>（3）景观生态完整性分析</w:t>
            </w:r>
          </w:p>
          <w:p w14:paraId="42F19969">
            <w:pPr>
              <w:pStyle w:val="51"/>
              <w:rPr>
                <w:color w:val="auto"/>
              </w:rPr>
            </w:pPr>
            <w:r>
              <w:rPr>
                <w:rFonts w:hint="eastAsia"/>
                <w:color w:val="auto"/>
              </w:rPr>
              <w:t>当铁塔矗立起来、输电线路架设起来以后，就在一定程度上改变了区域自然景观，工程建设对周边自然景观的影响比较小，不改变景观利用类型及格局，不破坏景观生态完整性。</w:t>
            </w:r>
          </w:p>
          <w:p w14:paraId="49972D9B">
            <w:pPr>
              <w:pStyle w:val="51"/>
              <w:ind w:firstLine="482"/>
              <w:rPr>
                <w:b/>
                <w:bCs/>
                <w:color w:val="auto"/>
              </w:rPr>
            </w:pPr>
            <w:r>
              <w:rPr>
                <w:rFonts w:hint="eastAsia"/>
                <w:b/>
                <w:bCs/>
                <w:color w:val="auto"/>
              </w:rPr>
              <w:t>（4）对动物多样性影响分析</w:t>
            </w:r>
          </w:p>
          <w:p w14:paraId="47BD72B1">
            <w:pPr>
              <w:pStyle w:val="51"/>
              <w:rPr>
                <w:color w:val="auto"/>
              </w:rPr>
            </w:pPr>
            <w:r>
              <w:rPr>
                <w:rFonts w:hint="eastAsia" w:ascii="宋体" w:hAnsi="宋体"/>
                <w:color w:val="auto"/>
              </w:rPr>
              <w:t>①</w:t>
            </w:r>
            <w:r>
              <w:rPr>
                <w:rFonts w:hint="eastAsia"/>
                <w:color w:val="auto"/>
              </w:rPr>
              <w:t>对陆生动物的影响</w:t>
            </w:r>
          </w:p>
          <w:p w14:paraId="49E5D2E8">
            <w:pPr>
              <w:pStyle w:val="51"/>
              <w:rPr>
                <w:color w:val="auto"/>
              </w:rPr>
            </w:pPr>
            <w:r>
              <w:rPr>
                <w:rFonts w:hint="eastAsia"/>
                <w:color w:val="auto"/>
              </w:rPr>
              <w:t>本工程征地采用点征方式，塔基位布设比较分散，塔基占地面积不大,高度较低，不会对陆生动物产生分割作用，不会阻碍区域内动物的栖息、觅食及迁移活动。因此，本工程在运营期对陆生动物影响较小。</w:t>
            </w:r>
          </w:p>
          <w:p w14:paraId="10D8E99F">
            <w:pPr>
              <w:pStyle w:val="51"/>
              <w:rPr>
                <w:color w:val="auto"/>
              </w:rPr>
            </w:pPr>
            <w:r>
              <w:rPr>
                <w:rFonts w:hint="eastAsia" w:ascii="宋体" w:hAnsi="宋体"/>
                <w:color w:val="auto"/>
              </w:rPr>
              <w:t>②</w:t>
            </w:r>
            <w:r>
              <w:rPr>
                <w:rFonts w:hint="eastAsia"/>
                <w:color w:val="auto"/>
              </w:rPr>
              <w:t>对鸟类的影响</w:t>
            </w:r>
          </w:p>
          <w:p w14:paraId="6C873C58">
            <w:pPr>
              <w:pStyle w:val="51"/>
              <w:rPr>
                <w:color w:val="auto"/>
              </w:rPr>
            </w:pPr>
            <w:r>
              <w:rPr>
                <w:rFonts w:hint="eastAsia"/>
                <w:color w:val="auto"/>
              </w:rPr>
              <w:t>通过对周边已建高压输电线路沿线进行走访调查，未发现有触电身亡和碰撞杆塔死亡的鸟类。预计本工程在运营期对鸟类的影响较小。</w:t>
            </w:r>
          </w:p>
          <w:p w14:paraId="1B22F608">
            <w:pPr>
              <w:pStyle w:val="51"/>
              <w:rPr>
                <w:color w:val="auto"/>
              </w:rPr>
            </w:pPr>
            <w:r>
              <w:rPr>
                <w:rFonts w:hint="eastAsia"/>
                <w:color w:val="auto"/>
              </w:rPr>
              <w:t>综上所述，本项目在营运期间，对生态环境的影响很小。</w:t>
            </w:r>
          </w:p>
          <w:p w14:paraId="27454056">
            <w:pPr>
              <w:pStyle w:val="49"/>
              <w:rPr>
                <w:color w:val="auto"/>
              </w:rPr>
            </w:pPr>
            <w:r>
              <w:rPr>
                <w:color w:val="auto"/>
              </w:rPr>
              <w:t>7、环境风险分析</w:t>
            </w:r>
          </w:p>
          <w:p w14:paraId="26C1FC42">
            <w:pPr>
              <w:pStyle w:val="51"/>
              <w:rPr>
                <w:color w:val="auto"/>
              </w:rPr>
            </w:pPr>
            <w:r>
              <w:rPr>
                <w:rFonts w:hint="eastAsia"/>
                <w:color w:val="auto"/>
              </w:rPr>
              <w:t>本线路项目运营期不涉及风险物质存储、处理。</w:t>
            </w:r>
          </w:p>
          <w:p w14:paraId="7AF741B8">
            <w:pPr>
              <w:pStyle w:val="51"/>
              <w:rPr>
                <w:color w:val="auto"/>
              </w:rPr>
            </w:pPr>
            <w:r>
              <w:rPr>
                <w:color w:val="auto"/>
              </w:rPr>
              <w:t>本项目杆塔和基础的设计按线路通过地区最高地震设防烈度设计铁塔和铁塔基础，保证在出现设计标准地震时不会出现铁塔倒塌现象；安装继电保护装置，当万一出现倒塔和短路时能及时断电（0.5秒以内），避免倒塔和短路时由于线路通电对人和动物触电的影响；本项目导线和地线的结构和物理参数均按规范选用，并订购用国家定点厂家生产的产品，在与公路、送电线路、铁路等重要交叉位置不设接头，为线路的持久、安全运行打下牢固的基础，有效地避免因大风引起的事故；全线架设双地线作雷击保护之用，杆塔的地线对边导线的保护角度小于20度，两根地线之间的距离按规范设计，有效地防止雷击事故的发生。</w:t>
            </w:r>
          </w:p>
          <w:p w14:paraId="7AA13690">
            <w:pPr>
              <w:pStyle w:val="49"/>
              <w:rPr>
                <w:color w:val="auto"/>
              </w:rPr>
            </w:pPr>
            <w:r>
              <w:rPr>
                <w:color w:val="auto"/>
              </w:rPr>
              <w:t>8、社会环境风险分析</w:t>
            </w:r>
          </w:p>
          <w:p w14:paraId="15B722EF">
            <w:pPr>
              <w:pStyle w:val="51"/>
              <w:rPr>
                <w:color w:val="auto"/>
              </w:rPr>
            </w:pPr>
            <w:r>
              <w:rPr>
                <w:color w:val="auto"/>
              </w:rPr>
              <w:t>社会环境风险调查的范围应与建设项目环境影响范围相一致，凡项目涉及到利益相关者切身利益、容易引发社会稳定风险的因素，都应纳入调查范围。根据本项目工程特点，结合地方政府部门意见要求，对照风险因素初步识别表，确定本项目的社会稳定风险因素主要有以下四个方面，分别为：施工期交通运输对周围交通的影响、对周围环境影响、施工组织管理安全隐患影响。</w:t>
            </w:r>
          </w:p>
          <w:p w14:paraId="2DC3DE9A">
            <w:pPr>
              <w:pStyle w:val="70"/>
              <w:rPr>
                <w:color w:val="auto"/>
              </w:rPr>
            </w:pPr>
            <w:r>
              <w:rPr>
                <w:color w:val="auto"/>
              </w:rPr>
              <w:t>（1）施工期交通运输对周围交通的影响</w:t>
            </w:r>
          </w:p>
          <w:p w14:paraId="4E3F8120">
            <w:pPr>
              <w:pStyle w:val="51"/>
              <w:rPr>
                <w:color w:val="auto"/>
              </w:rPr>
            </w:pPr>
            <w:r>
              <w:rPr>
                <w:color w:val="auto"/>
              </w:rPr>
              <w:t>工程施工将增加附近公路的交通流量，对道路交通造成短暂影响。但通过合理组织运输，控制车速及加强对运输车辆司机的培训教育，禁止随意鸣笛，可将工程建设对道路交通的影响减至最小。</w:t>
            </w:r>
          </w:p>
          <w:p w14:paraId="754997E4">
            <w:pPr>
              <w:pStyle w:val="70"/>
              <w:rPr>
                <w:color w:val="auto"/>
              </w:rPr>
            </w:pPr>
            <w:r>
              <w:rPr>
                <w:color w:val="auto"/>
              </w:rPr>
              <w:t>（2）周围环境影响</w:t>
            </w:r>
          </w:p>
          <w:p w14:paraId="2354FBEB">
            <w:pPr>
              <w:pStyle w:val="51"/>
              <w:rPr>
                <w:color w:val="auto"/>
              </w:rPr>
            </w:pPr>
            <w:r>
              <w:rPr>
                <w:color w:val="auto"/>
              </w:rPr>
              <w:t>针对施工、运行期环境污染对周边居民产生影响可能引发的风险，建设单位在施工过程中应严格落实本项目环境影响报告表及环保部批复意见中提出的环境保护控制措施，将工程环境影响降到最低，并符合国家和地方环保标准要求，同时要尽可能避免夜间施工，夜间如确实因工程施工需要产生噪声，则应征得环保部门的同意。对于周边敏感的居民点要以发放宣传材料等方式对工程的环境影响加以说明，消除居民的恐慌心理，各项环境状况指标要加强监测，一旦发现超标，要及时采取措施，确保居民满意。</w:t>
            </w:r>
          </w:p>
          <w:p w14:paraId="0E51240A">
            <w:pPr>
              <w:pStyle w:val="70"/>
              <w:rPr>
                <w:color w:val="auto"/>
              </w:rPr>
            </w:pPr>
            <w:r>
              <w:rPr>
                <w:color w:val="auto"/>
              </w:rPr>
              <w:t>（3）施工组织管理</w:t>
            </w:r>
          </w:p>
          <w:p w14:paraId="59E059EA">
            <w:pPr>
              <w:pStyle w:val="51"/>
              <w:rPr>
                <w:color w:val="auto"/>
              </w:rPr>
            </w:pPr>
            <w:r>
              <w:rPr>
                <w:color w:val="auto"/>
              </w:rPr>
              <w:t>针对施工管理不完善造成安全事故可能引发的风险，建设单位应完善施工组织管理，加强施工人员的安全管理，认真落实安全生产责任制，明确专职或兼职安全管理人员。组织安全管理人员教育施工人员严格遵守相关专业的法规、技术规程和安全规章制度，严禁违章作业，确保建设期间不发生重大安全事故。</w:t>
            </w:r>
          </w:p>
          <w:p w14:paraId="0EE64E63">
            <w:pPr>
              <w:pStyle w:val="51"/>
              <w:rPr>
                <w:rFonts w:hint="eastAsia" w:ascii="宋体" w:hAnsi="宋体" w:cs="宋体"/>
                <w:bCs/>
                <w:color w:val="auto"/>
                <w:szCs w:val="21"/>
              </w:rPr>
            </w:pPr>
            <w:r>
              <w:rPr>
                <w:color w:val="auto"/>
              </w:rPr>
              <w:t>综上所述，通过采取相应的防范措施，本工程的社会环境风险等级较低，从社会环境风险分析角度考虑，该工程建设可行。</w:t>
            </w:r>
          </w:p>
        </w:tc>
      </w:tr>
      <w:tr w14:paraId="59E4D3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31" w:hRule="atLeast"/>
          <w:jc w:val="center"/>
        </w:trPr>
        <w:tc>
          <w:tcPr>
            <w:tcW w:w="485" w:type="pct"/>
            <w:vAlign w:val="center"/>
          </w:tcPr>
          <w:p w14:paraId="7703220A">
            <w:pPr>
              <w:pStyle w:val="23"/>
              <w:adjustRightInd w:val="0"/>
              <w:snapToGrid w:val="0"/>
              <w:spacing w:before="0" w:beforeAutospacing="0" w:after="0" w:afterAutospacing="0"/>
              <w:jc w:val="center"/>
              <w:rPr>
                <w:rFonts w:hint="eastAsia" w:cs="宋体"/>
                <w:bCs/>
                <w:kern w:val="2"/>
                <w:sz w:val="21"/>
                <w:szCs w:val="21"/>
              </w:rPr>
            </w:pPr>
            <w:r>
              <w:rPr>
                <w:rFonts w:hint="eastAsia" w:cs="宋体"/>
                <w:bCs/>
                <w:kern w:val="2"/>
                <w:sz w:val="21"/>
                <w:szCs w:val="21"/>
              </w:rPr>
              <w:t>选址选线环境合理性分析</w:t>
            </w:r>
          </w:p>
        </w:tc>
        <w:tc>
          <w:tcPr>
            <w:tcW w:w="4515" w:type="pct"/>
          </w:tcPr>
          <w:p w14:paraId="4E3DCA2D">
            <w:pPr>
              <w:pStyle w:val="51"/>
              <w:rPr>
                <w:color w:val="auto"/>
              </w:rPr>
            </w:pPr>
            <w:r>
              <w:rPr>
                <w:rFonts w:hint="eastAsia"/>
                <w:color w:val="auto"/>
              </w:rPr>
              <w:t>升压站站址选定由规划统一考虑，因当地土地资源紧张，站址唯一。</w:t>
            </w:r>
          </w:p>
          <w:p w14:paraId="3381F398">
            <w:pPr>
              <w:pStyle w:val="51"/>
              <w:rPr>
                <w:color w:val="auto"/>
              </w:rPr>
            </w:pPr>
            <w:r>
              <w:rPr>
                <w:rFonts w:hint="eastAsia"/>
                <w:color w:val="auto"/>
              </w:rPr>
              <w:t>本项目送出线路工程受城乡规划、生态红线等多方面因素限值，路径唯一，因此，本项目不具备方便必选条件。</w:t>
            </w:r>
          </w:p>
          <w:p w14:paraId="1B6AE07E">
            <w:pPr>
              <w:pStyle w:val="51"/>
              <w:rPr>
                <w:color w:val="auto"/>
              </w:rPr>
            </w:pPr>
            <w:r>
              <w:rPr>
                <w:rFonts w:hint="eastAsia"/>
                <w:color w:val="auto"/>
              </w:rPr>
              <w:t>对照《安徽省生态保护红线》，本工程升压站不涉及生态保护红线，符合安徽省生态保护红线管控的要求。</w:t>
            </w:r>
          </w:p>
          <w:p w14:paraId="6E33062E">
            <w:pPr>
              <w:pStyle w:val="51"/>
              <w:rPr>
                <w:color w:val="auto"/>
              </w:rPr>
            </w:pPr>
            <w:r>
              <w:rPr>
                <w:rFonts w:hint="eastAsia"/>
                <w:color w:val="auto"/>
              </w:rPr>
              <w:t>对照《安徽省人民政府关于加快实施“三线一单”生态环境分区管控的通知》，本项目拟建址评价范围内不涉及优先保护单元，本项目在空间布局约束、污染物排放管控及资源利用效率要求等方面均符合安徽省“三线一单”生态环境分区管控要求。</w:t>
            </w:r>
          </w:p>
          <w:p w14:paraId="36810CB2">
            <w:pPr>
              <w:pStyle w:val="51"/>
              <w:rPr>
                <w:color w:val="auto"/>
              </w:rPr>
            </w:pPr>
            <w:r>
              <w:rPr>
                <w:rFonts w:hint="eastAsia"/>
                <w:color w:val="auto"/>
              </w:rPr>
              <w:t>本项目线路采用单塔双回路架设方式，符合《输变电建设项目环境保护技术要求》（HJ</w:t>
            </w:r>
            <w:r>
              <w:rPr>
                <w:color w:val="auto"/>
              </w:rPr>
              <w:t>1113-2020</w:t>
            </w:r>
            <w:r>
              <w:rPr>
                <w:rFonts w:hint="eastAsia"/>
                <w:color w:val="auto"/>
              </w:rPr>
              <w:t>）中的相关要求，具备选址选项合理性。</w:t>
            </w:r>
          </w:p>
          <w:p w14:paraId="0FD0D76B">
            <w:pPr>
              <w:pStyle w:val="51"/>
              <w:rPr>
                <w:color w:val="auto"/>
              </w:rPr>
            </w:pPr>
            <w:r>
              <w:rPr>
                <w:rFonts w:hint="eastAsia"/>
                <w:color w:val="auto"/>
              </w:rPr>
              <w:t>因此，本工程的建设具有环境合理性。</w:t>
            </w:r>
          </w:p>
        </w:tc>
      </w:tr>
    </w:tbl>
    <w:p w14:paraId="3A996957">
      <w:pPr>
        <w:pStyle w:val="23"/>
        <w:jc w:val="center"/>
        <w:rPr>
          <w:rFonts w:hint="eastAsia" w:ascii="黑体" w:hAnsi="黑体" w:eastAsia="黑体"/>
          <w:snapToGrid w:val="0"/>
          <w:sz w:val="36"/>
          <w:szCs w:val="36"/>
        </w:rPr>
      </w:pPr>
    </w:p>
    <w:p w14:paraId="2A6B121D">
      <w:pPr>
        <w:pStyle w:val="23"/>
        <w:jc w:val="center"/>
        <w:rPr>
          <w:rFonts w:hint="eastAsia" w:ascii="黑体" w:hAnsi="黑体" w:eastAsia="黑体"/>
          <w:snapToGrid w:val="0"/>
          <w:sz w:val="36"/>
          <w:szCs w:val="36"/>
        </w:rPr>
      </w:pPr>
    </w:p>
    <w:p w14:paraId="68A29E67">
      <w:pPr>
        <w:pStyle w:val="23"/>
        <w:jc w:val="center"/>
        <w:rPr>
          <w:rFonts w:hint="eastAsia" w:ascii="黑体" w:hAnsi="黑体" w:eastAsia="黑体"/>
          <w:snapToGrid w:val="0"/>
          <w:sz w:val="36"/>
          <w:szCs w:val="36"/>
        </w:rPr>
        <w:sectPr>
          <w:pgSz w:w="11906" w:h="16838"/>
          <w:pgMar w:top="1418" w:right="1418" w:bottom="1418" w:left="1418" w:header="851" w:footer="1077" w:gutter="0"/>
          <w:cols w:space="425" w:num="1"/>
          <w:docGrid w:linePitch="312" w:charSpace="0"/>
        </w:sectPr>
      </w:pPr>
    </w:p>
    <w:p w14:paraId="41A3B447">
      <w:pPr>
        <w:pStyle w:val="2"/>
      </w:pPr>
      <w:r>
        <w:rPr>
          <w:rFonts w:hint="eastAsia"/>
        </w:rPr>
        <w:t>五、主要生态环境保护措施</w:t>
      </w:r>
    </w:p>
    <w:tbl>
      <w:tblPr>
        <w:tblStyle w:val="25"/>
        <w:tblW w:w="921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53"/>
        <w:gridCol w:w="8457"/>
      </w:tblGrid>
      <w:tr w14:paraId="434B73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82" w:hRule="atLeast"/>
          <w:jc w:val="center"/>
        </w:trPr>
        <w:tc>
          <w:tcPr>
            <w:tcW w:w="753" w:type="dxa"/>
            <w:tcMar>
              <w:left w:w="28" w:type="dxa"/>
              <w:right w:w="28" w:type="dxa"/>
            </w:tcMar>
            <w:vAlign w:val="center"/>
          </w:tcPr>
          <w:p w14:paraId="4047DFFC">
            <w:pPr>
              <w:adjustRightInd w:val="0"/>
              <w:snapToGrid w:val="0"/>
              <w:jc w:val="center"/>
              <w:rPr>
                <w:rFonts w:hint="eastAsia" w:ascii="宋体" w:hAnsi="宋体"/>
                <w:bCs/>
                <w:szCs w:val="21"/>
              </w:rPr>
            </w:pPr>
            <w:r>
              <w:rPr>
                <w:rFonts w:hint="eastAsia" w:ascii="宋体" w:hAnsi="宋体" w:cs="宋体"/>
                <w:bCs/>
                <w:spacing w:val="10"/>
                <w:szCs w:val="21"/>
              </w:rPr>
              <w:t>施工期生态环境保护措施</w:t>
            </w:r>
          </w:p>
        </w:tc>
        <w:tc>
          <w:tcPr>
            <w:tcW w:w="8457" w:type="dxa"/>
          </w:tcPr>
          <w:p w14:paraId="2068985F">
            <w:pPr>
              <w:pStyle w:val="48"/>
              <w:rPr>
                <w:color w:val="auto"/>
              </w:rPr>
            </w:pPr>
            <w:r>
              <w:rPr>
                <w:rFonts w:hint="eastAsia"/>
                <w:color w:val="auto"/>
              </w:rPr>
              <w:t>（一）生态环境影响保护措施</w:t>
            </w:r>
          </w:p>
          <w:p w14:paraId="67AA3579">
            <w:pPr>
              <w:pStyle w:val="51"/>
              <w:rPr>
                <w:color w:val="auto"/>
              </w:rPr>
            </w:pPr>
            <w:r>
              <w:rPr>
                <w:rFonts w:hint="eastAsia" w:ascii="宋体" w:hAnsi="宋体"/>
                <w:color w:val="auto"/>
              </w:rPr>
              <w:t>①</w:t>
            </w:r>
            <w:r>
              <w:rPr>
                <w:color w:val="auto"/>
              </w:rPr>
              <w:t>施工前应优化施工图设计，减少塔基对林地的占用。</w:t>
            </w:r>
          </w:p>
          <w:p w14:paraId="07D24F4F">
            <w:pPr>
              <w:pStyle w:val="51"/>
              <w:rPr>
                <w:color w:val="auto"/>
              </w:rPr>
            </w:pPr>
            <w:r>
              <w:rPr>
                <w:rFonts w:hint="eastAsia" w:ascii="宋体" w:hAnsi="宋体"/>
                <w:color w:val="auto"/>
              </w:rPr>
              <w:t>②</w:t>
            </w:r>
            <w:r>
              <w:rPr>
                <w:color w:val="auto"/>
              </w:rPr>
              <w:t>本工程线路工程塔基占地范围内的林木均予以砍伐，工程在施工期均严格按照设计要求进行树木砍伐，施工前应办理林木砍伐许可，施工期对永久占地区域进行作业优化，临时占地尽量选用植被较少的荒地，杜绝一切不必要的树木破坏、植被破坏和土地破坏，将施工造成的环境影响降到最低程度。</w:t>
            </w:r>
          </w:p>
          <w:p w14:paraId="2A392FD7">
            <w:pPr>
              <w:pStyle w:val="51"/>
              <w:rPr>
                <w:color w:val="auto"/>
              </w:rPr>
            </w:pPr>
            <w:r>
              <w:rPr>
                <w:rFonts w:hint="eastAsia" w:ascii="宋体" w:hAnsi="宋体"/>
                <w:color w:val="auto"/>
              </w:rPr>
              <w:t>③</w:t>
            </w:r>
            <w:r>
              <w:rPr>
                <w:color w:val="auto"/>
              </w:rPr>
              <w:t>施工时应采取张力放紧线，尽量减小施工通道砍伐宽度。</w:t>
            </w:r>
          </w:p>
          <w:p w14:paraId="6EED1009">
            <w:pPr>
              <w:pStyle w:val="51"/>
              <w:rPr>
                <w:color w:val="auto"/>
              </w:rPr>
            </w:pPr>
            <w:r>
              <w:rPr>
                <w:rFonts w:hint="eastAsia" w:ascii="宋体" w:hAnsi="宋体"/>
                <w:color w:val="auto"/>
              </w:rPr>
              <w:t>④</w:t>
            </w:r>
            <w:r>
              <w:rPr>
                <w:color w:val="auto"/>
              </w:rPr>
              <w:t>塔基作业运输施工材料时，利用现有道路和便道运输材料，无道路区域尽量利用人力运输，避免不必要的道路修建和树木砍伐。</w:t>
            </w:r>
          </w:p>
          <w:p w14:paraId="178D2DAC">
            <w:pPr>
              <w:pStyle w:val="51"/>
              <w:rPr>
                <w:color w:val="auto"/>
              </w:rPr>
            </w:pPr>
            <w:r>
              <w:rPr>
                <w:rFonts w:hint="eastAsia" w:ascii="宋体" w:hAnsi="宋体"/>
                <w:color w:val="auto"/>
              </w:rPr>
              <w:t>⑤</w:t>
            </w:r>
            <w:r>
              <w:rPr>
                <w:color w:val="auto"/>
              </w:rPr>
              <w:t>利用现有房屋设施作为施工</w:t>
            </w:r>
            <w:r>
              <w:rPr>
                <w:rFonts w:hint="eastAsia"/>
                <w:color w:val="auto"/>
              </w:rPr>
              <w:t>营地</w:t>
            </w:r>
            <w:r>
              <w:rPr>
                <w:color w:val="auto"/>
              </w:rPr>
              <w:t>，减少临时占地。</w:t>
            </w:r>
          </w:p>
          <w:p w14:paraId="1E1DD177">
            <w:pPr>
              <w:pStyle w:val="51"/>
              <w:rPr>
                <w:color w:val="auto"/>
              </w:rPr>
            </w:pPr>
            <w:r>
              <w:rPr>
                <w:rFonts w:hint="eastAsia" w:ascii="宋体" w:hAnsi="宋体"/>
                <w:color w:val="auto"/>
              </w:rPr>
              <w:t>⑥</w:t>
            </w:r>
            <w:r>
              <w:rPr>
                <w:color w:val="auto"/>
              </w:rPr>
              <w:t>塔基开挖土石方就近堆存并做好篷布覆盖，防止水土流失，塔基基础浇筑完成后及时回填并平整，作业结束后恢复绿化。牵张场</w:t>
            </w:r>
            <w:r>
              <w:rPr>
                <w:rFonts w:hint="eastAsia"/>
                <w:color w:val="auto"/>
              </w:rPr>
              <w:t>依托升压站施工场地，</w:t>
            </w:r>
            <w:r>
              <w:rPr>
                <w:color w:val="auto"/>
              </w:rPr>
              <w:t>使用前进行表土剥离并妥善堆存，堆存时进行篷布覆盖，边沟防护，施工结束后进行表土还填，并对地表植被进行恢复。</w:t>
            </w:r>
          </w:p>
          <w:p w14:paraId="78F97B9F">
            <w:pPr>
              <w:pStyle w:val="51"/>
              <w:rPr>
                <w:color w:val="auto"/>
              </w:rPr>
            </w:pPr>
            <w:r>
              <w:rPr>
                <w:rFonts w:hint="eastAsia" w:ascii="宋体" w:hAnsi="宋体"/>
                <w:color w:val="auto"/>
              </w:rPr>
              <w:t>⑦</w:t>
            </w:r>
            <w:r>
              <w:rPr>
                <w:color w:val="auto"/>
              </w:rPr>
              <w:t>建设单位应预留青苗损失补偿费用，施工期做好青苗恢复工作。</w:t>
            </w:r>
          </w:p>
          <w:p w14:paraId="16088836">
            <w:pPr>
              <w:pStyle w:val="51"/>
              <w:rPr>
                <w:color w:val="auto"/>
              </w:rPr>
            </w:pPr>
            <w:r>
              <w:rPr>
                <w:rFonts w:hint="eastAsia" w:ascii="宋体" w:hAnsi="宋体"/>
                <w:color w:val="auto"/>
              </w:rPr>
              <w:t>⑧</w:t>
            </w:r>
            <w:r>
              <w:rPr>
                <w:color w:val="auto"/>
              </w:rPr>
              <w:t>建设单位应制定合理的施工工期，避开雨季土建施工。</w:t>
            </w:r>
          </w:p>
          <w:p w14:paraId="605E466C">
            <w:pPr>
              <w:pStyle w:val="51"/>
              <w:rPr>
                <w:color w:val="auto"/>
              </w:rPr>
            </w:pPr>
            <w:r>
              <w:rPr>
                <w:rFonts w:hint="eastAsia" w:ascii="宋体" w:hAnsi="宋体"/>
                <w:color w:val="auto"/>
              </w:rPr>
              <w:t>⑨</w:t>
            </w:r>
            <w:r>
              <w:rPr>
                <w:rFonts w:hint="eastAsia"/>
                <w:color w:val="auto"/>
              </w:rPr>
              <w:t>加强对管理人员和施工人员的思想教育，提高其生态环境保护意识。</w:t>
            </w:r>
          </w:p>
          <w:p w14:paraId="1BC09007">
            <w:pPr>
              <w:pStyle w:val="48"/>
              <w:rPr>
                <w:color w:val="auto"/>
              </w:rPr>
            </w:pPr>
            <w:r>
              <w:rPr>
                <w:rFonts w:hint="eastAsia"/>
                <w:color w:val="auto"/>
              </w:rPr>
              <w:t>（二）施工噪声污染防治</w:t>
            </w:r>
            <w:r>
              <w:rPr>
                <w:color w:val="auto"/>
              </w:rPr>
              <w:t>措施</w:t>
            </w:r>
          </w:p>
          <w:p w14:paraId="45621A82">
            <w:pPr>
              <w:pStyle w:val="51"/>
              <w:rPr>
                <w:color w:val="auto"/>
              </w:rPr>
            </w:pPr>
            <w:r>
              <w:rPr>
                <w:rFonts w:hint="eastAsia" w:ascii="宋体" w:hAnsi="宋体"/>
                <w:color w:val="auto"/>
              </w:rPr>
              <w:t>①</w:t>
            </w:r>
            <w:r>
              <w:rPr>
                <w:color w:val="auto"/>
              </w:rPr>
              <w:t>从声源上控制。建设单位在与施工单位签订合同时，应要求其使用的主要机械设备为低噪声机械设备；同时在施工过程中施工单位应设专人对设备进行定期保养和维护，并负责对现场工作人员进行培训，严格按操作规范使用各类机械；</w:t>
            </w:r>
          </w:p>
          <w:p w14:paraId="5F9FCF62">
            <w:pPr>
              <w:pStyle w:val="51"/>
              <w:rPr>
                <w:color w:val="auto"/>
              </w:rPr>
            </w:pPr>
            <w:r>
              <w:rPr>
                <w:rFonts w:hint="eastAsia" w:ascii="宋体" w:hAnsi="宋体"/>
                <w:color w:val="auto"/>
              </w:rPr>
              <w:t>②</w:t>
            </w:r>
            <w:r>
              <w:rPr>
                <w:color w:val="auto"/>
              </w:rPr>
              <w:t>施工单位应合理安排施工时间和施工进度，不在夜间施工；</w:t>
            </w:r>
          </w:p>
          <w:p w14:paraId="10E3BA7F">
            <w:pPr>
              <w:pStyle w:val="51"/>
              <w:rPr>
                <w:color w:val="auto"/>
              </w:rPr>
            </w:pPr>
            <w:r>
              <w:rPr>
                <w:rFonts w:hint="eastAsia" w:ascii="宋体" w:hAnsi="宋体"/>
                <w:color w:val="auto"/>
              </w:rPr>
              <w:t>③</w:t>
            </w:r>
            <w:r>
              <w:rPr>
                <w:color w:val="auto"/>
              </w:rPr>
              <w:t>采用距离防护措施，在不影响施工的情况下将强噪声设备尽量远离敏感点放置，同时对相对固定的机械设备尽量入棚操作或在高噪声设备周围设置掩蔽物；</w:t>
            </w:r>
          </w:p>
          <w:p w14:paraId="0B765017">
            <w:pPr>
              <w:pStyle w:val="51"/>
              <w:rPr>
                <w:color w:val="auto"/>
              </w:rPr>
            </w:pPr>
            <w:r>
              <w:rPr>
                <w:rFonts w:hint="eastAsia" w:ascii="宋体" w:hAnsi="宋体"/>
                <w:color w:val="auto"/>
              </w:rPr>
              <w:t>④</w:t>
            </w:r>
            <w:r>
              <w:rPr>
                <w:color w:val="auto"/>
              </w:rPr>
              <w:t>施工车辆出入地点应远离声环境敏感点，车辆出入现场时应低速、禁鸣。尽量压缩工区机动车数量和行车密度，控制机动车鸣笛；</w:t>
            </w:r>
          </w:p>
          <w:p w14:paraId="54EB2D70">
            <w:pPr>
              <w:pStyle w:val="51"/>
              <w:rPr>
                <w:color w:val="auto"/>
              </w:rPr>
            </w:pPr>
            <w:r>
              <w:rPr>
                <w:rFonts w:hint="eastAsia" w:ascii="宋体" w:hAnsi="宋体"/>
                <w:color w:val="auto"/>
              </w:rPr>
              <w:t>⑤</w:t>
            </w:r>
            <w:r>
              <w:rPr>
                <w:color w:val="auto"/>
              </w:rPr>
              <w:t>建设单位与施工单位还应与施工场地周围居民建立良好关系，及时让他们了解施工进度及采取的降噪措施，取得大家的理解，以得到公众的理解与支持；</w:t>
            </w:r>
          </w:p>
          <w:p w14:paraId="5D3B0C89">
            <w:pPr>
              <w:pStyle w:val="51"/>
              <w:rPr>
                <w:color w:val="auto"/>
              </w:rPr>
            </w:pPr>
            <w:r>
              <w:rPr>
                <w:rFonts w:hint="eastAsia"/>
                <w:color w:val="auto"/>
              </w:rPr>
              <w:t>⑥</w:t>
            </w:r>
            <w:r>
              <w:rPr>
                <w:color w:val="auto"/>
              </w:rPr>
              <w:t>为减少施工期噪声的影响，在环境保护目标附近施工时建设施工围档，围档高度不低于1.8m。</w:t>
            </w:r>
          </w:p>
          <w:p w14:paraId="3D5CBE5C">
            <w:pPr>
              <w:pStyle w:val="48"/>
              <w:rPr>
                <w:color w:val="auto"/>
              </w:rPr>
            </w:pPr>
            <w:r>
              <w:rPr>
                <w:rFonts w:hint="eastAsia"/>
                <w:color w:val="auto"/>
              </w:rPr>
              <w:t>（三）施工扬尘污染防治措施</w:t>
            </w:r>
          </w:p>
          <w:p w14:paraId="29FF9A0D">
            <w:pPr>
              <w:pStyle w:val="51"/>
              <w:rPr>
                <w:color w:val="auto"/>
              </w:rPr>
            </w:pPr>
            <w:r>
              <w:rPr>
                <w:rFonts w:hint="eastAsia"/>
                <w:color w:val="auto"/>
              </w:rPr>
              <w:t>结合《安徽省建筑工程施工扬尘污染防治规定》、《安徽省大气污染防治条例》的相关规定，本工程施工期间应做好下述扬尘防治措施：</w:t>
            </w:r>
          </w:p>
          <w:p w14:paraId="4DC5BB44">
            <w:pPr>
              <w:pStyle w:val="51"/>
              <w:rPr>
                <w:color w:val="auto"/>
              </w:rPr>
            </w:pPr>
            <w:r>
              <w:rPr>
                <w:rFonts w:hint="eastAsia" w:ascii="宋体" w:hAnsi="宋体"/>
                <w:color w:val="auto"/>
              </w:rPr>
              <w:t>①</w:t>
            </w:r>
            <w:r>
              <w:rPr>
                <w:rFonts w:hint="eastAsia"/>
                <w:color w:val="auto"/>
              </w:rPr>
              <w:t>施工工地周围应当设置连续、密闭的围挡，围挡高度不得低于1.8米。</w:t>
            </w:r>
          </w:p>
          <w:p w14:paraId="35ADF1AD">
            <w:pPr>
              <w:pStyle w:val="51"/>
              <w:rPr>
                <w:color w:val="auto"/>
              </w:rPr>
            </w:pPr>
            <w:r>
              <w:rPr>
                <w:rFonts w:hint="eastAsia" w:ascii="宋体" w:hAnsi="宋体"/>
                <w:color w:val="auto"/>
              </w:rPr>
              <w:t>②</w:t>
            </w:r>
            <w:r>
              <w:rPr>
                <w:rFonts w:hint="eastAsia"/>
                <w:color w:val="auto"/>
              </w:rPr>
              <w:t>施工单位应文明施工，加强管理，施工开挖采用湿式作业，个人佩戴防尘口罩等防护措施。</w:t>
            </w:r>
          </w:p>
          <w:p w14:paraId="6D1D48BF">
            <w:pPr>
              <w:pStyle w:val="51"/>
              <w:rPr>
                <w:color w:val="auto"/>
              </w:rPr>
            </w:pPr>
            <w:r>
              <w:rPr>
                <w:rFonts w:hint="eastAsia" w:ascii="宋体" w:hAnsi="宋体"/>
                <w:color w:val="auto"/>
              </w:rPr>
              <w:t>③</w:t>
            </w:r>
            <w:r>
              <w:rPr>
                <w:rFonts w:hint="eastAsia"/>
                <w:color w:val="auto"/>
              </w:rPr>
              <w:t>部分裸露且易引起扬尘地面应勤洒水，增加土体湿度的办法抑尘。</w:t>
            </w:r>
          </w:p>
          <w:p w14:paraId="177CAB7E">
            <w:pPr>
              <w:pStyle w:val="51"/>
              <w:rPr>
                <w:color w:val="auto"/>
              </w:rPr>
            </w:pPr>
            <w:r>
              <w:rPr>
                <w:rFonts w:hint="eastAsia" w:ascii="宋体" w:hAnsi="宋体"/>
                <w:color w:val="auto"/>
              </w:rPr>
              <w:t>④</w:t>
            </w:r>
            <w:r>
              <w:rPr>
                <w:rFonts w:hint="eastAsia"/>
                <w:color w:val="auto"/>
              </w:rPr>
              <w:t>运输车辆应当在除泥、冲洗干净后方可驶出作业场所，以减少扬尘影响。</w:t>
            </w:r>
          </w:p>
          <w:p w14:paraId="24CBCE07">
            <w:pPr>
              <w:pStyle w:val="48"/>
              <w:rPr>
                <w:color w:val="auto"/>
              </w:rPr>
            </w:pPr>
            <w:r>
              <w:rPr>
                <w:rFonts w:hint="eastAsia"/>
                <w:color w:val="auto"/>
              </w:rPr>
              <w:t>（四）施工废水污染防治措施</w:t>
            </w:r>
          </w:p>
          <w:p w14:paraId="39ABA06F">
            <w:pPr>
              <w:pStyle w:val="51"/>
              <w:rPr>
                <w:color w:val="auto"/>
              </w:rPr>
            </w:pPr>
            <w:r>
              <w:rPr>
                <w:rFonts w:hint="eastAsia" w:ascii="宋体" w:hAnsi="宋体"/>
                <w:color w:val="auto"/>
              </w:rPr>
              <w:t>①</w:t>
            </w:r>
            <w:r>
              <w:rPr>
                <w:rFonts w:hint="eastAsia"/>
                <w:color w:val="auto"/>
              </w:rPr>
              <w:t>施工单位要做好施工场地周围的拦挡措施，尽量避免雨季开挖作业；</w:t>
            </w:r>
          </w:p>
          <w:p w14:paraId="08369D84">
            <w:pPr>
              <w:pStyle w:val="51"/>
              <w:rPr>
                <w:color w:val="auto"/>
              </w:rPr>
            </w:pPr>
            <w:r>
              <w:rPr>
                <w:rFonts w:hint="eastAsia" w:ascii="宋体" w:hAnsi="宋体"/>
                <w:color w:val="auto"/>
              </w:rPr>
              <w:t>②</w:t>
            </w:r>
            <w:r>
              <w:rPr>
                <w:rFonts w:hint="eastAsia"/>
                <w:color w:val="auto"/>
              </w:rPr>
              <w:t>落实文明施工原则施工在不影响施工进度的前提下，合理组织施工；</w:t>
            </w:r>
          </w:p>
          <w:p w14:paraId="3245869A">
            <w:pPr>
              <w:pStyle w:val="51"/>
              <w:rPr>
                <w:color w:val="auto"/>
              </w:rPr>
            </w:pPr>
            <w:r>
              <w:rPr>
                <w:rFonts w:hint="eastAsia" w:ascii="宋体" w:hAnsi="宋体"/>
                <w:color w:val="auto"/>
              </w:rPr>
              <w:t>③</w:t>
            </w:r>
            <w:r>
              <w:rPr>
                <w:rFonts w:hint="eastAsia"/>
                <w:color w:val="auto"/>
              </w:rPr>
              <w:t>在施工现场针对混凝土拌合，采用不渗漏的篷布或者容器进行拌合，不外排施工废水；</w:t>
            </w:r>
          </w:p>
          <w:p w14:paraId="30499DE2">
            <w:pPr>
              <w:pStyle w:val="51"/>
              <w:rPr>
                <w:color w:val="auto"/>
              </w:rPr>
            </w:pPr>
            <w:r>
              <w:rPr>
                <w:rFonts w:hint="eastAsia" w:ascii="宋体" w:hAnsi="宋体"/>
                <w:color w:val="auto"/>
              </w:rPr>
              <w:t>④</w:t>
            </w:r>
            <w:r>
              <w:rPr>
                <w:rFonts w:hint="eastAsia"/>
                <w:color w:val="auto"/>
              </w:rPr>
              <w:t>输电线路施工人员产生的生活污水依托工程附近居民家的化粪池处理。</w:t>
            </w:r>
          </w:p>
          <w:p w14:paraId="133ABC13">
            <w:pPr>
              <w:pStyle w:val="48"/>
              <w:rPr>
                <w:color w:val="auto"/>
              </w:rPr>
            </w:pPr>
            <w:r>
              <w:rPr>
                <w:rFonts w:hint="eastAsia"/>
                <w:color w:val="auto"/>
              </w:rPr>
              <w:t>（五）施工固体废物污染防治措施</w:t>
            </w:r>
          </w:p>
          <w:p w14:paraId="4F4DD7A1">
            <w:pPr>
              <w:pStyle w:val="51"/>
              <w:rPr>
                <w:color w:val="auto"/>
              </w:rPr>
            </w:pPr>
            <w:r>
              <w:rPr>
                <w:rFonts w:hint="eastAsia" w:ascii="宋体" w:hAnsi="宋体"/>
                <w:color w:val="auto"/>
              </w:rPr>
              <w:t>①</w:t>
            </w:r>
            <w:r>
              <w:rPr>
                <w:rFonts w:hint="eastAsia"/>
                <w:color w:val="auto"/>
              </w:rPr>
              <w:t>加强固体废物的综合利用。施工建筑垃圾要严格遵照当地政府有关规定，及时清运处理，开挖土方及时回填。生活垃圾分类收集后由环卫部门统一处理。施工人员居住区的生活垃圾要实行袋装化，每天由清洁员清理，集中送至指定堆放点。</w:t>
            </w:r>
          </w:p>
          <w:p w14:paraId="78561433">
            <w:pPr>
              <w:pStyle w:val="51"/>
              <w:rPr>
                <w:color w:val="auto"/>
              </w:rPr>
            </w:pPr>
            <w:r>
              <w:rPr>
                <w:rFonts w:hint="eastAsia" w:ascii="宋体" w:hAnsi="宋体"/>
                <w:color w:val="auto"/>
              </w:rPr>
              <w:t>②</w:t>
            </w:r>
            <w:r>
              <w:rPr>
                <w:rFonts w:hint="eastAsia"/>
                <w:color w:val="auto"/>
              </w:rPr>
              <w:t>尽量减少建筑材料在运输、装卸、施工过程中的跑、冒、滴、漏，建筑垃圾在指定的堆放点存放，并及时送城市垃圾填埋场。</w:t>
            </w:r>
          </w:p>
          <w:p w14:paraId="1951EB21">
            <w:pPr>
              <w:pStyle w:val="51"/>
              <w:rPr>
                <w:color w:val="auto"/>
              </w:rPr>
            </w:pPr>
            <w:r>
              <w:rPr>
                <w:rFonts w:hint="eastAsia" w:ascii="宋体" w:hAnsi="宋体" w:cs="宋体"/>
                <w:color w:val="auto"/>
              </w:rPr>
              <w:t>③</w:t>
            </w:r>
            <w:r>
              <w:rPr>
                <w:rFonts w:hint="eastAsia"/>
                <w:color w:val="auto"/>
              </w:rPr>
              <w:t>对于线路塔基开挖回填后多余的土就地平整在铁塔四角之间的区域或附近边沟边坡处，然后植草复绿，使得土地得以恢复。</w:t>
            </w:r>
          </w:p>
          <w:p w14:paraId="76B61B8A">
            <w:pPr>
              <w:pStyle w:val="70"/>
              <w:rPr>
                <w:color w:val="auto"/>
              </w:rPr>
            </w:pPr>
            <w:r>
              <w:rPr>
                <w:rFonts w:hint="eastAsia"/>
                <w:color w:val="auto"/>
              </w:rPr>
              <w:t>在认真落实各项污染防治措施后，本项目施工期对生态、大气、地表水、声环境影响较小，固体废物能妥善处理，对周围环境影响较小。</w:t>
            </w:r>
          </w:p>
        </w:tc>
      </w:tr>
      <w:tr w14:paraId="5BEEDD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78" w:hRule="atLeast"/>
          <w:jc w:val="center"/>
        </w:trPr>
        <w:tc>
          <w:tcPr>
            <w:tcW w:w="753" w:type="dxa"/>
            <w:tcMar>
              <w:left w:w="28" w:type="dxa"/>
              <w:right w:w="28" w:type="dxa"/>
            </w:tcMar>
            <w:vAlign w:val="center"/>
          </w:tcPr>
          <w:p w14:paraId="408A4FC8">
            <w:pPr>
              <w:adjustRightInd w:val="0"/>
              <w:snapToGrid w:val="0"/>
              <w:jc w:val="center"/>
              <w:rPr>
                <w:rFonts w:hint="eastAsia" w:ascii="宋体" w:hAnsi="宋体" w:cs="宋体"/>
                <w:bCs/>
                <w:spacing w:val="10"/>
                <w:szCs w:val="21"/>
              </w:rPr>
            </w:pPr>
            <w:r>
              <w:rPr>
                <w:rFonts w:hint="eastAsia" w:ascii="宋体" w:hAnsi="宋体" w:cs="宋体"/>
                <w:bCs/>
                <w:spacing w:val="10"/>
                <w:szCs w:val="21"/>
              </w:rPr>
              <w:t>运营期生态环境保护措施</w:t>
            </w:r>
          </w:p>
        </w:tc>
        <w:tc>
          <w:tcPr>
            <w:tcW w:w="8457" w:type="dxa"/>
          </w:tcPr>
          <w:p w14:paraId="1523881F">
            <w:pPr>
              <w:pStyle w:val="48"/>
              <w:rPr>
                <w:color w:val="auto"/>
              </w:rPr>
            </w:pPr>
            <w:r>
              <w:rPr>
                <w:rFonts w:hint="eastAsia"/>
                <w:color w:val="auto"/>
              </w:rPr>
              <w:t>（六）电磁环境防治措施</w:t>
            </w:r>
          </w:p>
          <w:p w14:paraId="0F29C649">
            <w:pPr>
              <w:pStyle w:val="51"/>
              <w:rPr>
                <w:color w:val="auto"/>
              </w:rPr>
            </w:pPr>
            <w:r>
              <w:rPr>
                <w:rFonts w:hint="eastAsia"/>
                <w:color w:val="auto"/>
              </w:rPr>
              <w:t>华润州来凤台县张集光伏电站项目配套220kV升压站采用户外型布置、3</w:t>
            </w:r>
            <w:r>
              <w:rPr>
                <w:color w:val="auto"/>
              </w:rPr>
              <w:t>5</w:t>
            </w:r>
            <w:r>
              <w:rPr>
                <w:rFonts w:hint="eastAsia"/>
                <w:color w:val="auto"/>
              </w:rPr>
              <w:t>kV配电装置采用户内布置，主变及电器设备合理布局，保证导体和电气设备安全距离，设备防雷接地保护装置，降低静电感应的影响。</w:t>
            </w:r>
          </w:p>
          <w:p w14:paraId="50A89AC3">
            <w:pPr>
              <w:pStyle w:val="51"/>
              <w:rPr>
                <w:color w:val="auto"/>
              </w:rPr>
            </w:pPr>
            <w:r>
              <w:rPr>
                <w:rFonts w:hint="eastAsia"/>
                <w:color w:val="auto"/>
              </w:rPr>
              <w:t>送出线路建设时，采用架空方式，采用提高导线对地高度、优化导线相间距离以及导线布置方式，以降低输电线路对周围电磁环境的影响。架空线路通过采取以下措施，确保线路周围及环境敏感目标处的工频电场、工频磁场满足相应的限值要求；</w:t>
            </w:r>
          </w:p>
          <w:p w14:paraId="6F46062D">
            <w:pPr>
              <w:pStyle w:val="51"/>
              <w:rPr>
                <w:color w:val="auto"/>
              </w:rPr>
            </w:pPr>
            <w:r>
              <w:rPr>
                <w:rFonts w:hint="eastAsia"/>
                <w:color w:val="auto"/>
              </w:rPr>
              <w:t>220kV架空线路经过非居民区时，导线的最低对地高度应不小于6.5m；经过居民区时，导线的最低对地高度或跨越民房的净空高度应不小于7.5m；边导线外2m以外有民房时，导线与民房问的净空距离不得小于5m。</w:t>
            </w:r>
          </w:p>
          <w:p w14:paraId="6C67D64B">
            <w:pPr>
              <w:pStyle w:val="48"/>
              <w:rPr>
                <w:color w:val="auto"/>
              </w:rPr>
            </w:pPr>
            <w:r>
              <w:rPr>
                <w:rFonts w:hint="eastAsia"/>
                <w:color w:val="auto"/>
              </w:rPr>
              <w:t>（七）声环境影响防治措施</w:t>
            </w:r>
          </w:p>
          <w:p w14:paraId="6694F574">
            <w:pPr>
              <w:pStyle w:val="51"/>
              <w:rPr>
                <w:color w:val="auto"/>
              </w:rPr>
            </w:pPr>
            <w:r>
              <w:rPr>
                <w:rFonts w:hint="eastAsia"/>
                <w:color w:val="auto"/>
              </w:rPr>
              <w:t>架空线路建设时通过选用加工工艺水平高、表面光滑的导线减少电晕放电，并采取提高导线对地高度等措施，以降低对周围敏感目标的声环境影响。</w:t>
            </w:r>
          </w:p>
          <w:p w14:paraId="7B9946DE">
            <w:pPr>
              <w:pStyle w:val="48"/>
              <w:rPr>
                <w:color w:val="auto"/>
              </w:rPr>
            </w:pPr>
            <w:r>
              <w:rPr>
                <w:rFonts w:hint="eastAsia"/>
                <w:color w:val="auto"/>
              </w:rPr>
              <w:t>（八）生态环境影响保护措施</w:t>
            </w:r>
          </w:p>
          <w:p w14:paraId="4240A9C9">
            <w:pPr>
              <w:pStyle w:val="51"/>
              <w:rPr>
                <w:color w:val="auto"/>
              </w:rPr>
            </w:pPr>
            <w:r>
              <w:rPr>
                <w:rFonts w:hint="eastAsia"/>
                <w:color w:val="auto"/>
              </w:rPr>
              <w:t>运行期做好环境保护设施的维护和运行管理，进行线路巡检和维护时，避免过多人员和车辆进入耕地、林地或其他环境敏感区，以减少对当地地表土壤结构和植被的破坏，避免过多干扰野生动物的生境；强化设备检修维护人员的生态环境保护意识教育，并严格管理，避免对项目周边的自然植被和生态系统的破坏。</w:t>
            </w:r>
          </w:p>
          <w:p w14:paraId="45BE56AA">
            <w:pPr>
              <w:pStyle w:val="48"/>
              <w:rPr>
                <w:color w:val="auto"/>
              </w:rPr>
            </w:pPr>
            <w:r>
              <w:rPr>
                <w:rFonts w:hint="eastAsia"/>
                <w:color w:val="auto"/>
              </w:rPr>
              <w:t>（九）水环境影响防治措施</w:t>
            </w:r>
          </w:p>
          <w:p w14:paraId="320F9F03">
            <w:pPr>
              <w:pStyle w:val="51"/>
              <w:rPr>
                <w:color w:val="auto"/>
              </w:rPr>
            </w:pPr>
            <w:r>
              <w:rPr>
                <w:rFonts w:hint="eastAsia"/>
                <w:color w:val="auto"/>
              </w:rPr>
              <w:t>送出线路运行期间无废水产生。</w:t>
            </w:r>
          </w:p>
          <w:p w14:paraId="1C53F51B">
            <w:pPr>
              <w:pStyle w:val="49"/>
              <w:rPr>
                <w:color w:val="auto"/>
              </w:rPr>
            </w:pPr>
            <w:r>
              <w:rPr>
                <w:rFonts w:hint="eastAsia"/>
                <w:color w:val="auto"/>
              </w:rPr>
              <w:t>在认真落实各项污染防治措施后，本项目运营期对电磁、声环境影响较小，能达到相应标准限值的要求。</w:t>
            </w:r>
          </w:p>
        </w:tc>
      </w:tr>
      <w:tr w14:paraId="2AE7D9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02" w:hRule="atLeast"/>
          <w:jc w:val="center"/>
        </w:trPr>
        <w:tc>
          <w:tcPr>
            <w:tcW w:w="753" w:type="dxa"/>
            <w:vAlign w:val="center"/>
          </w:tcPr>
          <w:p w14:paraId="75B1AFE1">
            <w:pPr>
              <w:adjustRightInd w:val="0"/>
              <w:snapToGrid w:val="0"/>
              <w:jc w:val="center"/>
              <w:rPr>
                <w:rFonts w:hint="eastAsia" w:ascii="宋体" w:hAnsi="宋体" w:cs="宋体"/>
                <w:bCs/>
                <w:spacing w:val="10"/>
                <w:szCs w:val="21"/>
              </w:rPr>
            </w:pPr>
            <w:r>
              <w:rPr>
                <w:rFonts w:hint="eastAsia" w:ascii="宋体" w:hAnsi="宋体"/>
                <w:bCs/>
                <w:szCs w:val="21"/>
              </w:rPr>
              <w:t>其他</w:t>
            </w:r>
          </w:p>
        </w:tc>
        <w:tc>
          <w:tcPr>
            <w:tcW w:w="8457" w:type="dxa"/>
          </w:tcPr>
          <w:p w14:paraId="3CB552A9">
            <w:pPr>
              <w:pStyle w:val="48"/>
              <w:rPr>
                <w:color w:val="auto"/>
              </w:rPr>
            </w:pPr>
            <w:r>
              <w:rPr>
                <w:rFonts w:hint="eastAsia"/>
                <w:color w:val="auto"/>
              </w:rPr>
              <w:t>（十）环境管理与监测计划</w:t>
            </w:r>
          </w:p>
          <w:p w14:paraId="1330E40E">
            <w:pPr>
              <w:pStyle w:val="49"/>
              <w:rPr>
                <w:color w:val="auto"/>
              </w:rPr>
            </w:pPr>
            <w:r>
              <w:rPr>
                <w:rFonts w:hint="eastAsia"/>
                <w:color w:val="auto"/>
              </w:rPr>
              <w:t>1、环境管理</w:t>
            </w:r>
          </w:p>
          <w:p w14:paraId="55A9AB93">
            <w:pPr>
              <w:pStyle w:val="51"/>
              <w:rPr>
                <w:color w:val="auto"/>
              </w:rPr>
            </w:pPr>
            <w:r>
              <w:rPr>
                <w:rFonts w:hint="eastAsia"/>
                <w:color w:val="auto"/>
              </w:rPr>
              <w:t>目前，企业一般实行站长（升压站站长）负责制，在搞好生产经营的同时，应切实把环境管理纳入生产管理轨道。同时成立由副站长主管环境管理的领导工作，下设负责具体管理职能的专项管理机构——环境保护管理办公室或相关机构，负责全厂的环境保护管理。其主要职责为：</w:t>
            </w:r>
          </w:p>
          <w:p w14:paraId="692812F9">
            <w:pPr>
              <w:pStyle w:val="51"/>
              <w:rPr>
                <w:color w:val="auto"/>
              </w:rPr>
            </w:pPr>
            <w:r>
              <w:rPr>
                <w:rFonts w:hint="eastAsia"/>
                <w:color w:val="auto"/>
              </w:rPr>
              <w:t>（1）组织企业贯彻执行国家和地方政府的环保法规，方针和政策；</w:t>
            </w:r>
          </w:p>
          <w:p w14:paraId="416CBBDD">
            <w:pPr>
              <w:pStyle w:val="51"/>
              <w:rPr>
                <w:color w:val="auto"/>
              </w:rPr>
            </w:pPr>
            <w:r>
              <w:rPr>
                <w:rFonts w:hint="eastAsia"/>
                <w:color w:val="auto"/>
              </w:rPr>
              <w:t>（2）组织制定并执行本厂的环境管理制度；</w:t>
            </w:r>
          </w:p>
          <w:p w14:paraId="036FEC39">
            <w:pPr>
              <w:pStyle w:val="51"/>
              <w:rPr>
                <w:color w:val="auto"/>
              </w:rPr>
            </w:pPr>
            <w:r>
              <w:rPr>
                <w:rFonts w:hint="eastAsia"/>
                <w:color w:val="auto"/>
              </w:rPr>
              <w:t>（3）制定并组织实施环境保护规划和计划；</w:t>
            </w:r>
          </w:p>
          <w:p w14:paraId="77C5FF80">
            <w:pPr>
              <w:pStyle w:val="51"/>
              <w:rPr>
                <w:color w:val="auto"/>
              </w:rPr>
            </w:pPr>
            <w:r>
              <w:rPr>
                <w:rFonts w:hint="eastAsia"/>
                <w:color w:val="auto"/>
              </w:rPr>
              <w:t>（4）负责各项环保设施的生产管理和监控工作；</w:t>
            </w:r>
          </w:p>
          <w:p w14:paraId="01E7C591">
            <w:pPr>
              <w:pStyle w:val="51"/>
              <w:rPr>
                <w:color w:val="auto"/>
              </w:rPr>
            </w:pPr>
            <w:r>
              <w:rPr>
                <w:rFonts w:hint="eastAsia"/>
                <w:color w:val="auto"/>
              </w:rPr>
              <w:t>（5）负责环保设施事故与环境污染事故的处理；</w:t>
            </w:r>
          </w:p>
          <w:p w14:paraId="33930D17">
            <w:pPr>
              <w:pStyle w:val="51"/>
              <w:rPr>
                <w:color w:val="auto"/>
              </w:rPr>
            </w:pPr>
            <w:r>
              <w:rPr>
                <w:rFonts w:hint="eastAsia"/>
                <w:color w:val="auto"/>
              </w:rPr>
              <w:t>（6）推广应用先进的环保技术和经验，促进污染的综合防治和回收利用或循环使用；</w:t>
            </w:r>
          </w:p>
          <w:p w14:paraId="2B69F4CA">
            <w:pPr>
              <w:pStyle w:val="51"/>
              <w:rPr>
                <w:color w:val="auto"/>
              </w:rPr>
            </w:pPr>
            <w:r>
              <w:rPr>
                <w:rFonts w:hint="eastAsia"/>
                <w:color w:val="auto"/>
              </w:rPr>
              <w:t>（7）组织开展环境保护宣传和教育，加强群众的环保意识与工人的劳动保护意识。</w:t>
            </w:r>
          </w:p>
          <w:p w14:paraId="1AE0B42A">
            <w:pPr>
              <w:pStyle w:val="49"/>
              <w:rPr>
                <w:color w:val="auto"/>
              </w:rPr>
            </w:pPr>
            <w:r>
              <w:rPr>
                <w:rFonts w:hint="eastAsia"/>
                <w:color w:val="auto"/>
              </w:rPr>
              <w:t>2、环境监测计划</w:t>
            </w:r>
          </w:p>
          <w:p w14:paraId="396C6D60">
            <w:pPr>
              <w:pStyle w:val="51"/>
              <w:rPr>
                <w:color w:val="auto"/>
              </w:rPr>
            </w:pPr>
            <w:r>
              <w:rPr>
                <w:rFonts w:hint="eastAsia"/>
                <w:color w:val="auto"/>
              </w:rPr>
              <w:t>本次环境监测计划为运行期。</w:t>
            </w:r>
          </w:p>
          <w:p w14:paraId="0FACC59C">
            <w:pPr>
              <w:pStyle w:val="51"/>
              <w:rPr>
                <w:color w:val="auto"/>
              </w:rPr>
            </w:pPr>
            <w:r>
              <w:rPr>
                <w:rFonts w:hint="eastAsia"/>
                <w:color w:val="auto"/>
              </w:rPr>
              <w:t>运行期的检测主要是对投运后的升压站产生的工频电场、磁场、噪声对环境的影响，与原先的背景检测值进行比较。升压站投产运行后，建设单位需自行进行环境保护验收，检查环保设施及效果，并提出改进措施。正常运行后建设单位可委托具有资质的单位负责运行期环境检测。具体检测计划见表5-1。</w:t>
            </w:r>
          </w:p>
          <w:p w14:paraId="72259AF4">
            <w:pPr>
              <w:pStyle w:val="53"/>
              <w:rPr>
                <w:color w:val="auto"/>
              </w:rPr>
            </w:pPr>
            <w:r>
              <w:rPr>
                <w:rFonts w:hint="eastAsia"/>
                <w:color w:val="auto"/>
              </w:rPr>
              <w:t>表</w:t>
            </w:r>
            <w:r>
              <w:rPr>
                <w:color w:val="auto"/>
              </w:rPr>
              <w:t xml:space="preserve">5-1  </w:t>
            </w:r>
            <w:r>
              <w:rPr>
                <w:rFonts w:hint="eastAsia"/>
                <w:color w:val="auto"/>
              </w:rPr>
              <w:t>运行期环境监测计划</w:t>
            </w:r>
          </w:p>
          <w:tbl>
            <w:tblPr>
              <w:tblStyle w:val="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25"/>
              <w:gridCol w:w="1276"/>
              <w:gridCol w:w="1701"/>
              <w:gridCol w:w="4439"/>
            </w:tblGrid>
            <w:tr w14:paraId="155CD6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1" w:type="pct"/>
                  <w:vAlign w:val="center"/>
                </w:tcPr>
                <w:p w14:paraId="27B68611">
                  <w:pPr>
                    <w:pStyle w:val="55"/>
                    <w:rPr>
                      <w:color w:val="auto"/>
                    </w:rPr>
                  </w:pPr>
                  <w:r>
                    <w:rPr>
                      <w:rFonts w:hint="eastAsia"/>
                      <w:color w:val="auto"/>
                    </w:rPr>
                    <w:t>序号</w:t>
                  </w:r>
                </w:p>
              </w:tc>
              <w:tc>
                <w:tcPr>
                  <w:tcW w:w="1806" w:type="pct"/>
                  <w:gridSpan w:val="2"/>
                  <w:vAlign w:val="center"/>
                </w:tcPr>
                <w:p w14:paraId="204204BB">
                  <w:pPr>
                    <w:pStyle w:val="55"/>
                    <w:rPr>
                      <w:color w:val="auto"/>
                    </w:rPr>
                  </w:pPr>
                  <w:r>
                    <w:rPr>
                      <w:rFonts w:hint="eastAsia"/>
                      <w:color w:val="auto"/>
                    </w:rPr>
                    <w:t>名称</w:t>
                  </w:r>
                </w:p>
              </w:tc>
              <w:tc>
                <w:tcPr>
                  <w:tcW w:w="2693" w:type="pct"/>
                  <w:vAlign w:val="center"/>
                </w:tcPr>
                <w:p w14:paraId="1FBC4982">
                  <w:pPr>
                    <w:pStyle w:val="55"/>
                    <w:rPr>
                      <w:color w:val="auto"/>
                    </w:rPr>
                  </w:pPr>
                  <w:r>
                    <w:rPr>
                      <w:rFonts w:hint="eastAsia"/>
                      <w:color w:val="auto"/>
                    </w:rPr>
                    <w:t>内容</w:t>
                  </w:r>
                </w:p>
              </w:tc>
            </w:tr>
            <w:tr w14:paraId="7FD99C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1" w:type="pct"/>
                  <w:vMerge w:val="restart"/>
                  <w:vAlign w:val="center"/>
                </w:tcPr>
                <w:p w14:paraId="2596D651">
                  <w:pPr>
                    <w:pStyle w:val="55"/>
                    <w:rPr>
                      <w:color w:val="auto"/>
                    </w:rPr>
                  </w:pPr>
                  <w:r>
                    <w:rPr>
                      <w:rFonts w:hint="eastAsia"/>
                      <w:color w:val="auto"/>
                    </w:rPr>
                    <w:t>1</w:t>
                  </w:r>
                </w:p>
              </w:tc>
              <w:tc>
                <w:tcPr>
                  <w:tcW w:w="774" w:type="pct"/>
                  <w:vMerge w:val="restart"/>
                  <w:vAlign w:val="center"/>
                </w:tcPr>
                <w:p w14:paraId="26A8A2B1">
                  <w:pPr>
                    <w:pStyle w:val="55"/>
                    <w:rPr>
                      <w:color w:val="auto"/>
                    </w:rPr>
                  </w:pPr>
                  <w:r>
                    <w:rPr>
                      <w:rFonts w:hint="eastAsia"/>
                      <w:color w:val="auto"/>
                    </w:rPr>
                    <w:t>工频电场</w:t>
                  </w:r>
                </w:p>
                <w:p w14:paraId="2E761BCC">
                  <w:pPr>
                    <w:pStyle w:val="55"/>
                    <w:rPr>
                      <w:color w:val="auto"/>
                    </w:rPr>
                  </w:pPr>
                  <w:r>
                    <w:rPr>
                      <w:rFonts w:hint="eastAsia"/>
                      <w:color w:val="auto"/>
                    </w:rPr>
                    <w:t>工频磁场</w:t>
                  </w:r>
                </w:p>
              </w:tc>
              <w:tc>
                <w:tcPr>
                  <w:tcW w:w="1032" w:type="pct"/>
                  <w:vAlign w:val="center"/>
                </w:tcPr>
                <w:p w14:paraId="04151D22">
                  <w:pPr>
                    <w:pStyle w:val="55"/>
                    <w:rPr>
                      <w:color w:val="auto"/>
                    </w:rPr>
                  </w:pPr>
                  <w:r>
                    <w:rPr>
                      <w:rFonts w:hint="eastAsia"/>
                      <w:color w:val="auto"/>
                    </w:rPr>
                    <w:t>点位布设</w:t>
                  </w:r>
                </w:p>
              </w:tc>
              <w:tc>
                <w:tcPr>
                  <w:tcW w:w="2693" w:type="pct"/>
                  <w:vAlign w:val="center"/>
                </w:tcPr>
                <w:p w14:paraId="390B416C">
                  <w:pPr>
                    <w:pStyle w:val="55"/>
                    <w:rPr>
                      <w:color w:val="auto"/>
                    </w:rPr>
                  </w:pPr>
                  <w:r>
                    <w:rPr>
                      <w:rFonts w:hint="eastAsia"/>
                      <w:color w:val="auto"/>
                    </w:rPr>
                    <w:t>升压站周围、线路沿线及最近居民点</w:t>
                  </w:r>
                </w:p>
              </w:tc>
            </w:tr>
            <w:tr w14:paraId="7598C9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1" w:type="pct"/>
                  <w:vMerge w:val="continue"/>
                  <w:vAlign w:val="center"/>
                </w:tcPr>
                <w:p w14:paraId="5A4989A5">
                  <w:pPr>
                    <w:pStyle w:val="55"/>
                    <w:rPr>
                      <w:color w:val="auto"/>
                    </w:rPr>
                  </w:pPr>
                </w:p>
              </w:tc>
              <w:tc>
                <w:tcPr>
                  <w:tcW w:w="774" w:type="pct"/>
                  <w:vMerge w:val="continue"/>
                  <w:vAlign w:val="center"/>
                </w:tcPr>
                <w:p w14:paraId="52325F60">
                  <w:pPr>
                    <w:pStyle w:val="55"/>
                    <w:rPr>
                      <w:color w:val="auto"/>
                    </w:rPr>
                  </w:pPr>
                </w:p>
              </w:tc>
              <w:tc>
                <w:tcPr>
                  <w:tcW w:w="1032" w:type="pct"/>
                  <w:vAlign w:val="center"/>
                </w:tcPr>
                <w:p w14:paraId="7181B6F2">
                  <w:pPr>
                    <w:pStyle w:val="55"/>
                    <w:rPr>
                      <w:color w:val="auto"/>
                    </w:rPr>
                  </w:pPr>
                  <w:r>
                    <w:rPr>
                      <w:rFonts w:hint="eastAsia"/>
                      <w:color w:val="auto"/>
                    </w:rPr>
                    <w:t>监测项目</w:t>
                  </w:r>
                </w:p>
              </w:tc>
              <w:tc>
                <w:tcPr>
                  <w:tcW w:w="2693" w:type="pct"/>
                  <w:vAlign w:val="center"/>
                </w:tcPr>
                <w:p w14:paraId="18545049">
                  <w:pPr>
                    <w:pStyle w:val="55"/>
                    <w:rPr>
                      <w:color w:val="auto"/>
                    </w:rPr>
                  </w:pPr>
                  <w:r>
                    <w:rPr>
                      <w:rFonts w:hint="eastAsia"/>
                      <w:color w:val="auto"/>
                    </w:rPr>
                    <w:t>工频电场、工频磁场</w:t>
                  </w:r>
                </w:p>
              </w:tc>
            </w:tr>
            <w:tr w14:paraId="5A3267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1" w:type="pct"/>
                  <w:vMerge w:val="continue"/>
                  <w:vAlign w:val="center"/>
                </w:tcPr>
                <w:p w14:paraId="01742A53">
                  <w:pPr>
                    <w:pStyle w:val="55"/>
                    <w:rPr>
                      <w:color w:val="auto"/>
                    </w:rPr>
                  </w:pPr>
                </w:p>
              </w:tc>
              <w:tc>
                <w:tcPr>
                  <w:tcW w:w="774" w:type="pct"/>
                  <w:vMerge w:val="continue"/>
                  <w:vAlign w:val="center"/>
                </w:tcPr>
                <w:p w14:paraId="60886FD1">
                  <w:pPr>
                    <w:pStyle w:val="55"/>
                    <w:rPr>
                      <w:color w:val="auto"/>
                    </w:rPr>
                  </w:pPr>
                </w:p>
              </w:tc>
              <w:tc>
                <w:tcPr>
                  <w:tcW w:w="1032" w:type="pct"/>
                  <w:vAlign w:val="center"/>
                </w:tcPr>
                <w:p w14:paraId="6D369192">
                  <w:pPr>
                    <w:pStyle w:val="55"/>
                    <w:rPr>
                      <w:color w:val="auto"/>
                    </w:rPr>
                  </w:pPr>
                  <w:r>
                    <w:rPr>
                      <w:rFonts w:hint="eastAsia"/>
                      <w:color w:val="auto"/>
                    </w:rPr>
                    <w:t>监测方法</w:t>
                  </w:r>
                </w:p>
              </w:tc>
              <w:tc>
                <w:tcPr>
                  <w:tcW w:w="2693" w:type="pct"/>
                  <w:vAlign w:val="center"/>
                </w:tcPr>
                <w:p w14:paraId="617B81E0">
                  <w:pPr>
                    <w:pStyle w:val="55"/>
                    <w:rPr>
                      <w:color w:val="auto"/>
                    </w:rPr>
                  </w:pPr>
                  <w:r>
                    <w:rPr>
                      <w:rFonts w:hint="eastAsia"/>
                      <w:color w:val="auto"/>
                    </w:rPr>
                    <w:t>《交流输变电工程电磁环境监测方法（试行）》（HJ</w:t>
                  </w:r>
                  <w:r>
                    <w:rPr>
                      <w:color w:val="auto"/>
                    </w:rPr>
                    <w:t>681-2013</w:t>
                  </w:r>
                  <w:r>
                    <w:rPr>
                      <w:rFonts w:hint="eastAsia"/>
                      <w:color w:val="auto"/>
                    </w:rPr>
                    <w:t>）</w:t>
                  </w:r>
                </w:p>
              </w:tc>
            </w:tr>
            <w:tr w14:paraId="1F18F8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1" w:type="pct"/>
                  <w:vMerge w:val="continue"/>
                  <w:vAlign w:val="center"/>
                </w:tcPr>
                <w:p w14:paraId="5AC08156">
                  <w:pPr>
                    <w:pStyle w:val="55"/>
                    <w:rPr>
                      <w:color w:val="auto"/>
                    </w:rPr>
                  </w:pPr>
                </w:p>
              </w:tc>
              <w:tc>
                <w:tcPr>
                  <w:tcW w:w="774" w:type="pct"/>
                  <w:vMerge w:val="continue"/>
                  <w:vAlign w:val="center"/>
                </w:tcPr>
                <w:p w14:paraId="262E9523">
                  <w:pPr>
                    <w:pStyle w:val="55"/>
                    <w:rPr>
                      <w:color w:val="auto"/>
                    </w:rPr>
                  </w:pPr>
                </w:p>
              </w:tc>
              <w:tc>
                <w:tcPr>
                  <w:tcW w:w="1032" w:type="pct"/>
                  <w:vAlign w:val="center"/>
                </w:tcPr>
                <w:p w14:paraId="641C31D6">
                  <w:pPr>
                    <w:pStyle w:val="55"/>
                    <w:rPr>
                      <w:color w:val="auto"/>
                    </w:rPr>
                  </w:pPr>
                  <w:r>
                    <w:rPr>
                      <w:rFonts w:hint="eastAsia"/>
                      <w:color w:val="auto"/>
                    </w:rPr>
                    <w:t>监测频次和时间</w:t>
                  </w:r>
                </w:p>
              </w:tc>
              <w:tc>
                <w:tcPr>
                  <w:tcW w:w="2693" w:type="pct"/>
                  <w:vAlign w:val="center"/>
                </w:tcPr>
                <w:p w14:paraId="28B0BB95">
                  <w:pPr>
                    <w:pStyle w:val="55"/>
                    <w:jc w:val="left"/>
                    <w:rPr>
                      <w:color w:val="auto"/>
                    </w:rPr>
                  </w:pPr>
                  <w:r>
                    <w:rPr>
                      <w:rFonts w:hint="eastAsia"/>
                      <w:color w:val="auto"/>
                    </w:rPr>
                    <w:t>工程竣工环境保护验收监测一次，其他升压站每四年监测一次或者有环保投诉时监测，线路有环保投诉时监测；</w:t>
                  </w:r>
                </w:p>
              </w:tc>
            </w:tr>
            <w:tr w14:paraId="17B524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1" w:type="pct"/>
                  <w:vMerge w:val="restart"/>
                  <w:vAlign w:val="center"/>
                </w:tcPr>
                <w:p w14:paraId="1C07067E">
                  <w:pPr>
                    <w:pStyle w:val="55"/>
                    <w:rPr>
                      <w:color w:val="auto"/>
                    </w:rPr>
                  </w:pPr>
                  <w:r>
                    <w:rPr>
                      <w:rFonts w:hint="eastAsia"/>
                      <w:color w:val="auto"/>
                    </w:rPr>
                    <w:t>2</w:t>
                  </w:r>
                </w:p>
              </w:tc>
              <w:tc>
                <w:tcPr>
                  <w:tcW w:w="774" w:type="pct"/>
                  <w:vMerge w:val="restart"/>
                  <w:vAlign w:val="center"/>
                </w:tcPr>
                <w:p w14:paraId="5490C69F">
                  <w:pPr>
                    <w:pStyle w:val="55"/>
                    <w:rPr>
                      <w:color w:val="auto"/>
                    </w:rPr>
                  </w:pPr>
                  <w:r>
                    <w:rPr>
                      <w:rFonts w:hint="eastAsia"/>
                      <w:color w:val="auto"/>
                    </w:rPr>
                    <w:t>噪声</w:t>
                  </w:r>
                </w:p>
              </w:tc>
              <w:tc>
                <w:tcPr>
                  <w:tcW w:w="1032" w:type="pct"/>
                  <w:vAlign w:val="center"/>
                </w:tcPr>
                <w:p w14:paraId="51209A1A">
                  <w:pPr>
                    <w:pStyle w:val="55"/>
                    <w:rPr>
                      <w:color w:val="auto"/>
                    </w:rPr>
                  </w:pPr>
                  <w:r>
                    <w:rPr>
                      <w:rFonts w:hint="eastAsia"/>
                      <w:color w:val="auto"/>
                    </w:rPr>
                    <w:t>点位布设</w:t>
                  </w:r>
                </w:p>
              </w:tc>
              <w:tc>
                <w:tcPr>
                  <w:tcW w:w="2693" w:type="pct"/>
                  <w:vAlign w:val="center"/>
                </w:tcPr>
                <w:p w14:paraId="6AC4B734">
                  <w:pPr>
                    <w:pStyle w:val="55"/>
                    <w:rPr>
                      <w:color w:val="auto"/>
                    </w:rPr>
                  </w:pPr>
                  <w:r>
                    <w:rPr>
                      <w:rFonts w:hint="eastAsia"/>
                      <w:color w:val="auto"/>
                    </w:rPr>
                    <w:t>架空线路沿线</w:t>
                  </w:r>
                </w:p>
              </w:tc>
            </w:tr>
            <w:tr w14:paraId="3208CB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1" w:type="pct"/>
                  <w:vMerge w:val="continue"/>
                  <w:vAlign w:val="center"/>
                </w:tcPr>
                <w:p w14:paraId="1B5851A1">
                  <w:pPr>
                    <w:pStyle w:val="55"/>
                    <w:rPr>
                      <w:color w:val="auto"/>
                    </w:rPr>
                  </w:pPr>
                </w:p>
              </w:tc>
              <w:tc>
                <w:tcPr>
                  <w:tcW w:w="774" w:type="pct"/>
                  <w:vMerge w:val="continue"/>
                  <w:vAlign w:val="center"/>
                </w:tcPr>
                <w:p w14:paraId="264059EB">
                  <w:pPr>
                    <w:pStyle w:val="55"/>
                    <w:rPr>
                      <w:color w:val="auto"/>
                    </w:rPr>
                  </w:pPr>
                </w:p>
              </w:tc>
              <w:tc>
                <w:tcPr>
                  <w:tcW w:w="1032" w:type="pct"/>
                  <w:vAlign w:val="center"/>
                </w:tcPr>
                <w:p w14:paraId="0DC64A57">
                  <w:pPr>
                    <w:pStyle w:val="55"/>
                    <w:rPr>
                      <w:color w:val="auto"/>
                    </w:rPr>
                  </w:pPr>
                  <w:r>
                    <w:rPr>
                      <w:rFonts w:hint="eastAsia"/>
                      <w:color w:val="auto"/>
                    </w:rPr>
                    <w:t>监测项目</w:t>
                  </w:r>
                </w:p>
              </w:tc>
              <w:tc>
                <w:tcPr>
                  <w:tcW w:w="2693" w:type="pct"/>
                  <w:vAlign w:val="center"/>
                </w:tcPr>
                <w:p w14:paraId="0B1EA767">
                  <w:pPr>
                    <w:pStyle w:val="55"/>
                    <w:rPr>
                      <w:color w:val="auto"/>
                    </w:rPr>
                  </w:pPr>
                  <w:r>
                    <w:rPr>
                      <w:rFonts w:hint="eastAsia"/>
                      <w:color w:val="auto"/>
                    </w:rPr>
                    <w:t>连续等效A声级</w:t>
                  </w:r>
                </w:p>
              </w:tc>
            </w:tr>
            <w:tr w14:paraId="62FA09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1" w:type="pct"/>
                  <w:vMerge w:val="continue"/>
                  <w:vAlign w:val="center"/>
                </w:tcPr>
                <w:p w14:paraId="1684DF3B">
                  <w:pPr>
                    <w:pStyle w:val="55"/>
                    <w:rPr>
                      <w:color w:val="auto"/>
                    </w:rPr>
                  </w:pPr>
                </w:p>
              </w:tc>
              <w:tc>
                <w:tcPr>
                  <w:tcW w:w="774" w:type="pct"/>
                  <w:vMerge w:val="continue"/>
                  <w:vAlign w:val="center"/>
                </w:tcPr>
                <w:p w14:paraId="02748585">
                  <w:pPr>
                    <w:pStyle w:val="55"/>
                    <w:rPr>
                      <w:color w:val="auto"/>
                    </w:rPr>
                  </w:pPr>
                </w:p>
              </w:tc>
              <w:tc>
                <w:tcPr>
                  <w:tcW w:w="1032" w:type="pct"/>
                  <w:vAlign w:val="center"/>
                </w:tcPr>
                <w:p w14:paraId="4B3303CD">
                  <w:pPr>
                    <w:pStyle w:val="55"/>
                    <w:rPr>
                      <w:color w:val="auto"/>
                    </w:rPr>
                  </w:pPr>
                  <w:r>
                    <w:rPr>
                      <w:rFonts w:hint="eastAsia"/>
                      <w:color w:val="auto"/>
                    </w:rPr>
                    <w:t>监测方案</w:t>
                  </w:r>
                </w:p>
              </w:tc>
              <w:tc>
                <w:tcPr>
                  <w:tcW w:w="2693" w:type="pct"/>
                  <w:vAlign w:val="center"/>
                </w:tcPr>
                <w:p w14:paraId="7F25AA0F">
                  <w:pPr>
                    <w:pStyle w:val="55"/>
                    <w:rPr>
                      <w:color w:val="auto"/>
                    </w:rPr>
                  </w:pPr>
                  <w:r>
                    <w:rPr>
                      <w:rFonts w:hint="eastAsia"/>
                      <w:color w:val="auto"/>
                    </w:rPr>
                    <w:t>《声环境质量标准》（GB</w:t>
                  </w:r>
                  <w:r>
                    <w:rPr>
                      <w:color w:val="auto"/>
                    </w:rPr>
                    <w:t>3096-2008</w:t>
                  </w:r>
                  <w:r>
                    <w:rPr>
                      <w:rFonts w:hint="eastAsia"/>
                      <w:color w:val="auto"/>
                    </w:rPr>
                    <w:t>）</w:t>
                  </w:r>
                </w:p>
              </w:tc>
            </w:tr>
            <w:tr w14:paraId="0EB426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1" w:type="pct"/>
                  <w:vMerge w:val="continue"/>
                  <w:vAlign w:val="center"/>
                </w:tcPr>
                <w:p w14:paraId="2D4927F7">
                  <w:pPr>
                    <w:pStyle w:val="55"/>
                    <w:rPr>
                      <w:color w:val="auto"/>
                    </w:rPr>
                  </w:pPr>
                </w:p>
              </w:tc>
              <w:tc>
                <w:tcPr>
                  <w:tcW w:w="774" w:type="pct"/>
                  <w:vMerge w:val="continue"/>
                  <w:vAlign w:val="center"/>
                </w:tcPr>
                <w:p w14:paraId="6A8F087E">
                  <w:pPr>
                    <w:pStyle w:val="55"/>
                    <w:rPr>
                      <w:color w:val="auto"/>
                    </w:rPr>
                  </w:pPr>
                </w:p>
              </w:tc>
              <w:tc>
                <w:tcPr>
                  <w:tcW w:w="1032" w:type="pct"/>
                  <w:vAlign w:val="center"/>
                </w:tcPr>
                <w:p w14:paraId="0C45BAD8">
                  <w:pPr>
                    <w:pStyle w:val="55"/>
                    <w:rPr>
                      <w:color w:val="auto"/>
                    </w:rPr>
                  </w:pPr>
                  <w:r>
                    <w:rPr>
                      <w:rFonts w:hint="eastAsia"/>
                      <w:color w:val="auto"/>
                    </w:rPr>
                    <w:t>监测频次和时间</w:t>
                  </w:r>
                </w:p>
              </w:tc>
              <w:tc>
                <w:tcPr>
                  <w:tcW w:w="2693" w:type="pct"/>
                  <w:vAlign w:val="center"/>
                </w:tcPr>
                <w:p w14:paraId="6A1DA79D">
                  <w:pPr>
                    <w:pStyle w:val="55"/>
                    <w:rPr>
                      <w:color w:val="auto"/>
                    </w:rPr>
                  </w:pPr>
                  <w:r>
                    <w:rPr>
                      <w:rFonts w:hint="eastAsia"/>
                      <w:color w:val="auto"/>
                    </w:rPr>
                    <w:t>工程竣工环境保护验收监测一次，线路有环保投诉时监测；</w:t>
                  </w:r>
                </w:p>
              </w:tc>
            </w:tr>
          </w:tbl>
          <w:p w14:paraId="302C3487">
            <w:pPr>
              <w:pStyle w:val="51"/>
              <w:spacing w:line="240" w:lineRule="auto"/>
              <w:ind w:firstLine="0" w:firstLineChars="0"/>
              <w:rPr>
                <w:color w:val="auto"/>
                <w:sz w:val="20"/>
                <w:szCs w:val="20"/>
              </w:rPr>
            </w:pPr>
          </w:p>
        </w:tc>
      </w:tr>
      <w:tr w14:paraId="7AEA92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1" w:hRule="atLeast"/>
          <w:jc w:val="center"/>
        </w:trPr>
        <w:tc>
          <w:tcPr>
            <w:tcW w:w="753" w:type="dxa"/>
            <w:vAlign w:val="center"/>
          </w:tcPr>
          <w:p w14:paraId="1B86BE5A">
            <w:pPr>
              <w:adjustRightInd w:val="0"/>
              <w:snapToGrid w:val="0"/>
              <w:jc w:val="center"/>
              <w:rPr>
                <w:rFonts w:hint="eastAsia" w:ascii="宋体" w:hAnsi="宋体" w:cs="宋体"/>
                <w:bCs/>
                <w:spacing w:val="10"/>
                <w:szCs w:val="21"/>
              </w:rPr>
            </w:pPr>
            <w:r>
              <w:rPr>
                <w:rFonts w:hint="eastAsia" w:ascii="宋体" w:hAnsi="宋体"/>
                <w:bCs/>
                <w:szCs w:val="21"/>
              </w:rPr>
              <w:t>环保投资</w:t>
            </w:r>
          </w:p>
        </w:tc>
        <w:tc>
          <w:tcPr>
            <w:tcW w:w="8457" w:type="dxa"/>
          </w:tcPr>
          <w:p w14:paraId="1B414276">
            <w:pPr>
              <w:pStyle w:val="48"/>
              <w:rPr>
                <w:color w:val="auto"/>
              </w:rPr>
            </w:pPr>
            <w:r>
              <w:rPr>
                <w:rFonts w:hint="eastAsia"/>
                <w:color w:val="auto"/>
              </w:rPr>
              <w:t>（十一）环保投资</w:t>
            </w:r>
          </w:p>
          <w:p w14:paraId="319F7273">
            <w:pPr>
              <w:pStyle w:val="51"/>
              <w:rPr>
                <w:color w:val="auto"/>
              </w:rPr>
            </w:pPr>
            <w:r>
              <w:rPr>
                <w:rFonts w:hint="eastAsia"/>
                <w:color w:val="auto"/>
              </w:rPr>
              <w:t>本项目总投资17101万元，其中环保投资242万元。环保投资见下表所示：</w:t>
            </w:r>
          </w:p>
          <w:p w14:paraId="4CF6677D">
            <w:pPr>
              <w:pStyle w:val="53"/>
              <w:rPr>
                <w:color w:val="auto"/>
              </w:rPr>
            </w:pPr>
            <w:r>
              <w:rPr>
                <w:color w:val="auto"/>
              </w:rPr>
              <w:t>表5-2  环保投资估算一览表</w:t>
            </w:r>
          </w:p>
          <w:tbl>
            <w:tblPr>
              <w:tblStyle w:val="25"/>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11"/>
              <w:gridCol w:w="1016"/>
              <w:gridCol w:w="4709"/>
              <w:gridCol w:w="1505"/>
            </w:tblGrid>
            <w:tr w14:paraId="5F5C2B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011" w:type="dxa"/>
                  <w:vAlign w:val="center"/>
                </w:tcPr>
                <w:p w14:paraId="23ED0BB7">
                  <w:pPr>
                    <w:pStyle w:val="55"/>
                    <w:rPr>
                      <w:color w:val="auto"/>
                    </w:rPr>
                  </w:pPr>
                  <w:r>
                    <w:rPr>
                      <w:color w:val="auto"/>
                    </w:rPr>
                    <w:t>序号</w:t>
                  </w:r>
                </w:p>
              </w:tc>
              <w:tc>
                <w:tcPr>
                  <w:tcW w:w="5725" w:type="dxa"/>
                  <w:gridSpan w:val="2"/>
                  <w:vAlign w:val="center"/>
                </w:tcPr>
                <w:p w14:paraId="57E73522">
                  <w:pPr>
                    <w:pStyle w:val="55"/>
                    <w:rPr>
                      <w:color w:val="auto"/>
                    </w:rPr>
                  </w:pPr>
                  <w:r>
                    <w:rPr>
                      <w:color w:val="auto"/>
                    </w:rPr>
                    <w:t>项目</w:t>
                  </w:r>
                </w:p>
              </w:tc>
              <w:tc>
                <w:tcPr>
                  <w:tcW w:w="1505" w:type="dxa"/>
                  <w:vAlign w:val="center"/>
                </w:tcPr>
                <w:p w14:paraId="5BEE4865">
                  <w:pPr>
                    <w:pStyle w:val="55"/>
                    <w:rPr>
                      <w:color w:val="auto"/>
                    </w:rPr>
                  </w:pPr>
                  <w:r>
                    <w:rPr>
                      <w:color w:val="auto"/>
                    </w:rPr>
                    <w:t>投资（万元）</w:t>
                  </w:r>
                </w:p>
              </w:tc>
            </w:tr>
            <w:tr w14:paraId="5259AD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011" w:type="dxa"/>
                  <w:vAlign w:val="center"/>
                </w:tcPr>
                <w:p w14:paraId="6E0BFA67">
                  <w:pPr>
                    <w:pStyle w:val="55"/>
                    <w:rPr>
                      <w:color w:val="auto"/>
                    </w:rPr>
                  </w:pPr>
                  <w:r>
                    <w:rPr>
                      <w:color w:val="auto"/>
                    </w:rPr>
                    <w:t>1</w:t>
                  </w:r>
                </w:p>
              </w:tc>
              <w:tc>
                <w:tcPr>
                  <w:tcW w:w="1016" w:type="dxa"/>
                  <w:vMerge w:val="restart"/>
                  <w:vAlign w:val="center"/>
                </w:tcPr>
                <w:p w14:paraId="5C922CF0">
                  <w:pPr>
                    <w:pStyle w:val="55"/>
                    <w:rPr>
                      <w:color w:val="auto"/>
                    </w:rPr>
                  </w:pPr>
                  <w:r>
                    <w:rPr>
                      <w:color w:val="auto"/>
                    </w:rPr>
                    <w:t>线路</w:t>
                  </w:r>
                </w:p>
              </w:tc>
              <w:tc>
                <w:tcPr>
                  <w:tcW w:w="4709" w:type="dxa"/>
                  <w:vAlign w:val="center"/>
                </w:tcPr>
                <w:p w14:paraId="6ED2E633">
                  <w:pPr>
                    <w:pStyle w:val="55"/>
                    <w:rPr>
                      <w:color w:val="auto"/>
                    </w:rPr>
                  </w:pPr>
                  <w:r>
                    <w:rPr>
                      <w:color w:val="auto"/>
                    </w:rPr>
                    <w:t>塔基</w:t>
                  </w:r>
                  <w:r>
                    <w:rPr>
                      <w:rFonts w:hint="eastAsia"/>
                      <w:color w:val="auto"/>
                    </w:rPr>
                    <w:t>、牵张场</w:t>
                  </w:r>
                  <w:r>
                    <w:rPr>
                      <w:color w:val="auto"/>
                    </w:rPr>
                    <w:t>等表面硬化恢复</w:t>
                  </w:r>
                </w:p>
              </w:tc>
              <w:tc>
                <w:tcPr>
                  <w:tcW w:w="1505" w:type="dxa"/>
                  <w:vAlign w:val="center"/>
                </w:tcPr>
                <w:p w14:paraId="2BD62BC3">
                  <w:pPr>
                    <w:pStyle w:val="55"/>
                    <w:rPr>
                      <w:color w:val="auto"/>
                    </w:rPr>
                  </w:pPr>
                  <w:r>
                    <w:rPr>
                      <w:color w:val="auto"/>
                    </w:rPr>
                    <w:t>15.0</w:t>
                  </w:r>
                </w:p>
              </w:tc>
            </w:tr>
            <w:tr w14:paraId="365FA4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011" w:type="dxa"/>
                  <w:vAlign w:val="center"/>
                </w:tcPr>
                <w:p w14:paraId="556CB89B">
                  <w:pPr>
                    <w:pStyle w:val="55"/>
                    <w:rPr>
                      <w:color w:val="auto"/>
                    </w:rPr>
                  </w:pPr>
                  <w:r>
                    <w:rPr>
                      <w:color w:val="auto"/>
                    </w:rPr>
                    <w:t>2</w:t>
                  </w:r>
                </w:p>
              </w:tc>
              <w:tc>
                <w:tcPr>
                  <w:tcW w:w="1016" w:type="dxa"/>
                  <w:vMerge w:val="continue"/>
                  <w:vAlign w:val="center"/>
                </w:tcPr>
                <w:p w14:paraId="46F3022D">
                  <w:pPr>
                    <w:pStyle w:val="55"/>
                    <w:rPr>
                      <w:color w:val="auto"/>
                    </w:rPr>
                  </w:pPr>
                </w:p>
              </w:tc>
              <w:tc>
                <w:tcPr>
                  <w:tcW w:w="4709" w:type="dxa"/>
                  <w:vAlign w:val="center"/>
                </w:tcPr>
                <w:p w14:paraId="73A75974">
                  <w:pPr>
                    <w:pStyle w:val="55"/>
                    <w:rPr>
                      <w:color w:val="auto"/>
                    </w:rPr>
                  </w:pPr>
                  <w:r>
                    <w:rPr>
                      <w:color w:val="auto"/>
                    </w:rPr>
                    <w:t>线路植被恢复绿化</w:t>
                  </w:r>
                </w:p>
              </w:tc>
              <w:tc>
                <w:tcPr>
                  <w:tcW w:w="1505" w:type="dxa"/>
                  <w:vAlign w:val="center"/>
                </w:tcPr>
                <w:p w14:paraId="761FA090">
                  <w:pPr>
                    <w:pStyle w:val="55"/>
                    <w:rPr>
                      <w:color w:val="auto"/>
                    </w:rPr>
                  </w:pPr>
                  <w:r>
                    <w:rPr>
                      <w:color w:val="auto"/>
                    </w:rPr>
                    <w:t>15.0</w:t>
                  </w:r>
                </w:p>
              </w:tc>
            </w:tr>
            <w:tr w14:paraId="00FE5B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011" w:type="dxa"/>
                  <w:vAlign w:val="center"/>
                </w:tcPr>
                <w:p w14:paraId="0E249A28">
                  <w:pPr>
                    <w:pStyle w:val="55"/>
                    <w:rPr>
                      <w:color w:val="auto"/>
                    </w:rPr>
                  </w:pPr>
                  <w:r>
                    <w:rPr>
                      <w:rFonts w:hint="eastAsia"/>
                      <w:color w:val="auto"/>
                    </w:rPr>
                    <w:t>3</w:t>
                  </w:r>
                </w:p>
              </w:tc>
              <w:tc>
                <w:tcPr>
                  <w:tcW w:w="1016" w:type="dxa"/>
                  <w:vMerge w:val="restart"/>
                  <w:vAlign w:val="center"/>
                </w:tcPr>
                <w:p w14:paraId="2D3A9C71">
                  <w:pPr>
                    <w:pStyle w:val="55"/>
                    <w:rPr>
                      <w:color w:val="auto"/>
                    </w:rPr>
                  </w:pPr>
                  <w:r>
                    <w:rPr>
                      <w:rFonts w:hint="eastAsia"/>
                      <w:color w:val="auto"/>
                    </w:rPr>
                    <w:t>升压站</w:t>
                  </w:r>
                </w:p>
              </w:tc>
              <w:tc>
                <w:tcPr>
                  <w:tcW w:w="4709" w:type="dxa"/>
                  <w:vAlign w:val="center"/>
                </w:tcPr>
                <w:p w14:paraId="3C905F76">
                  <w:pPr>
                    <w:pStyle w:val="55"/>
                    <w:rPr>
                      <w:color w:val="auto"/>
                    </w:rPr>
                  </w:pPr>
                  <w:r>
                    <w:rPr>
                      <w:rFonts w:hint="eastAsia"/>
                      <w:color w:val="auto"/>
                    </w:rPr>
                    <w:t>化粪池及管网</w:t>
                  </w:r>
                </w:p>
              </w:tc>
              <w:tc>
                <w:tcPr>
                  <w:tcW w:w="1505" w:type="dxa"/>
                  <w:vAlign w:val="center"/>
                </w:tcPr>
                <w:p w14:paraId="09AB057E">
                  <w:pPr>
                    <w:pStyle w:val="55"/>
                    <w:rPr>
                      <w:color w:val="auto"/>
                    </w:rPr>
                  </w:pPr>
                  <w:r>
                    <w:rPr>
                      <w:rFonts w:hint="eastAsia"/>
                      <w:color w:val="auto"/>
                    </w:rPr>
                    <w:t>10.0</w:t>
                  </w:r>
                </w:p>
              </w:tc>
            </w:tr>
            <w:tr w14:paraId="686E39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011" w:type="dxa"/>
                  <w:vAlign w:val="center"/>
                </w:tcPr>
                <w:p w14:paraId="38FC0A10">
                  <w:pPr>
                    <w:pStyle w:val="55"/>
                    <w:rPr>
                      <w:color w:val="auto"/>
                    </w:rPr>
                  </w:pPr>
                  <w:r>
                    <w:rPr>
                      <w:rFonts w:hint="eastAsia"/>
                      <w:color w:val="auto"/>
                    </w:rPr>
                    <w:t>4</w:t>
                  </w:r>
                </w:p>
              </w:tc>
              <w:tc>
                <w:tcPr>
                  <w:tcW w:w="1016" w:type="dxa"/>
                  <w:vMerge w:val="continue"/>
                  <w:vAlign w:val="center"/>
                </w:tcPr>
                <w:p w14:paraId="381ADD4F">
                  <w:pPr>
                    <w:pStyle w:val="55"/>
                    <w:rPr>
                      <w:color w:val="auto"/>
                    </w:rPr>
                  </w:pPr>
                </w:p>
              </w:tc>
              <w:tc>
                <w:tcPr>
                  <w:tcW w:w="4709" w:type="dxa"/>
                  <w:vAlign w:val="center"/>
                </w:tcPr>
                <w:p w14:paraId="79A8E84D">
                  <w:pPr>
                    <w:pStyle w:val="55"/>
                    <w:rPr>
                      <w:color w:val="auto"/>
                    </w:rPr>
                  </w:pPr>
                  <w:r>
                    <w:rPr>
                      <w:rFonts w:hint="eastAsia"/>
                      <w:color w:val="auto"/>
                    </w:rPr>
                    <w:t>实体围墙</w:t>
                  </w:r>
                </w:p>
              </w:tc>
              <w:tc>
                <w:tcPr>
                  <w:tcW w:w="1505" w:type="dxa"/>
                  <w:vAlign w:val="center"/>
                </w:tcPr>
                <w:p w14:paraId="5FE4D28C">
                  <w:pPr>
                    <w:pStyle w:val="55"/>
                    <w:rPr>
                      <w:color w:val="auto"/>
                    </w:rPr>
                  </w:pPr>
                  <w:r>
                    <w:rPr>
                      <w:rFonts w:hint="eastAsia"/>
                      <w:color w:val="auto"/>
                    </w:rPr>
                    <w:t>180.0</w:t>
                  </w:r>
                </w:p>
              </w:tc>
            </w:tr>
            <w:tr w14:paraId="68B8DF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011" w:type="dxa"/>
                  <w:vAlign w:val="center"/>
                </w:tcPr>
                <w:p w14:paraId="679BDCA8">
                  <w:pPr>
                    <w:pStyle w:val="55"/>
                    <w:rPr>
                      <w:color w:val="auto"/>
                    </w:rPr>
                  </w:pPr>
                  <w:r>
                    <w:rPr>
                      <w:rFonts w:hint="eastAsia"/>
                      <w:color w:val="auto"/>
                    </w:rPr>
                    <w:t>5</w:t>
                  </w:r>
                </w:p>
              </w:tc>
              <w:tc>
                <w:tcPr>
                  <w:tcW w:w="1016" w:type="dxa"/>
                  <w:vMerge w:val="continue"/>
                  <w:vAlign w:val="center"/>
                </w:tcPr>
                <w:p w14:paraId="616D0F7E">
                  <w:pPr>
                    <w:pStyle w:val="55"/>
                    <w:rPr>
                      <w:color w:val="auto"/>
                    </w:rPr>
                  </w:pPr>
                </w:p>
              </w:tc>
              <w:tc>
                <w:tcPr>
                  <w:tcW w:w="4709" w:type="dxa"/>
                  <w:vAlign w:val="center"/>
                </w:tcPr>
                <w:p w14:paraId="2FF83548">
                  <w:pPr>
                    <w:pStyle w:val="55"/>
                    <w:rPr>
                      <w:color w:val="auto"/>
                    </w:rPr>
                  </w:pPr>
                  <w:r>
                    <w:rPr>
                      <w:rFonts w:hint="eastAsia"/>
                      <w:color w:val="auto"/>
                    </w:rPr>
                    <w:t>基础减振</w:t>
                  </w:r>
                </w:p>
              </w:tc>
              <w:tc>
                <w:tcPr>
                  <w:tcW w:w="1505" w:type="dxa"/>
                  <w:vAlign w:val="center"/>
                </w:tcPr>
                <w:p w14:paraId="6020E332">
                  <w:pPr>
                    <w:pStyle w:val="55"/>
                    <w:rPr>
                      <w:color w:val="auto"/>
                    </w:rPr>
                  </w:pPr>
                  <w:r>
                    <w:rPr>
                      <w:rFonts w:hint="eastAsia"/>
                      <w:color w:val="auto"/>
                    </w:rPr>
                    <w:t>10.0</w:t>
                  </w:r>
                </w:p>
              </w:tc>
            </w:tr>
            <w:tr w14:paraId="1EB6F3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011" w:type="dxa"/>
                  <w:vAlign w:val="center"/>
                </w:tcPr>
                <w:p w14:paraId="175FAEB7">
                  <w:pPr>
                    <w:pStyle w:val="55"/>
                    <w:rPr>
                      <w:color w:val="auto"/>
                    </w:rPr>
                  </w:pPr>
                  <w:r>
                    <w:rPr>
                      <w:rFonts w:hint="eastAsia"/>
                      <w:color w:val="auto"/>
                    </w:rPr>
                    <w:t>6</w:t>
                  </w:r>
                </w:p>
              </w:tc>
              <w:tc>
                <w:tcPr>
                  <w:tcW w:w="5725" w:type="dxa"/>
                  <w:gridSpan w:val="2"/>
                  <w:vAlign w:val="center"/>
                </w:tcPr>
                <w:p w14:paraId="4CBE67B7">
                  <w:pPr>
                    <w:pStyle w:val="55"/>
                    <w:rPr>
                      <w:color w:val="auto"/>
                    </w:rPr>
                  </w:pPr>
                  <w:r>
                    <w:rPr>
                      <w:color w:val="auto"/>
                    </w:rPr>
                    <w:t>环境影响评价及竣工环保验收</w:t>
                  </w:r>
                </w:p>
              </w:tc>
              <w:tc>
                <w:tcPr>
                  <w:tcW w:w="1505" w:type="dxa"/>
                  <w:vAlign w:val="center"/>
                </w:tcPr>
                <w:p w14:paraId="3F9DAB07">
                  <w:pPr>
                    <w:pStyle w:val="55"/>
                    <w:rPr>
                      <w:color w:val="auto"/>
                    </w:rPr>
                  </w:pPr>
                  <w:r>
                    <w:rPr>
                      <w:rFonts w:hint="eastAsia"/>
                      <w:color w:val="auto"/>
                    </w:rPr>
                    <w:t>10</w:t>
                  </w:r>
                  <w:r>
                    <w:rPr>
                      <w:color w:val="auto"/>
                    </w:rPr>
                    <w:t>.0</w:t>
                  </w:r>
                </w:p>
              </w:tc>
            </w:tr>
            <w:tr w14:paraId="26BF61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011" w:type="dxa"/>
                  <w:vAlign w:val="center"/>
                </w:tcPr>
                <w:p w14:paraId="6BA19170">
                  <w:pPr>
                    <w:pStyle w:val="55"/>
                    <w:rPr>
                      <w:color w:val="auto"/>
                    </w:rPr>
                  </w:pPr>
                  <w:r>
                    <w:rPr>
                      <w:rFonts w:hint="eastAsia"/>
                      <w:color w:val="auto"/>
                    </w:rPr>
                    <w:t>7</w:t>
                  </w:r>
                </w:p>
              </w:tc>
              <w:tc>
                <w:tcPr>
                  <w:tcW w:w="5725" w:type="dxa"/>
                  <w:gridSpan w:val="2"/>
                  <w:vAlign w:val="center"/>
                </w:tcPr>
                <w:p w14:paraId="3055712C">
                  <w:pPr>
                    <w:pStyle w:val="55"/>
                    <w:rPr>
                      <w:color w:val="auto"/>
                    </w:rPr>
                  </w:pPr>
                  <w:r>
                    <w:rPr>
                      <w:color w:val="auto"/>
                    </w:rPr>
                    <w:t>环境管理</w:t>
                  </w:r>
                </w:p>
              </w:tc>
              <w:tc>
                <w:tcPr>
                  <w:tcW w:w="1505" w:type="dxa"/>
                  <w:vAlign w:val="center"/>
                </w:tcPr>
                <w:p w14:paraId="58E365A5">
                  <w:pPr>
                    <w:pStyle w:val="55"/>
                    <w:rPr>
                      <w:color w:val="auto"/>
                    </w:rPr>
                  </w:pPr>
                  <w:r>
                    <w:rPr>
                      <w:color w:val="auto"/>
                    </w:rPr>
                    <w:t>2.0</w:t>
                  </w:r>
                </w:p>
              </w:tc>
            </w:tr>
            <w:tr w14:paraId="12DB11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736" w:type="dxa"/>
                  <w:gridSpan w:val="3"/>
                  <w:vAlign w:val="center"/>
                </w:tcPr>
                <w:p w14:paraId="1716EC48">
                  <w:pPr>
                    <w:pStyle w:val="55"/>
                    <w:rPr>
                      <w:color w:val="auto"/>
                    </w:rPr>
                  </w:pPr>
                  <w:r>
                    <w:rPr>
                      <w:color w:val="auto"/>
                    </w:rPr>
                    <w:t>环保投资合计</w:t>
                  </w:r>
                </w:p>
              </w:tc>
              <w:tc>
                <w:tcPr>
                  <w:tcW w:w="1505" w:type="dxa"/>
                  <w:vAlign w:val="center"/>
                </w:tcPr>
                <w:p w14:paraId="65734997">
                  <w:pPr>
                    <w:pStyle w:val="55"/>
                    <w:rPr>
                      <w:color w:val="auto"/>
                    </w:rPr>
                  </w:pPr>
                  <w:r>
                    <w:rPr>
                      <w:rFonts w:hint="eastAsia"/>
                      <w:color w:val="auto"/>
                    </w:rPr>
                    <w:t>242</w:t>
                  </w:r>
                </w:p>
              </w:tc>
            </w:tr>
            <w:tr w14:paraId="08A9BB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736" w:type="dxa"/>
                  <w:gridSpan w:val="3"/>
                  <w:vAlign w:val="center"/>
                </w:tcPr>
                <w:p w14:paraId="794D81C7">
                  <w:pPr>
                    <w:pStyle w:val="55"/>
                    <w:rPr>
                      <w:color w:val="auto"/>
                    </w:rPr>
                  </w:pPr>
                  <w:r>
                    <w:rPr>
                      <w:color w:val="auto"/>
                    </w:rPr>
                    <w:t>工程总投资</w:t>
                  </w:r>
                </w:p>
              </w:tc>
              <w:tc>
                <w:tcPr>
                  <w:tcW w:w="1505" w:type="dxa"/>
                  <w:vAlign w:val="center"/>
                </w:tcPr>
                <w:p w14:paraId="2D78A6F4">
                  <w:pPr>
                    <w:pStyle w:val="55"/>
                    <w:rPr>
                      <w:color w:val="auto"/>
                      <w:highlight w:val="yellow"/>
                    </w:rPr>
                  </w:pPr>
                  <w:r>
                    <w:rPr>
                      <w:rFonts w:hint="eastAsia"/>
                      <w:color w:val="auto"/>
                    </w:rPr>
                    <w:t>17101</w:t>
                  </w:r>
                </w:p>
              </w:tc>
            </w:tr>
            <w:tr w14:paraId="758416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736" w:type="dxa"/>
                  <w:gridSpan w:val="3"/>
                  <w:vAlign w:val="center"/>
                </w:tcPr>
                <w:p w14:paraId="728FD2EC">
                  <w:pPr>
                    <w:pStyle w:val="55"/>
                    <w:rPr>
                      <w:color w:val="auto"/>
                    </w:rPr>
                  </w:pPr>
                  <w:r>
                    <w:rPr>
                      <w:color w:val="auto"/>
                    </w:rPr>
                    <w:t>环保投资占总投资比例</w:t>
                  </w:r>
                </w:p>
              </w:tc>
              <w:tc>
                <w:tcPr>
                  <w:tcW w:w="1505" w:type="dxa"/>
                  <w:vAlign w:val="center"/>
                </w:tcPr>
                <w:p w14:paraId="129B93DC">
                  <w:pPr>
                    <w:pStyle w:val="55"/>
                    <w:rPr>
                      <w:color w:val="auto"/>
                      <w:highlight w:val="yellow"/>
                    </w:rPr>
                  </w:pPr>
                  <w:r>
                    <w:rPr>
                      <w:rFonts w:hint="eastAsia"/>
                      <w:color w:val="auto"/>
                    </w:rPr>
                    <w:t>1.42</w:t>
                  </w:r>
                  <w:r>
                    <w:rPr>
                      <w:color w:val="auto"/>
                    </w:rPr>
                    <w:t>%</w:t>
                  </w:r>
                </w:p>
              </w:tc>
            </w:tr>
          </w:tbl>
          <w:p w14:paraId="67639D7B">
            <w:pPr>
              <w:adjustRightInd w:val="0"/>
              <w:snapToGrid w:val="0"/>
              <w:rPr>
                <w:rFonts w:hint="eastAsia" w:ascii="宋体" w:hAnsi="宋体" w:cs="宋体"/>
                <w:bCs/>
                <w:spacing w:val="10"/>
                <w:szCs w:val="21"/>
              </w:rPr>
            </w:pPr>
          </w:p>
          <w:p w14:paraId="739D76FC">
            <w:pPr>
              <w:adjustRightInd w:val="0"/>
              <w:snapToGrid w:val="0"/>
              <w:rPr>
                <w:rFonts w:hint="eastAsia" w:ascii="宋体" w:hAnsi="宋体" w:cs="宋体"/>
                <w:bCs/>
                <w:spacing w:val="10"/>
                <w:szCs w:val="21"/>
              </w:rPr>
            </w:pPr>
          </w:p>
        </w:tc>
      </w:tr>
    </w:tbl>
    <w:p w14:paraId="140A4E92">
      <w:pPr>
        <w:sectPr>
          <w:pgSz w:w="11907" w:h="16840"/>
          <w:pgMar w:top="1418" w:right="1418" w:bottom="1418" w:left="1418" w:header="851" w:footer="1077" w:gutter="0"/>
          <w:cols w:space="425" w:num="1"/>
          <w:docGrid w:linePitch="312" w:charSpace="0"/>
        </w:sectPr>
      </w:pPr>
    </w:p>
    <w:p w14:paraId="6A74E86A">
      <w:pPr>
        <w:pStyle w:val="2"/>
      </w:pPr>
      <w:r>
        <w:rPr>
          <w:rFonts w:hint="eastAsia"/>
        </w:rPr>
        <w:t>六、生态环境保护措施监督检查清单</w:t>
      </w:r>
    </w:p>
    <w:tbl>
      <w:tblPr>
        <w:tblStyle w:val="25"/>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484"/>
        <w:gridCol w:w="1694"/>
        <w:gridCol w:w="1640"/>
        <w:gridCol w:w="1746"/>
        <w:gridCol w:w="1722"/>
      </w:tblGrid>
      <w:tr w14:paraId="5A2F3C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338" w:type="pct"/>
            <w:vMerge w:val="restart"/>
            <w:tcBorders>
              <w:tl2br w:val="single" w:color="auto" w:sz="4" w:space="0"/>
            </w:tcBorders>
          </w:tcPr>
          <w:p w14:paraId="22051F40">
            <w:pPr>
              <w:pStyle w:val="23"/>
              <w:adjustRightInd w:val="0"/>
              <w:snapToGrid w:val="0"/>
              <w:spacing w:before="72" w:beforeLines="30" w:beforeAutospacing="0" w:after="0" w:afterAutospacing="0"/>
              <w:jc w:val="right"/>
              <w:outlineLvl w:val="0"/>
              <w:rPr>
                <w:rFonts w:hint="eastAsia"/>
                <w:b/>
                <w:bCs/>
                <w:kern w:val="2"/>
                <w:sz w:val="21"/>
                <w:szCs w:val="21"/>
              </w:rPr>
            </w:pPr>
            <w:r>
              <w:rPr>
                <w:b/>
                <w:bCs/>
                <w:kern w:val="2"/>
                <w:sz w:val="21"/>
                <w:szCs w:val="21"/>
              </w:rPr>
              <w:t>内容</w:t>
            </w:r>
          </w:p>
          <w:p w14:paraId="398C8D94">
            <w:pPr>
              <w:pStyle w:val="23"/>
              <w:adjustRightInd w:val="0"/>
              <w:snapToGrid w:val="0"/>
              <w:spacing w:before="0" w:beforeAutospacing="0" w:after="0" w:afterAutospacing="0" w:line="14" w:lineRule="auto"/>
              <w:outlineLvl w:val="0"/>
              <w:rPr>
                <w:rFonts w:hint="eastAsia"/>
                <w:b/>
                <w:bCs/>
                <w:kern w:val="2"/>
                <w:sz w:val="135"/>
                <w:szCs w:val="21"/>
              </w:rPr>
            </w:pPr>
            <w:r>
              <w:rPr>
                <w:b/>
                <w:bCs/>
                <w:kern w:val="2"/>
                <w:sz w:val="135"/>
                <w:szCs w:val="21"/>
              </w:rPr>
              <w:t xml:space="preserve"> </w:t>
            </w:r>
          </w:p>
          <w:p w14:paraId="60202A80">
            <w:pPr>
              <w:pStyle w:val="23"/>
              <w:adjustRightInd w:val="0"/>
              <w:snapToGrid w:val="0"/>
              <w:spacing w:before="0" w:beforeAutospacing="0" w:after="0" w:afterAutospacing="0"/>
              <w:outlineLvl w:val="0"/>
              <w:rPr>
                <w:rFonts w:hint="eastAsia"/>
                <w:b/>
                <w:bCs/>
                <w:kern w:val="2"/>
                <w:sz w:val="21"/>
                <w:szCs w:val="21"/>
              </w:rPr>
            </w:pPr>
          </w:p>
          <w:p w14:paraId="4D0B5222">
            <w:pPr>
              <w:pStyle w:val="23"/>
              <w:adjustRightInd w:val="0"/>
              <w:snapToGrid w:val="0"/>
              <w:spacing w:before="0" w:beforeAutospacing="0" w:after="0" w:afterAutospacing="0"/>
              <w:outlineLvl w:val="0"/>
              <w:rPr>
                <w:rFonts w:hint="eastAsia"/>
                <w:b/>
                <w:bCs/>
                <w:kern w:val="2"/>
                <w:sz w:val="21"/>
                <w:szCs w:val="21"/>
              </w:rPr>
            </w:pPr>
            <w:r>
              <w:rPr>
                <w:b/>
                <w:bCs/>
                <w:kern w:val="2"/>
                <w:sz w:val="21"/>
                <w:szCs w:val="21"/>
              </w:rPr>
              <w:t>要素</w:t>
            </w:r>
          </w:p>
        </w:tc>
        <w:tc>
          <w:tcPr>
            <w:tcW w:w="1795" w:type="pct"/>
            <w:gridSpan w:val="2"/>
            <w:vAlign w:val="center"/>
          </w:tcPr>
          <w:p w14:paraId="465AAFD4">
            <w:pPr>
              <w:pStyle w:val="23"/>
              <w:adjustRightInd w:val="0"/>
              <w:snapToGrid w:val="0"/>
              <w:spacing w:before="0" w:beforeAutospacing="0" w:after="0" w:afterAutospacing="0"/>
              <w:jc w:val="center"/>
              <w:outlineLvl w:val="0"/>
              <w:rPr>
                <w:rFonts w:hint="eastAsia"/>
                <w:b/>
                <w:bCs/>
                <w:kern w:val="2"/>
                <w:sz w:val="21"/>
                <w:szCs w:val="21"/>
              </w:rPr>
            </w:pPr>
            <w:r>
              <w:rPr>
                <w:b/>
                <w:bCs/>
                <w:kern w:val="2"/>
                <w:sz w:val="21"/>
                <w:szCs w:val="21"/>
              </w:rPr>
              <w:t>施工期</w:t>
            </w:r>
          </w:p>
        </w:tc>
        <w:tc>
          <w:tcPr>
            <w:tcW w:w="1867" w:type="pct"/>
            <w:gridSpan w:val="2"/>
            <w:vAlign w:val="center"/>
          </w:tcPr>
          <w:p w14:paraId="20182AD0">
            <w:pPr>
              <w:pStyle w:val="23"/>
              <w:adjustRightInd w:val="0"/>
              <w:snapToGrid w:val="0"/>
              <w:spacing w:before="0" w:beforeAutospacing="0" w:after="0" w:afterAutospacing="0"/>
              <w:jc w:val="center"/>
              <w:outlineLvl w:val="0"/>
              <w:rPr>
                <w:rFonts w:hint="eastAsia"/>
                <w:b/>
                <w:bCs/>
                <w:kern w:val="2"/>
                <w:sz w:val="21"/>
                <w:szCs w:val="21"/>
              </w:rPr>
            </w:pPr>
            <w:r>
              <w:rPr>
                <w:b/>
                <w:bCs/>
                <w:kern w:val="2"/>
                <w:sz w:val="21"/>
                <w:szCs w:val="21"/>
              </w:rPr>
              <w:t>运营期</w:t>
            </w:r>
          </w:p>
        </w:tc>
      </w:tr>
      <w:tr w14:paraId="677FD2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338" w:type="pct"/>
            <w:vMerge w:val="continue"/>
          </w:tcPr>
          <w:p w14:paraId="612C7F19">
            <w:pPr>
              <w:pStyle w:val="23"/>
              <w:adjustRightInd w:val="0"/>
              <w:snapToGrid w:val="0"/>
              <w:spacing w:before="0" w:beforeAutospacing="0" w:after="0" w:afterAutospacing="0"/>
              <w:ind w:firstLine="840"/>
              <w:jc w:val="center"/>
              <w:outlineLvl w:val="0"/>
              <w:rPr>
                <w:rFonts w:hint="eastAsia"/>
                <w:b/>
                <w:bCs/>
                <w:kern w:val="2"/>
                <w:sz w:val="21"/>
                <w:szCs w:val="21"/>
              </w:rPr>
            </w:pPr>
          </w:p>
        </w:tc>
        <w:tc>
          <w:tcPr>
            <w:tcW w:w="912" w:type="pct"/>
            <w:vAlign w:val="center"/>
          </w:tcPr>
          <w:p w14:paraId="0314D9D2">
            <w:pPr>
              <w:pStyle w:val="23"/>
              <w:adjustRightInd w:val="0"/>
              <w:snapToGrid w:val="0"/>
              <w:spacing w:before="0" w:beforeAutospacing="0" w:after="0" w:afterAutospacing="0"/>
              <w:jc w:val="center"/>
              <w:outlineLvl w:val="0"/>
              <w:rPr>
                <w:rFonts w:hint="eastAsia"/>
                <w:b/>
                <w:bCs/>
                <w:kern w:val="2"/>
                <w:sz w:val="21"/>
                <w:szCs w:val="21"/>
              </w:rPr>
            </w:pPr>
            <w:r>
              <w:rPr>
                <w:b/>
                <w:bCs/>
                <w:kern w:val="2"/>
                <w:sz w:val="21"/>
                <w:szCs w:val="21"/>
              </w:rPr>
              <w:t>环境保护措施</w:t>
            </w:r>
          </w:p>
        </w:tc>
        <w:tc>
          <w:tcPr>
            <w:tcW w:w="883" w:type="pct"/>
            <w:vAlign w:val="center"/>
          </w:tcPr>
          <w:p w14:paraId="51F50ACE">
            <w:pPr>
              <w:pStyle w:val="23"/>
              <w:adjustRightInd w:val="0"/>
              <w:snapToGrid w:val="0"/>
              <w:spacing w:before="0" w:beforeAutospacing="0" w:after="0" w:afterAutospacing="0"/>
              <w:jc w:val="center"/>
              <w:outlineLvl w:val="0"/>
              <w:rPr>
                <w:rFonts w:hint="eastAsia"/>
                <w:b/>
                <w:bCs/>
                <w:kern w:val="2"/>
                <w:sz w:val="21"/>
                <w:szCs w:val="21"/>
              </w:rPr>
            </w:pPr>
            <w:r>
              <w:rPr>
                <w:b/>
                <w:bCs/>
                <w:kern w:val="2"/>
                <w:sz w:val="21"/>
                <w:szCs w:val="21"/>
              </w:rPr>
              <w:t>验收要求</w:t>
            </w:r>
          </w:p>
        </w:tc>
        <w:tc>
          <w:tcPr>
            <w:tcW w:w="940" w:type="pct"/>
            <w:vAlign w:val="center"/>
          </w:tcPr>
          <w:p w14:paraId="40AC5F8C">
            <w:pPr>
              <w:pStyle w:val="23"/>
              <w:adjustRightInd w:val="0"/>
              <w:snapToGrid w:val="0"/>
              <w:spacing w:before="0" w:beforeAutospacing="0" w:after="0" w:afterAutospacing="0"/>
              <w:jc w:val="center"/>
              <w:outlineLvl w:val="0"/>
              <w:rPr>
                <w:rFonts w:hint="eastAsia"/>
                <w:b/>
                <w:bCs/>
                <w:kern w:val="2"/>
                <w:sz w:val="21"/>
                <w:szCs w:val="21"/>
              </w:rPr>
            </w:pPr>
            <w:r>
              <w:rPr>
                <w:b/>
                <w:bCs/>
                <w:kern w:val="2"/>
                <w:sz w:val="21"/>
                <w:szCs w:val="21"/>
              </w:rPr>
              <w:t>环境保护措施</w:t>
            </w:r>
          </w:p>
        </w:tc>
        <w:tc>
          <w:tcPr>
            <w:tcW w:w="927" w:type="pct"/>
            <w:vAlign w:val="center"/>
          </w:tcPr>
          <w:p w14:paraId="2FDA5F1E">
            <w:pPr>
              <w:pStyle w:val="23"/>
              <w:adjustRightInd w:val="0"/>
              <w:snapToGrid w:val="0"/>
              <w:spacing w:before="0" w:beforeAutospacing="0" w:after="0" w:afterAutospacing="0"/>
              <w:jc w:val="center"/>
              <w:outlineLvl w:val="0"/>
              <w:rPr>
                <w:rFonts w:hint="eastAsia"/>
                <w:b/>
                <w:bCs/>
                <w:kern w:val="2"/>
                <w:sz w:val="21"/>
                <w:szCs w:val="21"/>
              </w:rPr>
            </w:pPr>
            <w:r>
              <w:rPr>
                <w:b/>
                <w:bCs/>
                <w:kern w:val="2"/>
                <w:sz w:val="21"/>
                <w:szCs w:val="21"/>
              </w:rPr>
              <w:t>验收要求</w:t>
            </w:r>
          </w:p>
        </w:tc>
      </w:tr>
      <w:tr w14:paraId="33797B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338" w:type="pct"/>
            <w:vAlign w:val="center"/>
          </w:tcPr>
          <w:p w14:paraId="2DCA8298">
            <w:pPr>
              <w:adjustRightInd w:val="0"/>
              <w:snapToGrid w:val="0"/>
              <w:jc w:val="center"/>
              <w:rPr>
                <w:szCs w:val="21"/>
              </w:rPr>
            </w:pPr>
            <w:r>
              <w:rPr>
                <w:szCs w:val="21"/>
              </w:rPr>
              <w:t>陆生生态</w:t>
            </w:r>
          </w:p>
        </w:tc>
        <w:tc>
          <w:tcPr>
            <w:tcW w:w="912" w:type="pct"/>
            <w:vAlign w:val="center"/>
          </w:tcPr>
          <w:p w14:paraId="4D00CE2B">
            <w:pPr>
              <w:adjustRightInd w:val="0"/>
              <w:snapToGrid w:val="0"/>
              <w:rPr>
                <w:szCs w:val="21"/>
              </w:rPr>
            </w:pPr>
            <w:r>
              <w:rPr>
                <w:szCs w:val="21"/>
              </w:rPr>
              <w:t>规范施工人员行为；合理组织工程施工，控制用地、减少弃土弃渣；保护表土，减少植被破坏，施工后尽快恢复；减少对野生动物的干扰。</w:t>
            </w:r>
          </w:p>
        </w:tc>
        <w:tc>
          <w:tcPr>
            <w:tcW w:w="883" w:type="pct"/>
            <w:vAlign w:val="center"/>
          </w:tcPr>
          <w:p w14:paraId="32F2365E">
            <w:pPr>
              <w:adjustRightInd w:val="0"/>
              <w:snapToGrid w:val="0"/>
              <w:rPr>
                <w:szCs w:val="21"/>
              </w:rPr>
            </w:pPr>
            <w:r>
              <w:rPr>
                <w:szCs w:val="21"/>
              </w:rPr>
              <w:t>施工过程采取了遮盖、拦挡等表土防护措施；施工结束后进行了植被恢复或地面硬化，且措施效果良好，迹地恢复良好。</w:t>
            </w:r>
          </w:p>
        </w:tc>
        <w:tc>
          <w:tcPr>
            <w:tcW w:w="940" w:type="pct"/>
            <w:vAlign w:val="center"/>
          </w:tcPr>
          <w:p w14:paraId="111C7976">
            <w:pPr>
              <w:adjustRightInd w:val="0"/>
              <w:snapToGrid w:val="0"/>
              <w:rPr>
                <w:szCs w:val="21"/>
              </w:rPr>
            </w:pPr>
            <w:r>
              <w:rPr>
                <w:szCs w:val="21"/>
              </w:rPr>
              <w:t>做好设施运维管理，强化运维人员环保意识。</w:t>
            </w:r>
          </w:p>
        </w:tc>
        <w:tc>
          <w:tcPr>
            <w:tcW w:w="927" w:type="pct"/>
            <w:vAlign w:val="center"/>
          </w:tcPr>
          <w:p w14:paraId="0C6C5805">
            <w:pPr>
              <w:adjustRightInd w:val="0"/>
              <w:snapToGrid w:val="0"/>
              <w:rPr>
                <w:szCs w:val="21"/>
              </w:rPr>
            </w:pPr>
            <w:r>
              <w:rPr>
                <w:szCs w:val="21"/>
              </w:rPr>
              <w:t>项目运行过程中，未发现原有陆生生态系统发生显著功能性改变。</w:t>
            </w:r>
          </w:p>
        </w:tc>
      </w:tr>
      <w:tr w14:paraId="355773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338" w:type="pct"/>
            <w:vAlign w:val="center"/>
          </w:tcPr>
          <w:p w14:paraId="5682D1FC">
            <w:pPr>
              <w:adjustRightInd w:val="0"/>
              <w:snapToGrid w:val="0"/>
              <w:jc w:val="center"/>
              <w:rPr>
                <w:szCs w:val="21"/>
              </w:rPr>
            </w:pPr>
            <w:r>
              <w:rPr>
                <w:szCs w:val="21"/>
              </w:rPr>
              <w:t>水生生态</w:t>
            </w:r>
          </w:p>
        </w:tc>
        <w:tc>
          <w:tcPr>
            <w:tcW w:w="912" w:type="pct"/>
            <w:vAlign w:val="center"/>
          </w:tcPr>
          <w:p w14:paraId="73BE8224">
            <w:pPr>
              <w:adjustRightInd w:val="0"/>
              <w:snapToGrid w:val="0"/>
              <w:jc w:val="center"/>
              <w:rPr>
                <w:szCs w:val="21"/>
              </w:rPr>
            </w:pPr>
            <w:r>
              <w:rPr>
                <w:szCs w:val="21"/>
              </w:rPr>
              <w:t>/</w:t>
            </w:r>
          </w:p>
        </w:tc>
        <w:tc>
          <w:tcPr>
            <w:tcW w:w="883" w:type="pct"/>
            <w:vAlign w:val="center"/>
          </w:tcPr>
          <w:p w14:paraId="6E9397DC">
            <w:pPr>
              <w:adjustRightInd w:val="0"/>
              <w:snapToGrid w:val="0"/>
              <w:jc w:val="center"/>
              <w:rPr>
                <w:szCs w:val="21"/>
              </w:rPr>
            </w:pPr>
            <w:r>
              <w:rPr>
                <w:szCs w:val="21"/>
              </w:rPr>
              <w:t>/</w:t>
            </w:r>
          </w:p>
        </w:tc>
        <w:tc>
          <w:tcPr>
            <w:tcW w:w="940" w:type="pct"/>
            <w:vAlign w:val="center"/>
          </w:tcPr>
          <w:p w14:paraId="2F35CBA2">
            <w:pPr>
              <w:adjustRightInd w:val="0"/>
              <w:snapToGrid w:val="0"/>
              <w:jc w:val="center"/>
              <w:rPr>
                <w:szCs w:val="21"/>
              </w:rPr>
            </w:pPr>
            <w:r>
              <w:rPr>
                <w:szCs w:val="21"/>
              </w:rPr>
              <w:t>/</w:t>
            </w:r>
          </w:p>
        </w:tc>
        <w:tc>
          <w:tcPr>
            <w:tcW w:w="927" w:type="pct"/>
            <w:vAlign w:val="center"/>
          </w:tcPr>
          <w:p w14:paraId="3DD1D14E">
            <w:pPr>
              <w:adjustRightInd w:val="0"/>
              <w:snapToGrid w:val="0"/>
              <w:jc w:val="center"/>
              <w:rPr>
                <w:szCs w:val="21"/>
              </w:rPr>
            </w:pPr>
            <w:r>
              <w:rPr>
                <w:szCs w:val="21"/>
              </w:rPr>
              <w:t>/</w:t>
            </w:r>
          </w:p>
        </w:tc>
      </w:tr>
      <w:tr w14:paraId="15F334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338" w:type="pct"/>
            <w:vAlign w:val="center"/>
          </w:tcPr>
          <w:p w14:paraId="770270D6">
            <w:pPr>
              <w:adjustRightInd w:val="0"/>
              <w:snapToGrid w:val="0"/>
              <w:jc w:val="center"/>
              <w:rPr>
                <w:szCs w:val="21"/>
              </w:rPr>
            </w:pPr>
            <w:r>
              <w:rPr>
                <w:szCs w:val="21"/>
              </w:rPr>
              <w:t>地表水环境</w:t>
            </w:r>
          </w:p>
        </w:tc>
        <w:tc>
          <w:tcPr>
            <w:tcW w:w="912" w:type="pct"/>
            <w:vAlign w:val="center"/>
          </w:tcPr>
          <w:p w14:paraId="33AFBB21">
            <w:pPr>
              <w:adjustRightInd w:val="0"/>
              <w:snapToGrid w:val="0"/>
              <w:rPr>
                <w:szCs w:val="21"/>
              </w:rPr>
            </w:pPr>
            <w:r>
              <w:rPr>
                <w:szCs w:val="21"/>
              </w:rPr>
              <w:t>设置临时隔油池、临时沉淀池，施工废水和生活污水禁止排入周边水体。</w:t>
            </w:r>
          </w:p>
        </w:tc>
        <w:tc>
          <w:tcPr>
            <w:tcW w:w="883" w:type="pct"/>
            <w:vAlign w:val="center"/>
          </w:tcPr>
          <w:p w14:paraId="77AA9E5A">
            <w:pPr>
              <w:adjustRightInd w:val="0"/>
              <w:snapToGrid w:val="0"/>
              <w:rPr>
                <w:szCs w:val="21"/>
              </w:rPr>
            </w:pPr>
            <w:r>
              <w:rPr>
                <w:szCs w:val="21"/>
              </w:rPr>
              <w:t>不影响周边水环境。</w:t>
            </w:r>
          </w:p>
        </w:tc>
        <w:tc>
          <w:tcPr>
            <w:tcW w:w="940" w:type="pct"/>
            <w:vAlign w:val="center"/>
          </w:tcPr>
          <w:p w14:paraId="6789D9D4">
            <w:pPr>
              <w:adjustRightInd w:val="0"/>
              <w:snapToGrid w:val="0"/>
              <w:rPr>
                <w:szCs w:val="21"/>
              </w:rPr>
            </w:pPr>
            <w:r>
              <w:rPr>
                <w:szCs w:val="21"/>
              </w:rPr>
              <w:t>设置一体化生活污水处理设施，生活污水经处理后用于站区绿化。</w:t>
            </w:r>
          </w:p>
        </w:tc>
        <w:tc>
          <w:tcPr>
            <w:tcW w:w="927" w:type="pct"/>
            <w:vAlign w:val="center"/>
          </w:tcPr>
          <w:p w14:paraId="2E769307">
            <w:pPr>
              <w:adjustRightInd w:val="0"/>
              <w:snapToGrid w:val="0"/>
              <w:rPr>
                <w:szCs w:val="21"/>
              </w:rPr>
            </w:pPr>
            <w:r>
              <w:rPr>
                <w:szCs w:val="21"/>
              </w:rPr>
              <w:t>不影响周边水体。</w:t>
            </w:r>
          </w:p>
        </w:tc>
      </w:tr>
      <w:tr w14:paraId="316703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338" w:type="pct"/>
            <w:vAlign w:val="center"/>
          </w:tcPr>
          <w:p w14:paraId="2E2F4557">
            <w:pPr>
              <w:adjustRightInd w:val="0"/>
              <w:snapToGrid w:val="0"/>
              <w:jc w:val="center"/>
              <w:rPr>
                <w:szCs w:val="21"/>
              </w:rPr>
            </w:pPr>
            <w:r>
              <w:rPr>
                <w:szCs w:val="21"/>
              </w:rPr>
              <w:t>地下水及土壤环境</w:t>
            </w:r>
          </w:p>
        </w:tc>
        <w:tc>
          <w:tcPr>
            <w:tcW w:w="912" w:type="pct"/>
            <w:vAlign w:val="center"/>
          </w:tcPr>
          <w:p w14:paraId="6683EB3A">
            <w:pPr>
              <w:adjustRightInd w:val="0"/>
              <w:snapToGrid w:val="0"/>
              <w:jc w:val="center"/>
              <w:rPr>
                <w:szCs w:val="21"/>
              </w:rPr>
            </w:pPr>
            <w:r>
              <w:rPr>
                <w:szCs w:val="21"/>
              </w:rPr>
              <w:t>/</w:t>
            </w:r>
          </w:p>
        </w:tc>
        <w:tc>
          <w:tcPr>
            <w:tcW w:w="883" w:type="pct"/>
            <w:vAlign w:val="center"/>
          </w:tcPr>
          <w:p w14:paraId="6DE3FAFE">
            <w:pPr>
              <w:adjustRightInd w:val="0"/>
              <w:snapToGrid w:val="0"/>
              <w:jc w:val="center"/>
              <w:rPr>
                <w:szCs w:val="21"/>
              </w:rPr>
            </w:pPr>
            <w:r>
              <w:rPr>
                <w:szCs w:val="21"/>
              </w:rPr>
              <w:t>/</w:t>
            </w:r>
          </w:p>
        </w:tc>
        <w:tc>
          <w:tcPr>
            <w:tcW w:w="940" w:type="pct"/>
            <w:vAlign w:val="center"/>
          </w:tcPr>
          <w:p w14:paraId="5E20C3D4">
            <w:pPr>
              <w:adjustRightInd w:val="0"/>
              <w:snapToGrid w:val="0"/>
              <w:jc w:val="center"/>
              <w:rPr>
                <w:szCs w:val="21"/>
              </w:rPr>
            </w:pPr>
            <w:r>
              <w:rPr>
                <w:szCs w:val="21"/>
              </w:rPr>
              <w:t>/</w:t>
            </w:r>
          </w:p>
        </w:tc>
        <w:tc>
          <w:tcPr>
            <w:tcW w:w="927" w:type="pct"/>
            <w:vAlign w:val="center"/>
          </w:tcPr>
          <w:p w14:paraId="2A05890A">
            <w:pPr>
              <w:adjustRightInd w:val="0"/>
              <w:snapToGrid w:val="0"/>
              <w:jc w:val="center"/>
              <w:rPr>
                <w:szCs w:val="21"/>
              </w:rPr>
            </w:pPr>
            <w:r>
              <w:rPr>
                <w:szCs w:val="21"/>
              </w:rPr>
              <w:t>/</w:t>
            </w:r>
          </w:p>
        </w:tc>
      </w:tr>
      <w:tr w14:paraId="0BF419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338" w:type="pct"/>
            <w:vAlign w:val="center"/>
          </w:tcPr>
          <w:p w14:paraId="57EFA8D5">
            <w:pPr>
              <w:adjustRightInd w:val="0"/>
              <w:snapToGrid w:val="0"/>
              <w:jc w:val="center"/>
              <w:rPr>
                <w:szCs w:val="21"/>
              </w:rPr>
            </w:pPr>
            <w:r>
              <w:rPr>
                <w:szCs w:val="21"/>
              </w:rPr>
              <w:t>声环境</w:t>
            </w:r>
          </w:p>
        </w:tc>
        <w:tc>
          <w:tcPr>
            <w:tcW w:w="912" w:type="pct"/>
            <w:vAlign w:val="center"/>
          </w:tcPr>
          <w:p w14:paraId="202CD4CA">
            <w:pPr>
              <w:adjustRightInd w:val="0"/>
              <w:snapToGrid w:val="0"/>
              <w:rPr>
                <w:szCs w:val="21"/>
              </w:rPr>
            </w:pPr>
            <w:r>
              <w:rPr>
                <w:szCs w:val="21"/>
              </w:rPr>
              <w:t>优化施工设备，控制声源源强，加强施工管理，文明施工。</w:t>
            </w:r>
          </w:p>
        </w:tc>
        <w:tc>
          <w:tcPr>
            <w:tcW w:w="883" w:type="pct"/>
            <w:vAlign w:val="center"/>
          </w:tcPr>
          <w:p w14:paraId="72EC01F3">
            <w:pPr>
              <w:adjustRightInd w:val="0"/>
              <w:snapToGrid w:val="0"/>
              <w:rPr>
                <w:szCs w:val="21"/>
              </w:rPr>
            </w:pPr>
            <w:r>
              <w:rPr>
                <w:szCs w:val="21"/>
              </w:rPr>
              <w:t>施工场界噪声满足《建筑施工场界环境噪声排放标准》（GB12523-2011）限值要求。</w:t>
            </w:r>
          </w:p>
        </w:tc>
        <w:tc>
          <w:tcPr>
            <w:tcW w:w="940" w:type="pct"/>
            <w:vAlign w:val="center"/>
          </w:tcPr>
          <w:p w14:paraId="6313CCCC">
            <w:pPr>
              <w:adjustRightInd w:val="0"/>
              <w:snapToGrid w:val="0"/>
              <w:rPr>
                <w:szCs w:val="21"/>
              </w:rPr>
            </w:pPr>
            <w:r>
              <w:rPr>
                <w:szCs w:val="21"/>
              </w:rPr>
              <w:t>采用表面光滑的导线，提高导线对地高度。</w:t>
            </w:r>
          </w:p>
        </w:tc>
        <w:tc>
          <w:tcPr>
            <w:tcW w:w="927" w:type="pct"/>
            <w:vAlign w:val="center"/>
          </w:tcPr>
          <w:p w14:paraId="09A4A254">
            <w:pPr>
              <w:adjustRightInd w:val="0"/>
              <w:snapToGrid w:val="0"/>
              <w:rPr>
                <w:szCs w:val="21"/>
              </w:rPr>
            </w:pPr>
            <w:r>
              <w:rPr>
                <w:szCs w:val="21"/>
              </w:rPr>
              <w:t>线路沿线敏感点满足《工业企业厂界环境噪声排放标准》（GB12348-2008）1类标准要求。</w:t>
            </w:r>
          </w:p>
        </w:tc>
      </w:tr>
      <w:tr w14:paraId="047116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338" w:type="pct"/>
            <w:vAlign w:val="center"/>
          </w:tcPr>
          <w:p w14:paraId="2E804B2E">
            <w:pPr>
              <w:adjustRightInd w:val="0"/>
              <w:snapToGrid w:val="0"/>
              <w:jc w:val="center"/>
              <w:rPr>
                <w:szCs w:val="21"/>
              </w:rPr>
            </w:pPr>
            <w:r>
              <w:rPr>
                <w:szCs w:val="21"/>
              </w:rPr>
              <w:t>振动</w:t>
            </w:r>
          </w:p>
        </w:tc>
        <w:tc>
          <w:tcPr>
            <w:tcW w:w="912" w:type="pct"/>
            <w:vAlign w:val="center"/>
          </w:tcPr>
          <w:p w14:paraId="0AD102B9">
            <w:pPr>
              <w:adjustRightInd w:val="0"/>
              <w:snapToGrid w:val="0"/>
              <w:jc w:val="center"/>
              <w:rPr>
                <w:szCs w:val="21"/>
              </w:rPr>
            </w:pPr>
            <w:r>
              <w:rPr>
                <w:rFonts w:hint="eastAsia"/>
                <w:szCs w:val="21"/>
              </w:rPr>
              <w:t>/</w:t>
            </w:r>
          </w:p>
        </w:tc>
        <w:tc>
          <w:tcPr>
            <w:tcW w:w="883" w:type="pct"/>
            <w:vAlign w:val="center"/>
          </w:tcPr>
          <w:p w14:paraId="0F6232F9">
            <w:pPr>
              <w:adjustRightInd w:val="0"/>
              <w:snapToGrid w:val="0"/>
              <w:jc w:val="center"/>
              <w:rPr>
                <w:szCs w:val="21"/>
              </w:rPr>
            </w:pPr>
            <w:r>
              <w:rPr>
                <w:rFonts w:hint="eastAsia"/>
                <w:szCs w:val="21"/>
              </w:rPr>
              <w:t>/</w:t>
            </w:r>
          </w:p>
        </w:tc>
        <w:tc>
          <w:tcPr>
            <w:tcW w:w="940" w:type="pct"/>
            <w:vAlign w:val="center"/>
          </w:tcPr>
          <w:p w14:paraId="454A4409">
            <w:pPr>
              <w:adjustRightInd w:val="0"/>
              <w:snapToGrid w:val="0"/>
              <w:jc w:val="center"/>
              <w:rPr>
                <w:szCs w:val="21"/>
              </w:rPr>
            </w:pPr>
            <w:r>
              <w:rPr>
                <w:rFonts w:hint="eastAsia"/>
                <w:szCs w:val="21"/>
              </w:rPr>
              <w:t>/</w:t>
            </w:r>
          </w:p>
        </w:tc>
        <w:tc>
          <w:tcPr>
            <w:tcW w:w="927" w:type="pct"/>
            <w:vAlign w:val="center"/>
          </w:tcPr>
          <w:p w14:paraId="4D20F558">
            <w:pPr>
              <w:adjustRightInd w:val="0"/>
              <w:snapToGrid w:val="0"/>
              <w:jc w:val="center"/>
              <w:rPr>
                <w:szCs w:val="21"/>
              </w:rPr>
            </w:pPr>
            <w:r>
              <w:rPr>
                <w:rFonts w:hint="eastAsia"/>
                <w:szCs w:val="21"/>
              </w:rPr>
              <w:t>/</w:t>
            </w:r>
          </w:p>
        </w:tc>
      </w:tr>
      <w:tr w14:paraId="7CAC67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338" w:type="pct"/>
            <w:vAlign w:val="center"/>
          </w:tcPr>
          <w:p w14:paraId="01704517">
            <w:pPr>
              <w:adjustRightInd w:val="0"/>
              <w:snapToGrid w:val="0"/>
              <w:jc w:val="center"/>
              <w:rPr>
                <w:szCs w:val="21"/>
              </w:rPr>
            </w:pPr>
            <w:r>
              <w:rPr>
                <w:szCs w:val="21"/>
              </w:rPr>
              <w:t>大气环境</w:t>
            </w:r>
          </w:p>
        </w:tc>
        <w:tc>
          <w:tcPr>
            <w:tcW w:w="912" w:type="pct"/>
            <w:vAlign w:val="center"/>
          </w:tcPr>
          <w:p w14:paraId="4B1725AC">
            <w:pPr>
              <w:adjustRightInd w:val="0"/>
              <w:snapToGrid w:val="0"/>
              <w:rPr>
                <w:szCs w:val="21"/>
              </w:rPr>
            </w:pPr>
            <w:r>
              <w:rPr>
                <w:rFonts w:hint="eastAsia"/>
                <w:szCs w:val="21"/>
              </w:rPr>
              <w:t>硬质围挡，洗车平台、遮盖土石料，定期洒水。</w:t>
            </w:r>
          </w:p>
        </w:tc>
        <w:tc>
          <w:tcPr>
            <w:tcW w:w="883" w:type="pct"/>
            <w:vAlign w:val="center"/>
          </w:tcPr>
          <w:p w14:paraId="520D18AB">
            <w:pPr>
              <w:adjustRightInd w:val="0"/>
              <w:snapToGrid w:val="0"/>
              <w:rPr>
                <w:szCs w:val="21"/>
              </w:rPr>
            </w:pPr>
            <w:r>
              <w:rPr>
                <w:rFonts w:hint="eastAsia"/>
                <w:szCs w:val="21"/>
              </w:rPr>
              <w:t>有效抑尘。</w:t>
            </w:r>
          </w:p>
        </w:tc>
        <w:tc>
          <w:tcPr>
            <w:tcW w:w="940" w:type="pct"/>
            <w:vAlign w:val="center"/>
          </w:tcPr>
          <w:p w14:paraId="5B782D9D">
            <w:pPr>
              <w:adjustRightInd w:val="0"/>
              <w:snapToGrid w:val="0"/>
              <w:jc w:val="center"/>
              <w:rPr>
                <w:szCs w:val="21"/>
              </w:rPr>
            </w:pPr>
            <w:r>
              <w:rPr>
                <w:rFonts w:hint="eastAsia"/>
                <w:szCs w:val="21"/>
              </w:rPr>
              <w:t>/</w:t>
            </w:r>
          </w:p>
        </w:tc>
        <w:tc>
          <w:tcPr>
            <w:tcW w:w="927" w:type="pct"/>
            <w:vAlign w:val="center"/>
          </w:tcPr>
          <w:p w14:paraId="2C7AC38B">
            <w:pPr>
              <w:adjustRightInd w:val="0"/>
              <w:snapToGrid w:val="0"/>
              <w:jc w:val="center"/>
              <w:rPr>
                <w:szCs w:val="21"/>
              </w:rPr>
            </w:pPr>
            <w:r>
              <w:rPr>
                <w:rFonts w:hint="eastAsia"/>
                <w:szCs w:val="21"/>
              </w:rPr>
              <w:t>/</w:t>
            </w:r>
          </w:p>
        </w:tc>
      </w:tr>
      <w:tr w14:paraId="011818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338" w:type="pct"/>
            <w:vAlign w:val="center"/>
          </w:tcPr>
          <w:p w14:paraId="7D0639A4">
            <w:pPr>
              <w:adjustRightInd w:val="0"/>
              <w:snapToGrid w:val="0"/>
              <w:jc w:val="center"/>
              <w:rPr>
                <w:szCs w:val="21"/>
              </w:rPr>
            </w:pPr>
            <w:r>
              <w:rPr>
                <w:szCs w:val="21"/>
              </w:rPr>
              <w:t>固体废物</w:t>
            </w:r>
          </w:p>
        </w:tc>
        <w:tc>
          <w:tcPr>
            <w:tcW w:w="912" w:type="pct"/>
            <w:vAlign w:val="center"/>
          </w:tcPr>
          <w:p w14:paraId="72DE4747">
            <w:pPr>
              <w:adjustRightInd w:val="0"/>
              <w:snapToGrid w:val="0"/>
              <w:rPr>
                <w:szCs w:val="21"/>
              </w:rPr>
            </w:pPr>
            <w:r>
              <w:rPr>
                <w:rFonts w:hint="eastAsia"/>
                <w:szCs w:val="21"/>
              </w:rPr>
              <w:t>生活垃圾环卫部门及时清运，建筑垃圾运至指定场所。</w:t>
            </w:r>
          </w:p>
        </w:tc>
        <w:tc>
          <w:tcPr>
            <w:tcW w:w="883" w:type="pct"/>
            <w:vAlign w:val="center"/>
          </w:tcPr>
          <w:p w14:paraId="546174FD">
            <w:pPr>
              <w:adjustRightInd w:val="0"/>
              <w:snapToGrid w:val="0"/>
              <w:rPr>
                <w:szCs w:val="21"/>
              </w:rPr>
            </w:pPr>
            <w:r>
              <w:rPr>
                <w:rFonts w:hint="eastAsia"/>
                <w:szCs w:val="21"/>
              </w:rPr>
              <w:t>固体废物按要求有效处置。</w:t>
            </w:r>
          </w:p>
        </w:tc>
        <w:tc>
          <w:tcPr>
            <w:tcW w:w="940" w:type="pct"/>
            <w:vAlign w:val="center"/>
          </w:tcPr>
          <w:p w14:paraId="39D1F40A">
            <w:pPr>
              <w:adjustRightInd w:val="0"/>
              <w:snapToGrid w:val="0"/>
              <w:jc w:val="center"/>
              <w:rPr>
                <w:szCs w:val="21"/>
              </w:rPr>
            </w:pPr>
            <w:r>
              <w:rPr>
                <w:rFonts w:hint="eastAsia"/>
                <w:szCs w:val="21"/>
              </w:rPr>
              <w:t>/</w:t>
            </w:r>
          </w:p>
        </w:tc>
        <w:tc>
          <w:tcPr>
            <w:tcW w:w="927" w:type="pct"/>
            <w:vAlign w:val="center"/>
          </w:tcPr>
          <w:p w14:paraId="468BED36">
            <w:pPr>
              <w:adjustRightInd w:val="0"/>
              <w:snapToGrid w:val="0"/>
              <w:jc w:val="center"/>
              <w:rPr>
                <w:szCs w:val="21"/>
              </w:rPr>
            </w:pPr>
            <w:r>
              <w:rPr>
                <w:rFonts w:hint="eastAsia"/>
                <w:szCs w:val="21"/>
              </w:rPr>
              <w:t>/</w:t>
            </w:r>
          </w:p>
        </w:tc>
      </w:tr>
      <w:tr w14:paraId="2F9C50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338" w:type="pct"/>
            <w:vAlign w:val="center"/>
          </w:tcPr>
          <w:p w14:paraId="1478239B">
            <w:pPr>
              <w:adjustRightInd w:val="0"/>
              <w:snapToGrid w:val="0"/>
              <w:jc w:val="center"/>
              <w:rPr>
                <w:szCs w:val="21"/>
              </w:rPr>
            </w:pPr>
            <w:r>
              <w:rPr>
                <w:szCs w:val="21"/>
              </w:rPr>
              <w:t>电磁环境</w:t>
            </w:r>
          </w:p>
        </w:tc>
        <w:tc>
          <w:tcPr>
            <w:tcW w:w="912" w:type="pct"/>
            <w:vAlign w:val="center"/>
          </w:tcPr>
          <w:p w14:paraId="5FFABAF6">
            <w:pPr>
              <w:adjustRightInd w:val="0"/>
              <w:snapToGrid w:val="0"/>
              <w:jc w:val="center"/>
              <w:rPr>
                <w:szCs w:val="21"/>
              </w:rPr>
            </w:pPr>
            <w:r>
              <w:rPr>
                <w:rFonts w:hint="eastAsia"/>
                <w:szCs w:val="21"/>
              </w:rPr>
              <w:t>/</w:t>
            </w:r>
          </w:p>
        </w:tc>
        <w:tc>
          <w:tcPr>
            <w:tcW w:w="883" w:type="pct"/>
            <w:vAlign w:val="center"/>
          </w:tcPr>
          <w:p w14:paraId="30E369EA">
            <w:pPr>
              <w:adjustRightInd w:val="0"/>
              <w:snapToGrid w:val="0"/>
              <w:jc w:val="center"/>
              <w:rPr>
                <w:szCs w:val="21"/>
              </w:rPr>
            </w:pPr>
            <w:r>
              <w:rPr>
                <w:rFonts w:hint="eastAsia"/>
                <w:szCs w:val="21"/>
              </w:rPr>
              <w:t>/</w:t>
            </w:r>
          </w:p>
        </w:tc>
        <w:tc>
          <w:tcPr>
            <w:tcW w:w="940" w:type="pct"/>
            <w:vAlign w:val="center"/>
          </w:tcPr>
          <w:p w14:paraId="1F62FF71">
            <w:pPr>
              <w:adjustRightInd w:val="0"/>
              <w:snapToGrid w:val="0"/>
              <w:rPr>
                <w:szCs w:val="21"/>
              </w:rPr>
            </w:pPr>
            <w:r>
              <w:rPr>
                <w:rFonts w:hint="eastAsia" w:ascii="宋体" w:hAnsi="宋体" w:cs="宋体"/>
                <w:szCs w:val="21"/>
              </w:rPr>
              <w:t>①</w:t>
            </w:r>
            <w:r>
              <w:rPr>
                <w:szCs w:val="21"/>
              </w:rPr>
              <w:t>采用户内布置，主变及电器设备合理布局，保证导体和电气设备安全距离，设备防雷接地保护装置，降低静电感应的影响。</w:t>
            </w:r>
          </w:p>
          <w:p w14:paraId="33EE45D4">
            <w:pPr>
              <w:adjustRightInd w:val="0"/>
              <w:snapToGrid w:val="0"/>
              <w:rPr>
                <w:szCs w:val="21"/>
              </w:rPr>
            </w:pPr>
            <w:r>
              <w:rPr>
                <w:rFonts w:hint="eastAsia" w:ascii="宋体" w:hAnsi="宋体" w:cs="宋体"/>
                <w:szCs w:val="21"/>
              </w:rPr>
              <w:t>②</w:t>
            </w:r>
            <w:r>
              <w:rPr>
                <w:rFonts w:hint="eastAsia"/>
                <w:szCs w:val="21"/>
              </w:rPr>
              <w:t>220kV</w:t>
            </w:r>
            <w:r>
              <w:rPr>
                <w:szCs w:val="21"/>
              </w:rPr>
              <w:t>架空线路经过非居民区时，导线的最低对地高度应不小于6</w:t>
            </w:r>
            <w:r>
              <w:rPr>
                <w:rFonts w:hint="eastAsia"/>
                <w:szCs w:val="21"/>
              </w:rPr>
              <w:t>.5</w:t>
            </w:r>
            <w:r>
              <w:rPr>
                <w:szCs w:val="21"/>
              </w:rPr>
              <w:t>m；经过居民区时，导线的最低对地高度或跨越民房的净空高度应不小于7</w:t>
            </w:r>
            <w:r>
              <w:rPr>
                <w:rFonts w:hint="eastAsia"/>
                <w:szCs w:val="21"/>
              </w:rPr>
              <w:t>.5</w:t>
            </w:r>
            <w:r>
              <w:rPr>
                <w:szCs w:val="21"/>
              </w:rPr>
              <w:t>m；边导线外2m以外有民房时，导线与民房问的净空距离不得小于5m。</w:t>
            </w:r>
          </w:p>
        </w:tc>
        <w:tc>
          <w:tcPr>
            <w:tcW w:w="927" w:type="pct"/>
            <w:vAlign w:val="center"/>
          </w:tcPr>
          <w:p w14:paraId="56F99D32">
            <w:pPr>
              <w:adjustRightInd w:val="0"/>
              <w:snapToGrid w:val="0"/>
              <w:rPr>
                <w:szCs w:val="21"/>
              </w:rPr>
            </w:pPr>
            <w:r>
              <w:rPr>
                <w:rFonts w:hint="eastAsia" w:ascii="宋体" w:hAnsi="宋体"/>
                <w:szCs w:val="21"/>
              </w:rPr>
              <w:t>①</w:t>
            </w:r>
            <w:r>
              <w:rPr>
                <w:rFonts w:hint="eastAsia"/>
                <w:szCs w:val="21"/>
              </w:rPr>
              <w:t>工频电场、工频磁场执行《电磁环境控制限值》（GB8702-2014）的规定分别为4000V/m和100μT；</w:t>
            </w:r>
          </w:p>
          <w:p w14:paraId="4110766F">
            <w:pPr>
              <w:adjustRightInd w:val="0"/>
              <w:snapToGrid w:val="0"/>
              <w:rPr>
                <w:szCs w:val="21"/>
              </w:rPr>
            </w:pPr>
            <w:r>
              <w:rPr>
                <w:rFonts w:hint="eastAsia" w:ascii="宋体" w:hAnsi="宋体"/>
                <w:szCs w:val="21"/>
              </w:rPr>
              <w:t>②</w:t>
            </w:r>
            <w:r>
              <w:rPr>
                <w:rFonts w:hint="eastAsia"/>
                <w:szCs w:val="21"/>
              </w:rPr>
              <w:t>架空输电线路线下的耕地、园地、牧草地、畜禽饲养地、养殖水面、道路等场所，其频率50Hz的电场强度控制限值为10kV/m，且应给出警示和防护指示标志。</w:t>
            </w:r>
          </w:p>
        </w:tc>
      </w:tr>
      <w:tr w14:paraId="433AA1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338" w:type="pct"/>
            <w:vAlign w:val="center"/>
          </w:tcPr>
          <w:p w14:paraId="1AB7C064">
            <w:pPr>
              <w:adjustRightInd w:val="0"/>
              <w:snapToGrid w:val="0"/>
              <w:jc w:val="center"/>
              <w:rPr>
                <w:szCs w:val="21"/>
              </w:rPr>
            </w:pPr>
            <w:r>
              <w:rPr>
                <w:szCs w:val="21"/>
              </w:rPr>
              <w:t>环境风险</w:t>
            </w:r>
          </w:p>
        </w:tc>
        <w:tc>
          <w:tcPr>
            <w:tcW w:w="912" w:type="pct"/>
            <w:vAlign w:val="center"/>
          </w:tcPr>
          <w:p w14:paraId="165C829D">
            <w:pPr>
              <w:adjustRightInd w:val="0"/>
              <w:snapToGrid w:val="0"/>
              <w:jc w:val="center"/>
              <w:rPr>
                <w:szCs w:val="21"/>
              </w:rPr>
            </w:pPr>
            <w:r>
              <w:rPr>
                <w:rFonts w:hint="eastAsia"/>
                <w:szCs w:val="21"/>
              </w:rPr>
              <w:t>/</w:t>
            </w:r>
          </w:p>
        </w:tc>
        <w:tc>
          <w:tcPr>
            <w:tcW w:w="883" w:type="pct"/>
            <w:vAlign w:val="center"/>
          </w:tcPr>
          <w:p w14:paraId="760B830B">
            <w:pPr>
              <w:adjustRightInd w:val="0"/>
              <w:snapToGrid w:val="0"/>
              <w:jc w:val="center"/>
              <w:rPr>
                <w:szCs w:val="21"/>
              </w:rPr>
            </w:pPr>
            <w:r>
              <w:rPr>
                <w:rFonts w:hint="eastAsia"/>
                <w:szCs w:val="21"/>
              </w:rPr>
              <w:t>/</w:t>
            </w:r>
          </w:p>
        </w:tc>
        <w:tc>
          <w:tcPr>
            <w:tcW w:w="940" w:type="pct"/>
            <w:vAlign w:val="center"/>
          </w:tcPr>
          <w:p w14:paraId="32AF3E2C">
            <w:pPr>
              <w:adjustRightInd w:val="0"/>
              <w:snapToGrid w:val="0"/>
              <w:jc w:val="center"/>
              <w:rPr>
                <w:szCs w:val="21"/>
              </w:rPr>
            </w:pPr>
            <w:r>
              <w:rPr>
                <w:rFonts w:hint="eastAsia" w:ascii="宋体" w:hAnsi="宋体"/>
                <w:szCs w:val="21"/>
              </w:rPr>
              <w:t>/</w:t>
            </w:r>
          </w:p>
        </w:tc>
        <w:tc>
          <w:tcPr>
            <w:tcW w:w="927" w:type="pct"/>
            <w:vAlign w:val="center"/>
          </w:tcPr>
          <w:p w14:paraId="07F0FD86">
            <w:pPr>
              <w:adjustRightInd w:val="0"/>
              <w:snapToGrid w:val="0"/>
              <w:jc w:val="center"/>
              <w:rPr>
                <w:szCs w:val="21"/>
              </w:rPr>
            </w:pPr>
            <w:r>
              <w:rPr>
                <w:rFonts w:hint="eastAsia"/>
                <w:szCs w:val="21"/>
              </w:rPr>
              <w:t>/</w:t>
            </w:r>
          </w:p>
        </w:tc>
      </w:tr>
      <w:tr w14:paraId="5A55F4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338" w:type="pct"/>
            <w:vAlign w:val="center"/>
          </w:tcPr>
          <w:p w14:paraId="3B52583C">
            <w:pPr>
              <w:adjustRightInd w:val="0"/>
              <w:snapToGrid w:val="0"/>
              <w:jc w:val="center"/>
              <w:rPr>
                <w:szCs w:val="21"/>
              </w:rPr>
            </w:pPr>
            <w:r>
              <w:rPr>
                <w:szCs w:val="21"/>
              </w:rPr>
              <w:t>环境监测</w:t>
            </w:r>
          </w:p>
        </w:tc>
        <w:tc>
          <w:tcPr>
            <w:tcW w:w="912" w:type="pct"/>
            <w:vAlign w:val="center"/>
          </w:tcPr>
          <w:p w14:paraId="610FBA21">
            <w:pPr>
              <w:adjustRightInd w:val="0"/>
              <w:snapToGrid w:val="0"/>
              <w:jc w:val="center"/>
              <w:rPr>
                <w:szCs w:val="21"/>
              </w:rPr>
            </w:pPr>
            <w:r>
              <w:rPr>
                <w:rFonts w:hint="eastAsia"/>
                <w:szCs w:val="21"/>
              </w:rPr>
              <w:t>/</w:t>
            </w:r>
          </w:p>
        </w:tc>
        <w:tc>
          <w:tcPr>
            <w:tcW w:w="883" w:type="pct"/>
            <w:vAlign w:val="center"/>
          </w:tcPr>
          <w:p w14:paraId="33647701">
            <w:pPr>
              <w:adjustRightInd w:val="0"/>
              <w:snapToGrid w:val="0"/>
              <w:jc w:val="center"/>
              <w:rPr>
                <w:szCs w:val="21"/>
              </w:rPr>
            </w:pPr>
            <w:r>
              <w:rPr>
                <w:rFonts w:hint="eastAsia"/>
                <w:szCs w:val="21"/>
              </w:rPr>
              <w:t>/</w:t>
            </w:r>
          </w:p>
        </w:tc>
        <w:tc>
          <w:tcPr>
            <w:tcW w:w="940" w:type="pct"/>
            <w:vAlign w:val="center"/>
          </w:tcPr>
          <w:p w14:paraId="3036343C">
            <w:pPr>
              <w:adjustRightInd w:val="0"/>
              <w:snapToGrid w:val="0"/>
              <w:rPr>
                <w:szCs w:val="21"/>
              </w:rPr>
            </w:pPr>
            <w:r>
              <w:rPr>
                <w:rFonts w:hint="eastAsia"/>
                <w:szCs w:val="21"/>
              </w:rPr>
              <w:t>按照环境监测计划进行环境监测。</w:t>
            </w:r>
          </w:p>
        </w:tc>
        <w:tc>
          <w:tcPr>
            <w:tcW w:w="927" w:type="pct"/>
            <w:vAlign w:val="center"/>
          </w:tcPr>
          <w:p w14:paraId="2A7EB797">
            <w:pPr>
              <w:adjustRightInd w:val="0"/>
              <w:snapToGrid w:val="0"/>
              <w:rPr>
                <w:szCs w:val="21"/>
              </w:rPr>
            </w:pPr>
            <w:r>
              <w:rPr>
                <w:rFonts w:hint="eastAsia"/>
                <w:szCs w:val="21"/>
              </w:rPr>
              <w:t>确保电磁环境、噪声等满足国家标准要求。</w:t>
            </w:r>
          </w:p>
        </w:tc>
      </w:tr>
      <w:tr w14:paraId="096E65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338" w:type="pct"/>
            <w:vAlign w:val="center"/>
          </w:tcPr>
          <w:p w14:paraId="2E9FE0C3">
            <w:pPr>
              <w:adjustRightInd w:val="0"/>
              <w:snapToGrid w:val="0"/>
              <w:jc w:val="center"/>
              <w:rPr>
                <w:szCs w:val="21"/>
              </w:rPr>
            </w:pPr>
            <w:r>
              <w:rPr>
                <w:szCs w:val="21"/>
              </w:rPr>
              <w:t>其他</w:t>
            </w:r>
          </w:p>
        </w:tc>
        <w:tc>
          <w:tcPr>
            <w:tcW w:w="912" w:type="pct"/>
            <w:vAlign w:val="center"/>
          </w:tcPr>
          <w:p w14:paraId="467E52D6">
            <w:pPr>
              <w:adjustRightInd w:val="0"/>
              <w:snapToGrid w:val="0"/>
              <w:jc w:val="center"/>
              <w:rPr>
                <w:szCs w:val="21"/>
              </w:rPr>
            </w:pPr>
            <w:r>
              <w:rPr>
                <w:rFonts w:hint="eastAsia"/>
                <w:szCs w:val="21"/>
              </w:rPr>
              <w:t>/</w:t>
            </w:r>
          </w:p>
        </w:tc>
        <w:tc>
          <w:tcPr>
            <w:tcW w:w="883" w:type="pct"/>
            <w:vAlign w:val="center"/>
          </w:tcPr>
          <w:p w14:paraId="773CA5D8">
            <w:pPr>
              <w:adjustRightInd w:val="0"/>
              <w:snapToGrid w:val="0"/>
              <w:jc w:val="center"/>
              <w:rPr>
                <w:szCs w:val="21"/>
              </w:rPr>
            </w:pPr>
            <w:r>
              <w:rPr>
                <w:rFonts w:hint="eastAsia"/>
                <w:szCs w:val="21"/>
              </w:rPr>
              <w:t>/</w:t>
            </w:r>
          </w:p>
        </w:tc>
        <w:tc>
          <w:tcPr>
            <w:tcW w:w="940" w:type="pct"/>
            <w:vAlign w:val="center"/>
          </w:tcPr>
          <w:p w14:paraId="6CB341F5">
            <w:pPr>
              <w:adjustRightInd w:val="0"/>
              <w:snapToGrid w:val="0"/>
              <w:jc w:val="center"/>
              <w:rPr>
                <w:szCs w:val="21"/>
              </w:rPr>
            </w:pPr>
            <w:r>
              <w:rPr>
                <w:rFonts w:hint="eastAsia"/>
                <w:szCs w:val="21"/>
              </w:rPr>
              <w:t>/</w:t>
            </w:r>
          </w:p>
        </w:tc>
        <w:tc>
          <w:tcPr>
            <w:tcW w:w="927" w:type="pct"/>
            <w:vAlign w:val="center"/>
          </w:tcPr>
          <w:p w14:paraId="33F642D3">
            <w:pPr>
              <w:adjustRightInd w:val="0"/>
              <w:snapToGrid w:val="0"/>
              <w:jc w:val="center"/>
              <w:rPr>
                <w:szCs w:val="21"/>
              </w:rPr>
            </w:pPr>
            <w:r>
              <w:rPr>
                <w:rFonts w:hint="eastAsia"/>
                <w:szCs w:val="21"/>
              </w:rPr>
              <w:t>/</w:t>
            </w:r>
          </w:p>
        </w:tc>
      </w:tr>
    </w:tbl>
    <w:p w14:paraId="6B25B4B9">
      <w:pPr>
        <w:pStyle w:val="23"/>
        <w:jc w:val="center"/>
        <w:rPr>
          <w:rFonts w:hint="eastAsia" w:ascii="黑体" w:hAnsi="黑体" w:eastAsia="黑体"/>
          <w:snapToGrid w:val="0"/>
          <w:sz w:val="30"/>
          <w:szCs w:val="30"/>
        </w:rPr>
      </w:pPr>
    </w:p>
    <w:p w14:paraId="2093037D">
      <w:pPr>
        <w:pStyle w:val="2"/>
      </w:pPr>
      <w:r>
        <w:br w:type="page"/>
      </w:r>
      <w:r>
        <w:rPr>
          <w:rFonts w:hint="eastAsia"/>
        </w:rPr>
        <w:t>七、结论</w:t>
      </w:r>
    </w:p>
    <w:tbl>
      <w:tblPr>
        <w:tblStyle w:val="25"/>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14:paraId="793BEB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49" w:hRule="atLeast"/>
          <w:jc w:val="center"/>
        </w:trPr>
        <w:tc>
          <w:tcPr>
            <w:tcW w:w="5000" w:type="pct"/>
          </w:tcPr>
          <w:p w14:paraId="42F983A3">
            <w:pPr>
              <w:pStyle w:val="51"/>
              <w:rPr>
                <w:color w:val="auto"/>
              </w:rPr>
            </w:pPr>
            <w:r>
              <w:rPr>
                <w:rFonts w:hint="eastAsia"/>
                <w:color w:val="auto"/>
              </w:rPr>
              <w:t>华润州来凤台县张集光伏电站项目配套220kV升压站及220kV输电线路项目符合国家产业政策，线路选线合理，在认真落实各项污染防治措施后，工频电场、工频磁感应强度及噪声等对周围环境的影响较小，从环境影响角度分析，华润州来凤台县张集光伏电站项目配套220kV升压站及220kV输电线路项目的建设是可行的。</w:t>
            </w:r>
          </w:p>
        </w:tc>
      </w:tr>
    </w:tbl>
    <w:p w14:paraId="0AB3DA63">
      <w:pPr>
        <w:pStyle w:val="51"/>
        <w:rPr>
          <w:color w:val="auto"/>
        </w:rPr>
        <w:sectPr>
          <w:pgSz w:w="11906" w:h="16838"/>
          <w:pgMar w:top="1418" w:right="1418" w:bottom="1418" w:left="1418" w:header="851" w:footer="1077" w:gutter="0"/>
          <w:cols w:space="425" w:num="1"/>
          <w:docGrid w:linePitch="312" w:charSpace="0"/>
        </w:sectPr>
      </w:pPr>
    </w:p>
    <w:p w14:paraId="30CDCB07">
      <w:bookmarkStart w:id="7" w:name="_Toc443400149"/>
      <w:bookmarkStart w:id="8" w:name="_Toc421772749"/>
      <w:bookmarkStart w:id="9" w:name="_Toc189983112"/>
      <w:bookmarkStart w:id="10" w:name="_Toc428724436"/>
      <w:bookmarkStart w:id="11" w:name="_Toc430099629"/>
      <w:bookmarkStart w:id="12" w:name="_Toc167161796"/>
      <w:bookmarkStart w:id="13" w:name="_Toc166998132"/>
      <w:bookmarkStart w:id="14" w:name="_Toc166998000"/>
      <w:bookmarkStart w:id="15" w:name="_Toc89674135"/>
      <w:bookmarkStart w:id="16" w:name="_Toc178131622"/>
      <w:bookmarkStart w:id="17" w:name="_Toc91142927"/>
    </w:p>
    <w:p w14:paraId="61F294D2">
      <w:pPr>
        <w:autoSpaceDE w:val="0"/>
        <w:autoSpaceDN w:val="0"/>
        <w:adjustRightInd w:val="0"/>
        <w:jc w:val="left"/>
        <w:rPr>
          <w:b/>
          <w:sz w:val="48"/>
          <w:lang w:val="zh-CN"/>
        </w:rPr>
      </w:pPr>
    </w:p>
    <w:p w14:paraId="32442EDB">
      <w:pPr>
        <w:autoSpaceDE w:val="0"/>
        <w:autoSpaceDN w:val="0"/>
        <w:adjustRightInd w:val="0"/>
        <w:jc w:val="left"/>
        <w:rPr>
          <w:b/>
          <w:sz w:val="48"/>
          <w:lang w:val="zh-CN"/>
        </w:rPr>
      </w:pPr>
    </w:p>
    <w:p w14:paraId="7CC656FB">
      <w:pPr>
        <w:autoSpaceDE w:val="0"/>
        <w:autoSpaceDN w:val="0"/>
        <w:adjustRightInd w:val="0"/>
        <w:jc w:val="left"/>
        <w:rPr>
          <w:b/>
          <w:sz w:val="48"/>
          <w:lang w:val="zh-CN"/>
        </w:rPr>
      </w:pPr>
    </w:p>
    <w:p w14:paraId="6003C9B4">
      <w:pPr>
        <w:autoSpaceDE w:val="0"/>
        <w:autoSpaceDN w:val="0"/>
        <w:adjustRightInd w:val="0"/>
        <w:jc w:val="left"/>
        <w:rPr>
          <w:b/>
          <w:sz w:val="48"/>
          <w:lang w:val="zh-CN"/>
        </w:rPr>
      </w:pPr>
    </w:p>
    <w:p w14:paraId="0C5DD53C">
      <w:pPr>
        <w:autoSpaceDE w:val="0"/>
        <w:autoSpaceDN w:val="0"/>
        <w:adjustRightInd w:val="0"/>
        <w:spacing w:after="312" w:afterLines="100" w:line="480" w:lineRule="auto"/>
        <w:jc w:val="center"/>
        <w:rPr>
          <w:rFonts w:hint="eastAsia" w:ascii="华文中宋" w:hAnsi="华文中宋" w:eastAsia="华文中宋"/>
          <w:b/>
          <w:sz w:val="52"/>
          <w:lang w:val="zh-CN"/>
        </w:rPr>
      </w:pPr>
      <w:r>
        <w:rPr>
          <w:rFonts w:hint="eastAsia" w:ascii="华文中宋" w:hAnsi="华文中宋" w:eastAsia="华文中宋"/>
          <w:b/>
          <w:sz w:val="52"/>
          <w:lang w:val="zh-CN"/>
        </w:rPr>
        <w:t>华润州来凤台县张集光伏电站项目配套220kV升压站及220kV输电线路项目</w:t>
      </w:r>
    </w:p>
    <w:p w14:paraId="06CA2648">
      <w:pPr>
        <w:autoSpaceDE w:val="0"/>
        <w:autoSpaceDN w:val="0"/>
        <w:adjustRightInd w:val="0"/>
        <w:spacing w:after="312" w:afterLines="100" w:line="480" w:lineRule="auto"/>
        <w:jc w:val="center"/>
        <w:rPr>
          <w:rFonts w:hint="eastAsia" w:ascii="华文中宋" w:hAnsi="华文中宋" w:eastAsia="华文中宋"/>
          <w:b/>
          <w:sz w:val="52"/>
          <w:lang w:val="zh-CN"/>
        </w:rPr>
      </w:pPr>
      <w:r>
        <w:rPr>
          <w:rFonts w:hint="eastAsia" w:ascii="华文中宋" w:hAnsi="华文中宋" w:eastAsia="华文中宋"/>
          <w:b/>
          <w:sz w:val="52"/>
          <w:lang w:val="zh-CN"/>
        </w:rPr>
        <w:t>电磁环境影响评价专题报告</w:t>
      </w:r>
    </w:p>
    <w:p w14:paraId="142B5693">
      <w:pPr>
        <w:autoSpaceDE w:val="0"/>
        <w:autoSpaceDN w:val="0"/>
        <w:adjustRightInd w:val="0"/>
        <w:jc w:val="left"/>
        <w:rPr>
          <w:b/>
          <w:sz w:val="28"/>
          <w:lang w:val="zh-CN"/>
        </w:rPr>
      </w:pPr>
    </w:p>
    <w:p w14:paraId="5DA504A4">
      <w:pPr>
        <w:autoSpaceDE w:val="0"/>
        <w:autoSpaceDN w:val="0"/>
        <w:adjustRightInd w:val="0"/>
        <w:jc w:val="left"/>
        <w:rPr>
          <w:b/>
          <w:sz w:val="28"/>
          <w:lang w:val="zh-CN"/>
        </w:rPr>
      </w:pPr>
    </w:p>
    <w:p w14:paraId="1EAFED1C">
      <w:pPr>
        <w:autoSpaceDE w:val="0"/>
        <w:autoSpaceDN w:val="0"/>
        <w:adjustRightInd w:val="0"/>
        <w:jc w:val="left"/>
        <w:rPr>
          <w:b/>
          <w:sz w:val="28"/>
          <w:lang w:val="zh-CN"/>
        </w:rPr>
      </w:pPr>
    </w:p>
    <w:p w14:paraId="5E28035E">
      <w:pPr>
        <w:autoSpaceDE w:val="0"/>
        <w:autoSpaceDN w:val="0"/>
        <w:adjustRightInd w:val="0"/>
        <w:jc w:val="left"/>
        <w:rPr>
          <w:b/>
          <w:sz w:val="28"/>
          <w:lang w:val="zh-CN"/>
        </w:rPr>
      </w:pPr>
    </w:p>
    <w:p w14:paraId="40160FD4">
      <w:pPr>
        <w:autoSpaceDE w:val="0"/>
        <w:autoSpaceDN w:val="0"/>
        <w:adjustRightInd w:val="0"/>
        <w:jc w:val="left"/>
        <w:rPr>
          <w:b/>
          <w:sz w:val="28"/>
          <w:lang w:val="zh-CN"/>
        </w:rPr>
      </w:pPr>
    </w:p>
    <w:p w14:paraId="296A1A53">
      <w:pPr>
        <w:autoSpaceDE w:val="0"/>
        <w:autoSpaceDN w:val="0"/>
        <w:adjustRightInd w:val="0"/>
        <w:jc w:val="left"/>
        <w:rPr>
          <w:b/>
          <w:sz w:val="28"/>
          <w:lang w:val="zh-CN"/>
        </w:rPr>
      </w:pPr>
    </w:p>
    <w:p w14:paraId="6680A19D">
      <w:pPr>
        <w:autoSpaceDE w:val="0"/>
        <w:autoSpaceDN w:val="0"/>
        <w:adjustRightInd w:val="0"/>
        <w:jc w:val="left"/>
        <w:rPr>
          <w:b/>
          <w:sz w:val="28"/>
          <w:lang w:val="zh-CN"/>
        </w:rPr>
      </w:pPr>
    </w:p>
    <w:p w14:paraId="6FC4FE77">
      <w:pPr>
        <w:autoSpaceDE w:val="0"/>
        <w:autoSpaceDN w:val="0"/>
        <w:adjustRightInd w:val="0"/>
        <w:jc w:val="left"/>
        <w:rPr>
          <w:b/>
          <w:sz w:val="28"/>
          <w:lang w:val="zh-CN"/>
        </w:rPr>
      </w:pPr>
    </w:p>
    <w:p w14:paraId="736313CA">
      <w:pPr>
        <w:autoSpaceDE w:val="0"/>
        <w:autoSpaceDN w:val="0"/>
        <w:adjustRightInd w:val="0"/>
        <w:jc w:val="left"/>
        <w:rPr>
          <w:b/>
          <w:sz w:val="28"/>
          <w:lang w:val="zh-CN"/>
        </w:rPr>
      </w:pPr>
    </w:p>
    <w:p w14:paraId="3AFB1043">
      <w:pPr>
        <w:autoSpaceDE w:val="0"/>
        <w:autoSpaceDN w:val="0"/>
        <w:adjustRightInd w:val="0"/>
        <w:jc w:val="center"/>
        <w:rPr>
          <w:b/>
          <w:sz w:val="32"/>
          <w:lang w:val="zh-CN"/>
        </w:rPr>
      </w:pPr>
      <w:r>
        <w:rPr>
          <w:rFonts w:hint="eastAsia"/>
          <w:b/>
          <w:sz w:val="32"/>
          <w:lang w:val="zh-CN"/>
        </w:rPr>
        <w:t>安徽资环环境工程有限公司</w:t>
      </w:r>
    </w:p>
    <w:p w14:paraId="4CABB920">
      <w:pPr>
        <w:autoSpaceDE w:val="0"/>
        <w:autoSpaceDN w:val="0"/>
        <w:adjustRightInd w:val="0"/>
        <w:jc w:val="center"/>
        <w:rPr>
          <w:b/>
          <w:sz w:val="32"/>
          <w:lang w:val="zh-CN"/>
        </w:rPr>
      </w:pPr>
      <w:r>
        <w:rPr>
          <w:b/>
          <w:sz w:val="32"/>
          <w:lang w:val="zh-CN"/>
        </w:rPr>
        <w:t>202</w:t>
      </w:r>
      <w:r>
        <w:rPr>
          <w:rFonts w:hint="eastAsia"/>
          <w:b/>
          <w:sz w:val="32"/>
        </w:rPr>
        <w:t>5</w:t>
      </w:r>
      <w:r>
        <w:rPr>
          <w:rFonts w:hint="eastAsia"/>
          <w:b/>
          <w:sz w:val="32"/>
          <w:lang w:val="zh-CN"/>
        </w:rPr>
        <w:t>年</w:t>
      </w:r>
      <w:r>
        <w:rPr>
          <w:rFonts w:hint="eastAsia"/>
          <w:b/>
          <w:sz w:val="32"/>
        </w:rPr>
        <w:t>2</w:t>
      </w:r>
      <w:r>
        <w:rPr>
          <w:rFonts w:hint="eastAsia"/>
          <w:b/>
          <w:sz w:val="32"/>
          <w:lang w:val="zh-CN"/>
        </w:rPr>
        <w:t>月</w:t>
      </w:r>
    </w:p>
    <w:p w14:paraId="72E9D1D8">
      <w:pPr>
        <w:autoSpaceDE w:val="0"/>
        <w:autoSpaceDN w:val="0"/>
        <w:adjustRightInd w:val="0"/>
        <w:jc w:val="center"/>
        <w:rPr>
          <w:b/>
          <w:sz w:val="36"/>
          <w:lang w:val="zh-CN"/>
        </w:rPr>
      </w:pPr>
      <w:r>
        <w:rPr>
          <w:b/>
          <w:sz w:val="30"/>
          <w:lang w:val="zh-CN"/>
        </w:rPr>
        <w:br w:type="page"/>
      </w:r>
      <w:r>
        <w:rPr>
          <w:rFonts w:hint="eastAsia"/>
          <w:b/>
          <w:sz w:val="36"/>
          <w:lang w:val="zh-CN"/>
        </w:rPr>
        <w:t>目   录</w:t>
      </w:r>
    </w:p>
    <w:p w14:paraId="0F2447C7">
      <w:pPr>
        <w:pStyle w:val="17"/>
        <w:rPr>
          <w:rFonts w:hint="eastAsia" w:ascii="等线" w:hAnsi="等线" w:eastAsia="等线"/>
          <w:b w:val="0"/>
          <w:caps w:val="0"/>
          <w:color w:val="auto"/>
          <w:sz w:val="21"/>
        </w:rPr>
      </w:pPr>
      <w:r>
        <w:rPr>
          <w:rFonts w:hint="eastAsia"/>
          <w:b w:val="0"/>
          <w:color w:val="auto"/>
          <w:sz w:val="36"/>
          <w:lang w:val="zh-CN"/>
        </w:rPr>
        <w:fldChar w:fldCharType="begin"/>
      </w:r>
      <w:r>
        <w:rPr>
          <w:b w:val="0"/>
          <w:color w:val="auto"/>
          <w:sz w:val="36"/>
          <w:lang w:val="zh-CN"/>
        </w:rPr>
        <w:instrText xml:space="preserve"> </w:instrText>
      </w:r>
      <w:r>
        <w:rPr>
          <w:rFonts w:hint="eastAsia"/>
          <w:b w:val="0"/>
          <w:color w:val="auto"/>
          <w:sz w:val="36"/>
          <w:lang w:val="zh-CN"/>
        </w:rPr>
        <w:instrText xml:space="preserve">TOC \o "1-2" \h \z \u</w:instrText>
      </w:r>
      <w:r>
        <w:rPr>
          <w:b w:val="0"/>
          <w:color w:val="auto"/>
          <w:sz w:val="36"/>
          <w:lang w:val="zh-CN"/>
        </w:rPr>
        <w:instrText xml:space="preserve"> </w:instrText>
      </w:r>
      <w:r>
        <w:rPr>
          <w:rFonts w:hint="eastAsia"/>
          <w:b w:val="0"/>
          <w:color w:val="auto"/>
          <w:sz w:val="36"/>
          <w:lang w:val="zh-CN"/>
        </w:rPr>
        <w:fldChar w:fldCharType="separate"/>
      </w:r>
      <w:r>
        <w:fldChar w:fldCharType="begin"/>
      </w:r>
      <w:r>
        <w:instrText xml:space="preserve"> HYPERLINK \l "_Toc85662748" </w:instrText>
      </w:r>
      <w:r>
        <w:fldChar w:fldCharType="separate"/>
      </w:r>
      <w:r>
        <w:rPr>
          <w:rStyle w:val="29"/>
          <w:color w:val="auto"/>
        </w:rPr>
        <w:t xml:space="preserve">1 </w:t>
      </w:r>
      <w:r>
        <w:rPr>
          <w:rStyle w:val="29"/>
          <w:rFonts w:hint="eastAsia"/>
          <w:color w:val="auto"/>
        </w:rPr>
        <w:t>概述</w:t>
      </w:r>
      <w:r>
        <w:rPr>
          <w:color w:val="auto"/>
        </w:rPr>
        <w:tab/>
      </w:r>
      <w:r>
        <w:rPr>
          <w:color w:val="auto"/>
        </w:rPr>
        <w:fldChar w:fldCharType="begin"/>
      </w:r>
      <w:r>
        <w:rPr>
          <w:color w:val="auto"/>
        </w:rPr>
        <w:instrText xml:space="preserve"> PAGEREF _Toc85662748 \h </w:instrText>
      </w:r>
      <w:r>
        <w:rPr>
          <w:color w:val="auto"/>
        </w:rPr>
        <w:fldChar w:fldCharType="separate"/>
      </w:r>
      <w:r>
        <w:rPr>
          <w:color w:val="auto"/>
        </w:rPr>
        <w:t>1</w:t>
      </w:r>
      <w:r>
        <w:rPr>
          <w:color w:val="auto"/>
        </w:rPr>
        <w:fldChar w:fldCharType="end"/>
      </w:r>
      <w:r>
        <w:rPr>
          <w:color w:val="auto"/>
        </w:rPr>
        <w:fldChar w:fldCharType="end"/>
      </w:r>
    </w:p>
    <w:p w14:paraId="7DE25DF4">
      <w:pPr>
        <w:pStyle w:val="17"/>
        <w:rPr>
          <w:rFonts w:hint="eastAsia" w:ascii="等线" w:hAnsi="等线" w:eastAsia="等线"/>
          <w:b w:val="0"/>
          <w:caps w:val="0"/>
          <w:color w:val="auto"/>
          <w:sz w:val="21"/>
        </w:rPr>
      </w:pPr>
      <w:r>
        <w:fldChar w:fldCharType="begin"/>
      </w:r>
      <w:r>
        <w:instrText xml:space="preserve"> HYPERLINK \l "_Toc85662749" </w:instrText>
      </w:r>
      <w:r>
        <w:fldChar w:fldCharType="separate"/>
      </w:r>
      <w:r>
        <w:rPr>
          <w:rStyle w:val="29"/>
          <w:color w:val="auto"/>
        </w:rPr>
        <w:t xml:space="preserve">2 </w:t>
      </w:r>
      <w:r>
        <w:rPr>
          <w:rStyle w:val="29"/>
          <w:rFonts w:hint="eastAsia"/>
          <w:color w:val="auto"/>
        </w:rPr>
        <w:t>总则</w:t>
      </w:r>
      <w:r>
        <w:rPr>
          <w:color w:val="auto"/>
        </w:rPr>
        <w:tab/>
      </w:r>
      <w:r>
        <w:rPr>
          <w:color w:val="auto"/>
        </w:rPr>
        <w:fldChar w:fldCharType="begin"/>
      </w:r>
      <w:r>
        <w:rPr>
          <w:color w:val="auto"/>
        </w:rPr>
        <w:instrText xml:space="preserve"> PAGEREF _Toc85662749 \h </w:instrText>
      </w:r>
      <w:r>
        <w:rPr>
          <w:color w:val="auto"/>
        </w:rPr>
        <w:fldChar w:fldCharType="separate"/>
      </w:r>
      <w:r>
        <w:rPr>
          <w:color w:val="auto"/>
        </w:rPr>
        <w:t>3</w:t>
      </w:r>
      <w:r>
        <w:rPr>
          <w:color w:val="auto"/>
        </w:rPr>
        <w:fldChar w:fldCharType="end"/>
      </w:r>
      <w:r>
        <w:rPr>
          <w:color w:val="auto"/>
        </w:rPr>
        <w:fldChar w:fldCharType="end"/>
      </w:r>
    </w:p>
    <w:p w14:paraId="703B5079">
      <w:pPr>
        <w:pStyle w:val="22"/>
        <w:ind w:firstLine="420"/>
        <w:rPr>
          <w:rFonts w:hint="eastAsia" w:ascii="等线" w:hAnsi="等线" w:eastAsia="等线"/>
          <w:smallCaps w:val="0"/>
          <w:kern w:val="2"/>
        </w:rPr>
      </w:pPr>
      <w:r>
        <w:fldChar w:fldCharType="begin"/>
      </w:r>
      <w:r>
        <w:instrText xml:space="preserve"> HYPERLINK \l "_Toc85662750" </w:instrText>
      </w:r>
      <w:r>
        <w:fldChar w:fldCharType="separate"/>
      </w:r>
      <w:r>
        <w:rPr>
          <w:rStyle w:val="29"/>
          <w:color w:val="auto"/>
          <w:sz w:val="21"/>
        </w:rPr>
        <w:t xml:space="preserve">2.1 </w:t>
      </w:r>
      <w:r>
        <w:rPr>
          <w:rStyle w:val="29"/>
          <w:rFonts w:hint="eastAsia"/>
          <w:color w:val="auto"/>
          <w:sz w:val="21"/>
        </w:rPr>
        <w:t>工程概况</w:t>
      </w:r>
      <w:r>
        <w:tab/>
      </w:r>
      <w:r>
        <w:fldChar w:fldCharType="begin"/>
      </w:r>
      <w:r>
        <w:instrText xml:space="preserve"> PAGEREF _Toc85662750 \h </w:instrText>
      </w:r>
      <w:r>
        <w:fldChar w:fldCharType="separate"/>
      </w:r>
      <w:r>
        <w:t>3</w:t>
      </w:r>
      <w:r>
        <w:fldChar w:fldCharType="end"/>
      </w:r>
      <w:r>
        <w:fldChar w:fldCharType="end"/>
      </w:r>
    </w:p>
    <w:p w14:paraId="2E8B3575">
      <w:pPr>
        <w:pStyle w:val="22"/>
        <w:ind w:firstLine="420"/>
        <w:rPr>
          <w:rFonts w:hint="eastAsia" w:ascii="等线" w:hAnsi="等线" w:eastAsia="等线"/>
          <w:smallCaps w:val="0"/>
          <w:kern w:val="2"/>
        </w:rPr>
      </w:pPr>
      <w:r>
        <w:fldChar w:fldCharType="begin"/>
      </w:r>
      <w:r>
        <w:instrText xml:space="preserve"> HYPERLINK \l "_Toc85662751" </w:instrText>
      </w:r>
      <w:r>
        <w:fldChar w:fldCharType="separate"/>
      </w:r>
      <w:r>
        <w:rPr>
          <w:rStyle w:val="29"/>
          <w:color w:val="auto"/>
          <w:sz w:val="21"/>
        </w:rPr>
        <w:t xml:space="preserve">2.2 </w:t>
      </w:r>
      <w:r>
        <w:rPr>
          <w:rStyle w:val="29"/>
          <w:rFonts w:hint="eastAsia"/>
          <w:color w:val="auto"/>
          <w:sz w:val="21"/>
        </w:rPr>
        <w:t>评价因子</w:t>
      </w:r>
      <w:r>
        <w:tab/>
      </w:r>
      <w:r>
        <w:fldChar w:fldCharType="begin"/>
      </w:r>
      <w:r>
        <w:instrText xml:space="preserve"> PAGEREF _Toc85662751 \h </w:instrText>
      </w:r>
      <w:r>
        <w:fldChar w:fldCharType="separate"/>
      </w:r>
      <w:r>
        <w:t>4</w:t>
      </w:r>
      <w:r>
        <w:fldChar w:fldCharType="end"/>
      </w:r>
      <w:r>
        <w:fldChar w:fldCharType="end"/>
      </w:r>
    </w:p>
    <w:p w14:paraId="2D8E9AF4">
      <w:pPr>
        <w:pStyle w:val="22"/>
        <w:ind w:firstLine="420"/>
        <w:rPr>
          <w:rFonts w:hint="eastAsia" w:ascii="等线" w:hAnsi="等线" w:eastAsia="等线"/>
          <w:smallCaps w:val="0"/>
          <w:kern w:val="2"/>
        </w:rPr>
      </w:pPr>
      <w:r>
        <w:fldChar w:fldCharType="begin"/>
      </w:r>
      <w:r>
        <w:instrText xml:space="preserve"> HYPERLINK \l "_Toc85662752" </w:instrText>
      </w:r>
      <w:r>
        <w:fldChar w:fldCharType="separate"/>
      </w:r>
      <w:r>
        <w:rPr>
          <w:rStyle w:val="29"/>
          <w:color w:val="auto"/>
          <w:sz w:val="21"/>
        </w:rPr>
        <w:t xml:space="preserve">2.3 </w:t>
      </w:r>
      <w:r>
        <w:rPr>
          <w:rStyle w:val="29"/>
          <w:rFonts w:hint="eastAsia"/>
          <w:color w:val="auto"/>
          <w:sz w:val="21"/>
        </w:rPr>
        <w:t>评价标准</w:t>
      </w:r>
      <w:r>
        <w:tab/>
      </w:r>
      <w:r>
        <w:fldChar w:fldCharType="begin"/>
      </w:r>
      <w:r>
        <w:instrText xml:space="preserve"> PAGEREF _Toc85662752 \h </w:instrText>
      </w:r>
      <w:r>
        <w:fldChar w:fldCharType="separate"/>
      </w:r>
      <w:r>
        <w:t>4</w:t>
      </w:r>
      <w:r>
        <w:fldChar w:fldCharType="end"/>
      </w:r>
      <w:r>
        <w:fldChar w:fldCharType="end"/>
      </w:r>
    </w:p>
    <w:p w14:paraId="52DB4720">
      <w:pPr>
        <w:pStyle w:val="22"/>
        <w:ind w:firstLine="420"/>
        <w:rPr>
          <w:rFonts w:hint="eastAsia" w:ascii="等线" w:hAnsi="等线" w:eastAsia="等线"/>
          <w:smallCaps w:val="0"/>
          <w:kern w:val="2"/>
        </w:rPr>
      </w:pPr>
      <w:r>
        <w:fldChar w:fldCharType="begin"/>
      </w:r>
      <w:r>
        <w:instrText xml:space="preserve"> HYPERLINK \l "_Toc85662753" </w:instrText>
      </w:r>
      <w:r>
        <w:fldChar w:fldCharType="separate"/>
      </w:r>
      <w:r>
        <w:rPr>
          <w:rStyle w:val="29"/>
          <w:color w:val="auto"/>
          <w:sz w:val="21"/>
        </w:rPr>
        <w:t xml:space="preserve">2.4 </w:t>
      </w:r>
      <w:r>
        <w:rPr>
          <w:rStyle w:val="29"/>
          <w:rFonts w:hint="eastAsia"/>
          <w:color w:val="auto"/>
          <w:sz w:val="21"/>
        </w:rPr>
        <w:t>评价工作等级</w:t>
      </w:r>
      <w:r>
        <w:tab/>
      </w:r>
      <w:r>
        <w:fldChar w:fldCharType="begin"/>
      </w:r>
      <w:r>
        <w:instrText xml:space="preserve"> PAGEREF _Toc85662753 \h </w:instrText>
      </w:r>
      <w:r>
        <w:fldChar w:fldCharType="separate"/>
      </w:r>
      <w:r>
        <w:t>4</w:t>
      </w:r>
      <w:r>
        <w:fldChar w:fldCharType="end"/>
      </w:r>
      <w:r>
        <w:fldChar w:fldCharType="end"/>
      </w:r>
    </w:p>
    <w:p w14:paraId="41447137">
      <w:pPr>
        <w:pStyle w:val="22"/>
        <w:ind w:firstLine="420"/>
        <w:rPr>
          <w:rFonts w:hint="eastAsia" w:ascii="等线" w:hAnsi="等线" w:eastAsia="等线"/>
          <w:smallCaps w:val="0"/>
          <w:kern w:val="2"/>
        </w:rPr>
      </w:pPr>
      <w:r>
        <w:fldChar w:fldCharType="begin"/>
      </w:r>
      <w:r>
        <w:instrText xml:space="preserve"> HYPERLINK \l "_Toc85662754" </w:instrText>
      </w:r>
      <w:r>
        <w:fldChar w:fldCharType="separate"/>
      </w:r>
      <w:r>
        <w:rPr>
          <w:rStyle w:val="29"/>
          <w:color w:val="auto"/>
          <w:sz w:val="21"/>
        </w:rPr>
        <w:t xml:space="preserve">2.5 </w:t>
      </w:r>
      <w:r>
        <w:rPr>
          <w:rStyle w:val="29"/>
          <w:rFonts w:hint="eastAsia"/>
          <w:color w:val="auto"/>
          <w:sz w:val="21"/>
        </w:rPr>
        <w:t>评价范围</w:t>
      </w:r>
      <w:r>
        <w:tab/>
      </w:r>
      <w:r>
        <w:fldChar w:fldCharType="begin"/>
      </w:r>
      <w:r>
        <w:instrText xml:space="preserve"> PAGEREF _Toc85662754 \h </w:instrText>
      </w:r>
      <w:r>
        <w:fldChar w:fldCharType="separate"/>
      </w:r>
      <w:r>
        <w:t>4</w:t>
      </w:r>
      <w:r>
        <w:fldChar w:fldCharType="end"/>
      </w:r>
      <w:r>
        <w:fldChar w:fldCharType="end"/>
      </w:r>
    </w:p>
    <w:p w14:paraId="79B8159B">
      <w:pPr>
        <w:pStyle w:val="22"/>
        <w:ind w:firstLine="420"/>
        <w:rPr>
          <w:rFonts w:hint="eastAsia" w:ascii="等线" w:hAnsi="等线" w:eastAsia="等线"/>
          <w:smallCaps w:val="0"/>
          <w:kern w:val="2"/>
        </w:rPr>
      </w:pPr>
      <w:r>
        <w:fldChar w:fldCharType="begin"/>
      </w:r>
      <w:r>
        <w:instrText xml:space="preserve"> HYPERLINK \l "_Toc85662755" </w:instrText>
      </w:r>
      <w:r>
        <w:fldChar w:fldCharType="separate"/>
      </w:r>
      <w:r>
        <w:rPr>
          <w:rStyle w:val="29"/>
          <w:color w:val="auto"/>
          <w:sz w:val="21"/>
        </w:rPr>
        <w:t xml:space="preserve">2.6 </w:t>
      </w:r>
      <w:r>
        <w:rPr>
          <w:rStyle w:val="29"/>
          <w:rFonts w:hint="eastAsia"/>
          <w:color w:val="auto"/>
          <w:sz w:val="21"/>
        </w:rPr>
        <w:t>评价重点</w:t>
      </w:r>
      <w:r>
        <w:tab/>
      </w:r>
      <w:r>
        <w:fldChar w:fldCharType="begin"/>
      </w:r>
      <w:r>
        <w:instrText xml:space="preserve"> PAGEREF _Toc85662755 \h </w:instrText>
      </w:r>
      <w:r>
        <w:fldChar w:fldCharType="separate"/>
      </w:r>
      <w:r>
        <w:t>4</w:t>
      </w:r>
      <w:r>
        <w:fldChar w:fldCharType="end"/>
      </w:r>
      <w:r>
        <w:fldChar w:fldCharType="end"/>
      </w:r>
    </w:p>
    <w:p w14:paraId="2621D837">
      <w:pPr>
        <w:pStyle w:val="17"/>
        <w:rPr>
          <w:rFonts w:hint="eastAsia" w:ascii="等线" w:hAnsi="等线" w:eastAsia="等线"/>
          <w:b w:val="0"/>
          <w:caps w:val="0"/>
          <w:color w:val="auto"/>
          <w:sz w:val="21"/>
        </w:rPr>
      </w:pPr>
      <w:r>
        <w:fldChar w:fldCharType="begin"/>
      </w:r>
      <w:r>
        <w:instrText xml:space="preserve"> HYPERLINK \l "_Toc85662756" </w:instrText>
      </w:r>
      <w:r>
        <w:fldChar w:fldCharType="separate"/>
      </w:r>
      <w:r>
        <w:rPr>
          <w:rStyle w:val="29"/>
          <w:color w:val="auto"/>
        </w:rPr>
        <w:t xml:space="preserve">3 </w:t>
      </w:r>
      <w:r>
        <w:rPr>
          <w:rStyle w:val="29"/>
          <w:rFonts w:hint="eastAsia"/>
          <w:color w:val="auto"/>
        </w:rPr>
        <w:t>环境质量现状监测与评价</w:t>
      </w:r>
      <w:r>
        <w:rPr>
          <w:color w:val="auto"/>
        </w:rPr>
        <w:tab/>
      </w:r>
      <w:r>
        <w:rPr>
          <w:color w:val="auto"/>
        </w:rPr>
        <w:fldChar w:fldCharType="begin"/>
      </w:r>
      <w:r>
        <w:rPr>
          <w:color w:val="auto"/>
        </w:rPr>
        <w:instrText xml:space="preserve"> PAGEREF _Toc85662756 \h </w:instrText>
      </w:r>
      <w:r>
        <w:rPr>
          <w:color w:val="auto"/>
        </w:rPr>
        <w:fldChar w:fldCharType="separate"/>
      </w:r>
      <w:r>
        <w:rPr>
          <w:color w:val="auto"/>
        </w:rPr>
        <w:t>7</w:t>
      </w:r>
      <w:r>
        <w:rPr>
          <w:color w:val="auto"/>
        </w:rPr>
        <w:fldChar w:fldCharType="end"/>
      </w:r>
      <w:r>
        <w:rPr>
          <w:color w:val="auto"/>
        </w:rPr>
        <w:fldChar w:fldCharType="end"/>
      </w:r>
    </w:p>
    <w:p w14:paraId="7B708806">
      <w:pPr>
        <w:pStyle w:val="22"/>
        <w:ind w:firstLine="420"/>
        <w:rPr>
          <w:rFonts w:hint="eastAsia" w:ascii="等线" w:hAnsi="等线" w:eastAsia="等线"/>
          <w:smallCaps w:val="0"/>
          <w:kern w:val="2"/>
        </w:rPr>
      </w:pPr>
      <w:r>
        <w:fldChar w:fldCharType="begin"/>
      </w:r>
      <w:r>
        <w:instrText xml:space="preserve"> HYPERLINK \l "_Toc85662757" </w:instrText>
      </w:r>
      <w:r>
        <w:fldChar w:fldCharType="separate"/>
      </w:r>
      <w:r>
        <w:rPr>
          <w:rStyle w:val="29"/>
          <w:color w:val="auto"/>
          <w:sz w:val="21"/>
        </w:rPr>
        <w:t xml:space="preserve">3.1 </w:t>
      </w:r>
      <w:r>
        <w:rPr>
          <w:rStyle w:val="29"/>
          <w:rFonts w:hint="eastAsia"/>
          <w:color w:val="auto"/>
          <w:sz w:val="21"/>
        </w:rPr>
        <w:t>升压站电磁现状监测与评价</w:t>
      </w:r>
      <w:r>
        <w:tab/>
      </w:r>
      <w:r>
        <w:fldChar w:fldCharType="begin"/>
      </w:r>
      <w:r>
        <w:instrText xml:space="preserve"> PAGEREF _Toc85662757 \h </w:instrText>
      </w:r>
      <w:r>
        <w:fldChar w:fldCharType="separate"/>
      </w:r>
      <w:r>
        <w:t>7</w:t>
      </w:r>
      <w:r>
        <w:fldChar w:fldCharType="end"/>
      </w:r>
      <w:r>
        <w:fldChar w:fldCharType="end"/>
      </w:r>
    </w:p>
    <w:p w14:paraId="271F4A6A">
      <w:pPr>
        <w:pStyle w:val="22"/>
        <w:ind w:firstLine="420"/>
        <w:rPr>
          <w:rFonts w:hint="eastAsia" w:ascii="等线" w:hAnsi="等线" w:eastAsia="等线"/>
          <w:smallCaps w:val="0"/>
          <w:kern w:val="2"/>
        </w:rPr>
      </w:pPr>
      <w:r>
        <w:fldChar w:fldCharType="begin"/>
      </w:r>
      <w:r>
        <w:instrText xml:space="preserve"> HYPERLINK \l "_Toc85662758" </w:instrText>
      </w:r>
      <w:r>
        <w:fldChar w:fldCharType="separate"/>
      </w:r>
      <w:r>
        <w:rPr>
          <w:rStyle w:val="29"/>
          <w:color w:val="auto"/>
          <w:sz w:val="21"/>
        </w:rPr>
        <w:t xml:space="preserve">3.2 </w:t>
      </w:r>
      <w:r>
        <w:rPr>
          <w:rStyle w:val="29"/>
          <w:rFonts w:hint="eastAsia"/>
          <w:color w:val="auto"/>
          <w:sz w:val="21"/>
        </w:rPr>
        <w:t>送出线路工程电磁现状监测与评价</w:t>
      </w:r>
      <w:r>
        <w:tab/>
      </w:r>
      <w:r>
        <w:fldChar w:fldCharType="begin"/>
      </w:r>
      <w:r>
        <w:instrText xml:space="preserve"> PAGEREF _Toc85662758 \h </w:instrText>
      </w:r>
      <w:r>
        <w:fldChar w:fldCharType="separate"/>
      </w:r>
      <w:r>
        <w:t>8</w:t>
      </w:r>
      <w:r>
        <w:fldChar w:fldCharType="end"/>
      </w:r>
      <w:r>
        <w:fldChar w:fldCharType="end"/>
      </w:r>
    </w:p>
    <w:p w14:paraId="76767E46">
      <w:pPr>
        <w:pStyle w:val="17"/>
        <w:rPr>
          <w:rFonts w:hint="eastAsia" w:ascii="等线" w:hAnsi="等线" w:eastAsia="等线"/>
          <w:b w:val="0"/>
          <w:caps w:val="0"/>
          <w:color w:val="auto"/>
          <w:sz w:val="21"/>
        </w:rPr>
      </w:pPr>
      <w:r>
        <w:fldChar w:fldCharType="begin"/>
      </w:r>
      <w:r>
        <w:instrText xml:space="preserve"> HYPERLINK \l "_Toc85662759" </w:instrText>
      </w:r>
      <w:r>
        <w:fldChar w:fldCharType="separate"/>
      </w:r>
      <w:r>
        <w:rPr>
          <w:rStyle w:val="29"/>
          <w:color w:val="auto"/>
        </w:rPr>
        <w:t xml:space="preserve">4 </w:t>
      </w:r>
      <w:r>
        <w:rPr>
          <w:rStyle w:val="29"/>
          <w:rFonts w:hint="eastAsia"/>
          <w:color w:val="auto"/>
        </w:rPr>
        <w:t>环境影响预测评价</w:t>
      </w:r>
      <w:r>
        <w:rPr>
          <w:color w:val="auto"/>
        </w:rPr>
        <w:tab/>
      </w:r>
      <w:r>
        <w:rPr>
          <w:color w:val="auto"/>
        </w:rPr>
        <w:fldChar w:fldCharType="begin"/>
      </w:r>
      <w:r>
        <w:rPr>
          <w:color w:val="auto"/>
        </w:rPr>
        <w:instrText xml:space="preserve"> PAGEREF _Toc85662759 \h </w:instrText>
      </w:r>
      <w:r>
        <w:rPr>
          <w:color w:val="auto"/>
        </w:rPr>
        <w:fldChar w:fldCharType="separate"/>
      </w:r>
      <w:r>
        <w:rPr>
          <w:color w:val="auto"/>
        </w:rPr>
        <w:t>11</w:t>
      </w:r>
      <w:r>
        <w:rPr>
          <w:color w:val="auto"/>
        </w:rPr>
        <w:fldChar w:fldCharType="end"/>
      </w:r>
      <w:r>
        <w:rPr>
          <w:color w:val="auto"/>
        </w:rPr>
        <w:fldChar w:fldCharType="end"/>
      </w:r>
    </w:p>
    <w:p w14:paraId="3AD7455B">
      <w:pPr>
        <w:pStyle w:val="22"/>
        <w:ind w:firstLine="420"/>
        <w:rPr>
          <w:rFonts w:hint="eastAsia" w:ascii="等线" w:hAnsi="等线" w:eastAsia="等线"/>
          <w:smallCaps w:val="0"/>
          <w:kern w:val="2"/>
        </w:rPr>
      </w:pPr>
      <w:r>
        <w:fldChar w:fldCharType="begin"/>
      </w:r>
      <w:r>
        <w:instrText xml:space="preserve"> HYPERLINK \l "_Toc85662760" </w:instrText>
      </w:r>
      <w:r>
        <w:fldChar w:fldCharType="separate"/>
      </w:r>
      <w:r>
        <w:rPr>
          <w:rStyle w:val="29"/>
          <w:color w:val="auto"/>
          <w:sz w:val="21"/>
        </w:rPr>
        <w:t xml:space="preserve">4.1 </w:t>
      </w:r>
      <w:r>
        <w:rPr>
          <w:rStyle w:val="29"/>
          <w:rFonts w:hint="eastAsia"/>
          <w:color w:val="auto"/>
          <w:sz w:val="21"/>
        </w:rPr>
        <w:t>升压站电磁环境类比预测</w:t>
      </w:r>
      <w:r>
        <w:tab/>
      </w:r>
      <w:r>
        <w:fldChar w:fldCharType="begin"/>
      </w:r>
      <w:r>
        <w:instrText xml:space="preserve"> PAGEREF _Toc85662760 \h </w:instrText>
      </w:r>
      <w:r>
        <w:fldChar w:fldCharType="separate"/>
      </w:r>
      <w:r>
        <w:t>11</w:t>
      </w:r>
      <w:r>
        <w:fldChar w:fldCharType="end"/>
      </w:r>
      <w:r>
        <w:fldChar w:fldCharType="end"/>
      </w:r>
    </w:p>
    <w:p w14:paraId="6F8C8CB2">
      <w:pPr>
        <w:pStyle w:val="22"/>
        <w:ind w:firstLine="420"/>
        <w:rPr>
          <w:rFonts w:hint="eastAsia" w:ascii="等线" w:hAnsi="等线" w:eastAsia="等线"/>
          <w:smallCaps w:val="0"/>
          <w:kern w:val="2"/>
        </w:rPr>
      </w:pPr>
      <w:r>
        <w:fldChar w:fldCharType="begin"/>
      </w:r>
      <w:r>
        <w:instrText xml:space="preserve"> HYPERLINK \l "_Toc85662761" </w:instrText>
      </w:r>
      <w:r>
        <w:fldChar w:fldCharType="separate"/>
      </w:r>
      <w:r>
        <w:rPr>
          <w:rStyle w:val="29"/>
          <w:color w:val="auto"/>
          <w:sz w:val="21"/>
        </w:rPr>
        <w:t xml:space="preserve">4.2 </w:t>
      </w:r>
      <w:r>
        <w:rPr>
          <w:rStyle w:val="29"/>
          <w:rFonts w:hint="eastAsia"/>
          <w:color w:val="auto"/>
          <w:sz w:val="21"/>
        </w:rPr>
        <w:t>架空线路计算预测</w:t>
      </w:r>
      <w:r>
        <w:tab/>
      </w:r>
      <w:r>
        <w:fldChar w:fldCharType="begin"/>
      </w:r>
      <w:r>
        <w:instrText xml:space="preserve"> PAGEREF _Toc85662761 \h </w:instrText>
      </w:r>
      <w:r>
        <w:fldChar w:fldCharType="separate"/>
      </w:r>
      <w:r>
        <w:t>13</w:t>
      </w:r>
      <w:r>
        <w:fldChar w:fldCharType="end"/>
      </w:r>
      <w:r>
        <w:fldChar w:fldCharType="end"/>
      </w:r>
    </w:p>
    <w:p w14:paraId="7DFE844B">
      <w:pPr>
        <w:pStyle w:val="22"/>
        <w:ind w:firstLine="420"/>
        <w:rPr>
          <w:rFonts w:hint="eastAsia" w:ascii="等线" w:hAnsi="等线" w:eastAsia="等线"/>
          <w:smallCaps w:val="0"/>
          <w:kern w:val="2"/>
        </w:rPr>
      </w:pPr>
      <w:r>
        <w:fldChar w:fldCharType="begin"/>
      </w:r>
      <w:r>
        <w:instrText xml:space="preserve"> HYPERLINK \l "_Toc85662762" </w:instrText>
      </w:r>
      <w:r>
        <w:fldChar w:fldCharType="separate"/>
      </w:r>
      <w:r>
        <w:rPr>
          <w:rStyle w:val="29"/>
          <w:color w:val="auto"/>
          <w:sz w:val="21"/>
        </w:rPr>
        <w:t xml:space="preserve">4.3 </w:t>
      </w:r>
      <w:r>
        <w:rPr>
          <w:rStyle w:val="29"/>
          <w:rFonts w:hint="eastAsia"/>
          <w:color w:val="auto"/>
          <w:sz w:val="21"/>
        </w:rPr>
        <w:t>预测结论</w:t>
      </w:r>
      <w:r>
        <w:tab/>
      </w:r>
      <w:r>
        <w:fldChar w:fldCharType="begin"/>
      </w:r>
      <w:r>
        <w:instrText xml:space="preserve"> PAGEREF _Toc85662762 \h </w:instrText>
      </w:r>
      <w:r>
        <w:fldChar w:fldCharType="separate"/>
      </w:r>
      <w:r>
        <w:t>21</w:t>
      </w:r>
      <w:r>
        <w:fldChar w:fldCharType="end"/>
      </w:r>
      <w:r>
        <w:fldChar w:fldCharType="end"/>
      </w:r>
    </w:p>
    <w:p w14:paraId="2826265C">
      <w:pPr>
        <w:pStyle w:val="17"/>
        <w:rPr>
          <w:rFonts w:hint="eastAsia" w:ascii="等线" w:hAnsi="等线" w:eastAsia="等线"/>
          <w:b w:val="0"/>
          <w:caps w:val="0"/>
          <w:color w:val="auto"/>
          <w:sz w:val="21"/>
        </w:rPr>
      </w:pPr>
      <w:r>
        <w:fldChar w:fldCharType="begin"/>
      </w:r>
      <w:r>
        <w:instrText xml:space="preserve"> HYPERLINK \l "_Toc85662763" </w:instrText>
      </w:r>
      <w:r>
        <w:fldChar w:fldCharType="separate"/>
      </w:r>
      <w:r>
        <w:rPr>
          <w:rStyle w:val="29"/>
          <w:color w:val="auto"/>
        </w:rPr>
        <w:t xml:space="preserve">5 </w:t>
      </w:r>
      <w:r>
        <w:rPr>
          <w:rStyle w:val="29"/>
          <w:rFonts w:hint="eastAsia"/>
          <w:color w:val="auto"/>
        </w:rPr>
        <w:t>电磁环境影响评价专题报告结论</w:t>
      </w:r>
      <w:r>
        <w:rPr>
          <w:color w:val="auto"/>
        </w:rPr>
        <w:tab/>
      </w:r>
      <w:r>
        <w:rPr>
          <w:color w:val="auto"/>
        </w:rPr>
        <w:fldChar w:fldCharType="begin"/>
      </w:r>
      <w:r>
        <w:rPr>
          <w:color w:val="auto"/>
        </w:rPr>
        <w:instrText xml:space="preserve"> PAGEREF _Toc85662763 \h </w:instrText>
      </w:r>
      <w:r>
        <w:rPr>
          <w:color w:val="auto"/>
        </w:rPr>
        <w:fldChar w:fldCharType="separate"/>
      </w:r>
      <w:r>
        <w:rPr>
          <w:color w:val="auto"/>
        </w:rPr>
        <w:t>22</w:t>
      </w:r>
      <w:r>
        <w:rPr>
          <w:color w:val="auto"/>
        </w:rPr>
        <w:fldChar w:fldCharType="end"/>
      </w:r>
      <w:r>
        <w:rPr>
          <w:color w:val="auto"/>
        </w:rPr>
        <w:fldChar w:fldCharType="end"/>
      </w:r>
    </w:p>
    <w:p w14:paraId="5A9A6DAA">
      <w:pPr>
        <w:pStyle w:val="22"/>
        <w:ind w:firstLine="420"/>
        <w:rPr>
          <w:rFonts w:hint="eastAsia" w:ascii="等线" w:hAnsi="等线" w:eastAsia="等线"/>
          <w:smallCaps w:val="0"/>
          <w:kern w:val="2"/>
        </w:rPr>
      </w:pPr>
      <w:r>
        <w:fldChar w:fldCharType="begin"/>
      </w:r>
      <w:r>
        <w:instrText xml:space="preserve"> HYPERLINK \l "_Toc85662764" </w:instrText>
      </w:r>
      <w:r>
        <w:fldChar w:fldCharType="separate"/>
      </w:r>
      <w:r>
        <w:rPr>
          <w:rStyle w:val="29"/>
          <w:color w:val="auto"/>
          <w:sz w:val="21"/>
        </w:rPr>
        <w:t xml:space="preserve">5.1 </w:t>
      </w:r>
      <w:r>
        <w:rPr>
          <w:rStyle w:val="29"/>
          <w:rFonts w:hint="eastAsia"/>
          <w:color w:val="auto"/>
          <w:sz w:val="21"/>
        </w:rPr>
        <w:t>工程概况</w:t>
      </w:r>
      <w:r>
        <w:tab/>
      </w:r>
      <w:r>
        <w:fldChar w:fldCharType="begin"/>
      </w:r>
      <w:r>
        <w:instrText xml:space="preserve"> PAGEREF _Toc85662764 \h </w:instrText>
      </w:r>
      <w:r>
        <w:fldChar w:fldCharType="separate"/>
      </w:r>
      <w:r>
        <w:t>22</w:t>
      </w:r>
      <w:r>
        <w:fldChar w:fldCharType="end"/>
      </w:r>
      <w:r>
        <w:fldChar w:fldCharType="end"/>
      </w:r>
    </w:p>
    <w:p w14:paraId="716DEF37">
      <w:pPr>
        <w:pStyle w:val="22"/>
        <w:ind w:firstLine="420"/>
        <w:rPr>
          <w:rFonts w:hint="eastAsia" w:ascii="等线" w:hAnsi="等线" w:eastAsia="等线"/>
          <w:smallCaps w:val="0"/>
          <w:kern w:val="2"/>
        </w:rPr>
      </w:pPr>
      <w:r>
        <w:fldChar w:fldCharType="begin"/>
      </w:r>
      <w:r>
        <w:instrText xml:space="preserve"> HYPERLINK \l "_Toc85662765" </w:instrText>
      </w:r>
      <w:r>
        <w:fldChar w:fldCharType="separate"/>
      </w:r>
      <w:r>
        <w:rPr>
          <w:rStyle w:val="29"/>
          <w:color w:val="auto"/>
          <w:sz w:val="21"/>
        </w:rPr>
        <w:t xml:space="preserve">5.2 </w:t>
      </w:r>
      <w:r>
        <w:rPr>
          <w:rStyle w:val="29"/>
          <w:rFonts w:hint="eastAsia"/>
          <w:color w:val="auto"/>
          <w:sz w:val="21"/>
        </w:rPr>
        <w:t>环境质量现状</w:t>
      </w:r>
      <w:r>
        <w:tab/>
      </w:r>
      <w:r>
        <w:fldChar w:fldCharType="begin"/>
      </w:r>
      <w:r>
        <w:instrText xml:space="preserve"> PAGEREF _Toc85662765 \h </w:instrText>
      </w:r>
      <w:r>
        <w:fldChar w:fldCharType="separate"/>
      </w:r>
      <w:r>
        <w:t>22</w:t>
      </w:r>
      <w:r>
        <w:fldChar w:fldCharType="end"/>
      </w:r>
      <w:r>
        <w:fldChar w:fldCharType="end"/>
      </w:r>
    </w:p>
    <w:p w14:paraId="217F16BB">
      <w:pPr>
        <w:pStyle w:val="22"/>
        <w:ind w:firstLine="420"/>
        <w:rPr>
          <w:rFonts w:hint="eastAsia" w:ascii="等线" w:hAnsi="等线" w:eastAsia="等线"/>
          <w:smallCaps w:val="0"/>
          <w:kern w:val="2"/>
        </w:rPr>
      </w:pPr>
      <w:r>
        <w:fldChar w:fldCharType="begin"/>
      </w:r>
      <w:r>
        <w:instrText xml:space="preserve"> HYPERLINK \l "_Toc85662766" </w:instrText>
      </w:r>
      <w:r>
        <w:fldChar w:fldCharType="separate"/>
      </w:r>
      <w:r>
        <w:rPr>
          <w:rStyle w:val="29"/>
          <w:color w:val="auto"/>
          <w:sz w:val="21"/>
        </w:rPr>
        <w:t xml:space="preserve">5.3 </w:t>
      </w:r>
      <w:r>
        <w:rPr>
          <w:rStyle w:val="29"/>
          <w:rFonts w:hint="eastAsia"/>
          <w:color w:val="auto"/>
          <w:sz w:val="21"/>
        </w:rPr>
        <w:t>环境影响预测结果</w:t>
      </w:r>
      <w:r>
        <w:tab/>
      </w:r>
      <w:r>
        <w:fldChar w:fldCharType="begin"/>
      </w:r>
      <w:r>
        <w:instrText xml:space="preserve"> PAGEREF _Toc85662766 \h </w:instrText>
      </w:r>
      <w:r>
        <w:fldChar w:fldCharType="separate"/>
      </w:r>
      <w:r>
        <w:t>22</w:t>
      </w:r>
      <w:r>
        <w:fldChar w:fldCharType="end"/>
      </w:r>
      <w:r>
        <w:fldChar w:fldCharType="end"/>
      </w:r>
    </w:p>
    <w:p w14:paraId="2397C041">
      <w:pPr>
        <w:pStyle w:val="22"/>
        <w:ind w:firstLine="420"/>
        <w:rPr>
          <w:rFonts w:hint="eastAsia" w:ascii="等线" w:hAnsi="等线" w:eastAsia="等线"/>
          <w:smallCaps w:val="0"/>
          <w:kern w:val="2"/>
        </w:rPr>
      </w:pPr>
      <w:r>
        <w:fldChar w:fldCharType="begin"/>
      </w:r>
      <w:r>
        <w:instrText xml:space="preserve"> HYPERLINK \l "_Toc85662767" </w:instrText>
      </w:r>
      <w:r>
        <w:fldChar w:fldCharType="separate"/>
      </w:r>
      <w:r>
        <w:rPr>
          <w:rStyle w:val="29"/>
          <w:color w:val="auto"/>
          <w:sz w:val="21"/>
        </w:rPr>
        <w:t xml:space="preserve">5.4 </w:t>
      </w:r>
      <w:r>
        <w:rPr>
          <w:rStyle w:val="29"/>
          <w:rFonts w:hint="eastAsia"/>
          <w:color w:val="auto"/>
          <w:sz w:val="21"/>
        </w:rPr>
        <w:t>评价总结论</w:t>
      </w:r>
      <w:r>
        <w:tab/>
      </w:r>
      <w:r>
        <w:fldChar w:fldCharType="begin"/>
      </w:r>
      <w:r>
        <w:instrText xml:space="preserve"> PAGEREF _Toc85662767 \h </w:instrText>
      </w:r>
      <w:r>
        <w:fldChar w:fldCharType="separate"/>
      </w:r>
      <w:r>
        <w:t>23</w:t>
      </w:r>
      <w:r>
        <w:fldChar w:fldCharType="end"/>
      </w:r>
      <w:r>
        <w:fldChar w:fldCharType="end"/>
      </w:r>
    </w:p>
    <w:p w14:paraId="0FB7398F">
      <w:pPr>
        <w:pStyle w:val="17"/>
        <w:rPr>
          <w:color w:val="auto"/>
          <w:sz w:val="36"/>
          <w:lang w:val="zh-CN"/>
        </w:rPr>
      </w:pPr>
      <w:r>
        <w:rPr>
          <w:rFonts w:hint="eastAsia" w:ascii="等线" w:hAnsi="等线" w:eastAsia="等线"/>
          <w:color w:val="auto"/>
          <w:sz w:val="21"/>
        </w:rPr>
        <w:fldChar w:fldCharType="end"/>
      </w:r>
    </w:p>
    <w:p w14:paraId="0327E26B">
      <w:pPr>
        <w:pStyle w:val="2"/>
        <w:rPr>
          <w:szCs w:val="24"/>
          <w:lang w:val="zh-CN"/>
        </w:rPr>
        <w:sectPr>
          <w:headerReference r:id="rId6" w:type="default"/>
          <w:footerReference r:id="rId7" w:type="default"/>
          <w:pgSz w:w="11906" w:h="16838"/>
          <w:pgMar w:top="1417" w:right="1440" w:bottom="1417" w:left="1440" w:header="851" w:footer="850" w:gutter="0"/>
          <w:pgNumType w:start="1"/>
          <w:cols w:space="720" w:num="1"/>
          <w:docGrid w:type="lines" w:linePitch="312" w:charSpace="0"/>
        </w:sectPr>
      </w:pPr>
    </w:p>
    <w:p w14:paraId="2C25D094">
      <w:pPr>
        <w:pStyle w:val="2"/>
        <w:rPr>
          <w:sz w:val="40"/>
          <w:szCs w:val="24"/>
        </w:rPr>
      </w:pPr>
      <w:bookmarkStart w:id="18" w:name="_Toc85662748"/>
      <w:bookmarkStart w:id="19" w:name="_Toc85662696"/>
      <w:bookmarkStart w:id="20" w:name="_Toc85633912"/>
      <w:r>
        <w:rPr>
          <w:sz w:val="40"/>
          <w:szCs w:val="24"/>
        </w:rPr>
        <w:t>1</w:t>
      </w:r>
      <w:bookmarkEnd w:id="7"/>
      <w:bookmarkEnd w:id="8"/>
      <w:bookmarkEnd w:id="9"/>
      <w:bookmarkEnd w:id="10"/>
      <w:bookmarkEnd w:id="11"/>
      <w:r>
        <w:rPr>
          <w:sz w:val="40"/>
          <w:szCs w:val="24"/>
        </w:rPr>
        <w:t xml:space="preserve"> </w:t>
      </w:r>
      <w:r>
        <w:rPr>
          <w:rFonts w:hint="eastAsia"/>
          <w:sz w:val="40"/>
          <w:szCs w:val="24"/>
        </w:rPr>
        <w:t>概述</w:t>
      </w:r>
      <w:bookmarkEnd w:id="18"/>
      <w:bookmarkEnd w:id="19"/>
      <w:bookmarkEnd w:id="20"/>
    </w:p>
    <w:p w14:paraId="41BF8FF7">
      <w:pPr>
        <w:pStyle w:val="51"/>
        <w:rPr>
          <w:color w:val="auto"/>
        </w:rPr>
      </w:pPr>
      <w:r>
        <w:rPr>
          <w:color w:val="auto"/>
        </w:rPr>
        <w:t>安徽电网是华东电网的重要组成部分。截至2022年底，安徽省电源总装机容量92190.1MW，其中水电5167.1MW</w:t>
      </w:r>
      <w:r>
        <w:rPr>
          <w:rFonts w:hint="eastAsia"/>
          <w:color w:val="auto"/>
        </w:rPr>
        <w:t>（</w:t>
      </w:r>
      <w:r>
        <w:rPr>
          <w:color w:val="auto"/>
        </w:rPr>
        <w:t>含抽蓄</w:t>
      </w:r>
      <w:r>
        <w:rPr>
          <w:rFonts w:hint="eastAsia"/>
          <w:color w:val="auto"/>
        </w:rPr>
        <w:t>），</w:t>
      </w:r>
      <w:r>
        <w:rPr>
          <w:color w:val="auto"/>
        </w:rPr>
        <w:t>火电58526.2MW，风电5901.1MW，光伏发电21539.4MW。2021年安徽省全社会用电量为2993</w:t>
      </w:r>
      <w:r>
        <w:rPr>
          <w:rFonts w:ascii="Arial" w:hAnsi="Arial" w:cs="Arial"/>
          <w:color w:val="auto"/>
        </w:rPr>
        <w:t>×</w:t>
      </w:r>
      <w:r>
        <w:rPr>
          <w:color w:val="auto"/>
        </w:rPr>
        <w:t>10</w:t>
      </w:r>
      <w:r>
        <w:rPr>
          <w:rFonts w:hint="eastAsia"/>
          <w:color w:val="auto"/>
          <w:vertAlign w:val="superscript"/>
        </w:rPr>
        <w:t>8</w:t>
      </w:r>
      <w:r>
        <w:rPr>
          <w:color w:val="auto"/>
        </w:rPr>
        <w:t>k</w:t>
      </w:r>
      <w:r>
        <w:rPr>
          <w:rFonts w:hint="eastAsia"/>
          <w:color w:val="auto"/>
        </w:rPr>
        <w:t xml:space="preserve">W </w:t>
      </w:r>
      <w:r>
        <w:rPr>
          <w:color w:val="auto"/>
        </w:rPr>
        <w:t>h，同比增长10.2%，最大负荷61500MW，同比增长24.2%。根据设计报告预测，2025年安徽省全社会用电量和最大负荷将分别达到3400×10</w:t>
      </w:r>
      <w:r>
        <w:rPr>
          <w:color w:val="auto"/>
          <w:vertAlign w:val="superscript"/>
        </w:rPr>
        <w:t>8</w:t>
      </w:r>
      <w:r>
        <w:rPr>
          <w:color w:val="auto"/>
        </w:rPr>
        <w:t>kwh和72000MW，“十四五”年均增长分别为7.0%和7.6%。根据电力平衡计算，考虑在建、已核准、纳规的电源项目和确定的区外协议电力，“十五五”初期安徽电网存在一定的电力缺额。</w:t>
      </w:r>
    </w:p>
    <w:p w14:paraId="6D02CB2C">
      <w:pPr>
        <w:pStyle w:val="51"/>
        <w:rPr>
          <w:color w:val="auto"/>
        </w:rPr>
      </w:pPr>
      <w:r>
        <w:rPr>
          <w:color w:val="auto"/>
        </w:rPr>
        <w:t>安徽淮南凤台县风光储一体化项目位于安徽省淮南市凤台县，是安徽省能源局上报《“十四五”电力源网荷储一体化和多能互补一体化发展工作的函》</w:t>
      </w:r>
      <w:r>
        <w:rPr>
          <w:rFonts w:hint="eastAsia"/>
          <w:color w:val="auto"/>
        </w:rPr>
        <w:t>（</w:t>
      </w:r>
      <w:r>
        <w:rPr>
          <w:color w:val="auto"/>
        </w:rPr>
        <w:t>皖能源电力函〔2021]51号</w:t>
      </w:r>
      <w:r>
        <w:rPr>
          <w:rFonts w:hint="eastAsia"/>
          <w:color w:val="auto"/>
        </w:rPr>
        <w:t>）</w:t>
      </w:r>
      <w:r>
        <w:rPr>
          <w:color w:val="auto"/>
        </w:rPr>
        <w:t>6个多能互补绿色能源基地之一，是省能源局《关于印发安徽省电力源网荷储一体化和多能互补试点项目清单的通知》</w:t>
      </w:r>
      <w:r>
        <w:rPr>
          <w:rFonts w:hint="eastAsia"/>
          <w:color w:val="auto"/>
        </w:rPr>
        <w:t>（</w:t>
      </w:r>
      <w:r>
        <w:rPr>
          <w:color w:val="auto"/>
        </w:rPr>
        <w:t>皖能源综合〔2022〕30号</w:t>
      </w:r>
      <w:r>
        <w:rPr>
          <w:rFonts w:hint="eastAsia"/>
          <w:color w:val="auto"/>
        </w:rPr>
        <w:t>）</w:t>
      </w:r>
      <w:r>
        <w:rPr>
          <w:color w:val="auto"/>
        </w:rPr>
        <w:t>中确定4个试点项目之一。凤台项目新能源装机规模1760MW</w:t>
      </w:r>
      <w:r>
        <w:rPr>
          <w:rFonts w:hint="eastAsia"/>
          <w:color w:val="auto"/>
        </w:rPr>
        <w:t>（</w:t>
      </w:r>
      <w:r>
        <w:rPr>
          <w:color w:val="auto"/>
        </w:rPr>
        <w:t>1560MW光伏、200MW风电</w:t>
      </w:r>
      <w:r>
        <w:rPr>
          <w:rFonts w:hint="eastAsia"/>
          <w:color w:val="auto"/>
        </w:rPr>
        <w:t>）</w:t>
      </w:r>
      <w:r>
        <w:rPr>
          <w:color w:val="auto"/>
        </w:rPr>
        <w:t>，其中1000MW光伏和200MW风电为华润新能源投资有限公司负责开发建设</w:t>
      </w:r>
      <w:r>
        <w:rPr>
          <w:rFonts w:hint="eastAsia"/>
          <w:color w:val="auto"/>
        </w:rPr>
        <w:t>（</w:t>
      </w:r>
      <w:r>
        <w:rPr>
          <w:color w:val="auto"/>
        </w:rPr>
        <w:t>以下简称“华润凤台项目”</w:t>
      </w:r>
      <w:r>
        <w:rPr>
          <w:rFonts w:hint="eastAsia"/>
          <w:color w:val="auto"/>
        </w:rPr>
        <w:t>）</w:t>
      </w:r>
      <w:r>
        <w:rPr>
          <w:color w:val="auto"/>
        </w:rPr>
        <w:t>，560MW光伏由淮河能源集团开发建设。</w:t>
      </w:r>
    </w:p>
    <w:p w14:paraId="1F394C06">
      <w:pPr>
        <w:pStyle w:val="51"/>
        <w:rPr>
          <w:color w:val="auto"/>
        </w:rPr>
      </w:pPr>
      <w:r>
        <w:rPr>
          <w:color w:val="auto"/>
        </w:rPr>
        <w:t>结合风光资源位置，华润凤台项目分为3个子项</w:t>
      </w:r>
      <w:r>
        <w:rPr>
          <w:rFonts w:hint="eastAsia"/>
          <w:color w:val="auto"/>
        </w:rPr>
        <w:t>：</w:t>
      </w:r>
      <w:r>
        <w:rPr>
          <w:color w:val="auto"/>
        </w:rPr>
        <w:t>岳张集光伏</w:t>
      </w:r>
      <w:r>
        <w:rPr>
          <w:rFonts w:hint="eastAsia"/>
          <w:color w:val="auto"/>
        </w:rPr>
        <w:t>（</w:t>
      </w:r>
      <w:r>
        <w:rPr>
          <w:color w:val="auto"/>
        </w:rPr>
        <w:t>本期200MW、终期570MW</w:t>
      </w:r>
      <w:r>
        <w:rPr>
          <w:rFonts w:hint="eastAsia"/>
          <w:color w:val="auto"/>
        </w:rPr>
        <w:t>）</w:t>
      </w:r>
      <w:r>
        <w:rPr>
          <w:color w:val="auto"/>
        </w:rPr>
        <w:t>、顾桥光伏</w:t>
      </w:r>
      <w:r>
        <w:rPr>
          <w:rFonts w:hint="eastAsia"/>
          <w:color w:val="auto"/>
        </w:rPr>
        <w:t>（</w:t>
      </w:r>
      <w:r>
        <w:rPr>
          <w:color w:val="auto"/>
        </w:rPr>
        <w:t>本期400MW、终期430MW</w:t>
      </w:r>
      <w:r>
        <w:rPr>
          <w:rFonts w:hint="eastAsia"/>
          <w:color w:val="auto"/>
        </w:rPr>
        <w:t>）</w:t>
      </w:r>
      <w:r>
        <w:rPr>
          <w:color w:val="auto"/>
        </w:rPr>
        <w:t>、尚塘风电</w:t>
      </w:r>
      <w:r>
        <w:rPr>
          <w:rFonts w:hint="eastAsia"/>
          <w:color w:val="auto"/>
        </w:rPr>
        <w:t>（</w:t>
      </w:r>
      <w:r>
        <w:rPr>
          <w:color w:val="auto"/>
        </w:rPr>
        <w:t>200MW</w:t>
      </w:r>
      <w:r>
        <w:rPr>
          <w:rFonts w:hint="eastAsia"/>
          <w:color w:val="auto"/>
        </w:rPr>
        <w:t>）</w:t>
      </w:r>
      <w:r>
        <w:rPr>
          <w:color w:val="auto"/>
        </w:rPr>
        <w:t>。其中尚风电接入系统方案已审定为</w:t>
      </w:r>
      <w:r>
        <w:rPr>
          <w:rFonts w:hint="eastAsia"/>
          <w:color w:val="auto"/>
        </w:rPr>
        <w:t>：</w:t>
      </w:r>
      <w:r>
        <w:rPr>
          <w:color w:val="auto"/>
        </w:rPr>
        <w:t>风电场新建1座220kV升压站，过渡期以1回220kV线路接入220kV</w:t>
      </w:r>
      <w:r>
        <w:rPr>
          <w:rFonts w:hint="eastAsia"/>
          <w:color w:val="auto"/>
        </w:rPr>
        <w:t>栾</w:t>
      </w:r>
      <w:r>
        <w:rPr>
          <w:color w:val="auto"/>
        </w:rPr>
        <w:t>庄变，配建储能</w:t>
      </w:r>
      <w:r>
        <w:rPr>
          <w:rFonts w:hint="eastAsia"/>
          <w:color w:val="auto"/>
        </w:rPr>
        <w:t>（</w:t>
      </w:r>
      <w:r>
        <w:rPr>
          <w:color w:val="auto"/>
        </w:rPr>
        <w:t>50MW/100MWh</w:t>
      </w:r>
      <w:r>
        <w:rPr>
          <w:rFonts w:hint="eastAsia"/>
          <w:color w:val="auto"/>
        </w:rPr>
        <w:t>）</w:t>
      </w:r>
      <w:r>
        <w:rPr>
          <w:color w:val="auto"/>
        </w:rPr>
        <w:t>已在尚塘风电场站内配置。终期改接入220kV顾桥光伏升压站，通过</w:t>
      </w:r>
      <w:r>
        <w:rPr>
          <w:b/>
          <w:bCs/>
          <w:color w:val="auto"/>
        </w:rPr>
        <w:t>顾桥升压站-500千伏华润汇流站</w:t>
      </w:r>
      <w:r>
        <w:rPr>
          <w:color w:val="auto"/>
        </w:rPr>
        <w:t>1回500千伏线路与一体化项目其他子项打包送出。</w:t>
      </w:r>
    </w:p>
    <w:p w14:paraId="74265187">
      <w:pPr>
        <w:pStyle w:val="51"/>
        <w:rPr>
          <w:color w:val="auto"/>
        </w:rPr>
      </w:pPr>
      <w:r>
        <w:rPr>
          <w:rFonts w:hint="eastAsia"/>
          <w:color w:val="auto"/>
        </w:rPr>
        <w:t>2</w:t>
      </w:r>
      <w:r>
        <w:rPr>
          <w:color w:val="auto"/>
        </w:rPr>
        <w:t>0</w:t>
      </w:r>
      <w:r>
        <w:rPr>
          <w:rFonts w:hint="eastAsia"/>
          <w:color w:val="auto"/>
        </w:rPr>
        <w:t>24年12月31日，淮南市发展和改革委员会以淮发改审批〔2024〕77号文对华润州来凤台县张集光伏电站项目配套220kV升压站及220kV输电线路项目进行核准，华润洲来（安徽）新能源有限公司拟投资17101万元建设“</w:t>
      </w:r>
      <w:r>
        <w:rPr>
          <w:rFonts w:hint="eastAsia"/>
          <w:color w:val="auto"/>
          <w:lang w:val="zh-CN"/>
        </w:rPr>
        <w:t>华润州来凤台县张集光伏电站项目配套220kV升压站及220kV输电线路项目</w:t>
      </w:r>
      <w:r>
        <w:rPr>
          <w:color w:val="auto"/>
        </w:rPr>
        <w:t>”</w:t>
      </w:r>
      <w:r>
        <w:rPr>
          <w:rFonts w:hint="eastAsia"/>
          <w:color w:val="auto"/>
        </w:rPr>
        <w:t>，主要建设内容为：建设1座220kV升压站及2回220kV输电线路，输电线路路径总长约5.01公里，其中：架空线路4.6公里、电缆线路0.41公里。</w:t>
      </w:r>
      <w:r>
        <w:rPr>
          <w:rFonts w:hint="eastAsia"/>
          <w:b/>
          <w:bCs/>
          <w:color w:val="auto"/>
        </w:rPr>
        <w:t>即为建设顾桥升压站及送至500千伏华润汇流站输电项目。</w:t>
      </w:r>
    </w:p>
    <w:p w14:paraId="7D128F97">
      <w:pPr>
        <w:pStyle w:val="51"/>
        <w:rPr>
          <w:color w:val="auto"/>
        </w:rPr>
      </w:pPr>
      <w:r>
        <w:rPr>
          <w:rFonts w:hint="eastAsia"/>
          <w:color w:val="auto"/>
        </w:rPr>
        <w:t>根据《中华人民共和国环境保护法》、《中华人民共和国环境影响评价法》、《建设项目环境保护管理条例》等环保法律、法规，建设项目必须执行环境影响评价制度。依据《建设项目环境影响评价分类管理名录（2</w:t>
      </w:r>
      <w:r>
        <w:rPr>
          <w:color w:val="auto"/>
        </w:rPr>
        <w:t>021</w:t>
      </w:r>
      <w:r>
        <w:rPr>
          <w:rFonts w:hint="eastAsia"/>
          <w:color w:val="auto"/>
        </w:rPr>
        <w:t>年版）》，本项目属于“五十五、核与辐射”中“</w:t>
      </w:r>
      <w:r>
        <w:rPr>
          <w:color w:val="auto"/>
        </w:rPr>
        <w:t>161</w:t>
      </w:r>
      <w:r>
        <w:rPr>
          <w:rFonts w:hint="eastAsia"/>
          <w:color w:val="auto"/>
        </w:rPr>
        <w:t>输变电工程”中“其他（1</w:t>
      </w:r>
      <w:r>
        <w:rPr>
          <w:color w:val="auto"/>
        </w:rPr>
        <w:t>00</w:t>
      </w:r>
      <w:r>
        <w:rPr>
          <w:rFonts w:hint="eastAsia"/>
          <w:color w:val="auto"/>
        </w:rPr>
        <w:t xml:space="preserve">千伏以下除外）”，应编制环境影响报告表。2024年11月，华润洲来（安徽）新能源有限公司委托我公司进行本工程的环境影响评价。根据《环境影响评价技术导则 </w:t>
      </w:r>
      <w:r>
        <w:rPr>
          <w:color w:val="auto"/>
        </w:rPr>
        <w:t xml:space="preserve"> </w:t>
      </w:r>
      <w:r>
        <w:rPr>
          <w:rFonts w:hint="eastAsia"/>
          <w:color w:val="auto"/>
        </w:rPr>
        <w:t>输变电》（HJ</w:t>
      </w:r>
      <w:r>
        <w:rPr>
          <w:color w:val="auto"/>
        </w:rPr>
        <w:t>24-2020</w:t>
      </w:r>
      <w:r>
        <w:rPr>
          <w:rFonts w:hint="eastAsia"/>
          <w:color w:val="auto"/>
        </w:rPr>
        <w:t>）附录B中的要求应设电磁环境影响专题评价。我公司接受委托后，收集了工程情况、可研报告、施工图设计、背景等资料，对工程周边的自然质量现状进行了调查，确定和核定环境敏感保护目标之后，经工程分析、环境影响识别，对220kV升压站进行工频电场、工频磁感应强度类比分析，对220kV送出线路进行了工频电场、工频磁感应强度计算分析，提出了相应环境保护措施，编制了该电磁环境影响评价专题报告。</w:t>
      </w:r>
    </w:p>
    <w:p w14:paraId="4C1B9542">
      <w:pPr>
        <w:rPr>
          <w:sz w:val="24"/>
        </w:rPr>
      </w:pPr>
    </w:p>
    <w:p w14:paraId="5939D320">
      <w:pPr>
        <w:rPr>
          <w:sz w:val="24"/>
        </w:rPr>
        <w:sectPr>
          <w:footerReference r:id="rId8" w:type="default"/>
          <w:pgSz w:w="11906" w:h="16838"/>
          <w:pgMar w:top="1417" w:right="1440" w:bottom="1417" w:left="1440" w:header="851" w:footer="850" w:gutter="0"/>
          <w:pgNumType w:start="1"/>
          <w:cols w:space="720" w:num="1"/>
          <w:docGrid w:type="lines" w:linePitch="312" w:charSpace="0"/>
        </w:sectPr>
      </w:pPr>
    </w:p>
    <w:p w14:paraId="1A655DC6">
      <w:pPr>
        <w:pStyle w:val="2"/>
        <w:rPr>
          <w:sz w:val="40"/>
          <w:szCs w:val="24"/>
        </w:rPr>
      </w:pPr>
      <w:bookmarkStart w:id="21" w:name="_Toc189983113"/>
      <w:bookmarkStart w:id="22" w:name="_Toc421772750"/>
      <w:bookmarkStart w:id="23" w:name="_Toc421611334"/>
      <w:bookmarkStart w:id="24" w:name="_Toc443400150"/>
      <w:bookmarkStart w:id="25" w:name="_Toc428724437"/>
      <w:bookmarkStart w:id="26" w:name="_Toc430099630"/>
      <w:bookmarkStart w:id="27" w:name="_Toc85662697"/>
      <w:bookmarkStart w:id="28" w:name="_Toc85662749"/>
      <w:bookmarkStart w:id="29" w:name="_Toc85633913"/>
      <w:r>
        <w:rPr>
          <w:sz w:val="40"/>
          <w:szCs w:val="24"/>
        </w:rPr>
        <w:t>2</w:t>
      </w:r>
      <w:bookmarkEnd w:id="21"/>
      <w:bookmarkEnd w:id="22"/>
      <w:bookmarkEnd w:id="23"/>
      <w:bookmarkEnd w:id="24"/>
      <w:bookmarkEnd w:id="25"/>
      <w:bookmarkEnd w:id="26"/>
      <w:r>
        <w:rPr>
          <w:sz w:val="40"/>
          <w:szCs w:val="24"/>
        </w:rPr>
        <w:t xml:space="preserve"> </w:t>
      </w:r>
      <w:r>
        <w:rPr>
          <w:rFonts w:hint="eastAsia"/>
          <w:sz w:val="40"/>
          <w:szCs w:val="24"/>
        </w:rPr>
        <w:t>总则</w:t>
      </w:r>
      <w:bookmarkEnd w:id="27"/>
      <w:bookmarkEnd w:id="28"/>
      <w:bookmarkEnd w:id="29"/>
    </w:p>
    <w:p w14:paraId="3DCB4507">
      <w:pPr>
        <w:pStyle w:val="3"/>
        <w:rPr>
          <w:color w:val="auto"/>
        </w:rPr>
      </w:pPr>
      <w:bookmarkStart w:id="30" w:name="_Toc85662698"/>
      <w:bookmarkStart w:id="31" w:name="_Toc85633914"/>
      <w:bookmarkStart w:id="32" w:name="_Toc85662750"/>
      <w:r>
        <w:rPr>
          <w:rFonts w:hint="eastAsia"/>
          <w:color w:val="auto"/>
        </w:rPr>
        <w:t>2</w:t>
      </w:r>
      <w:r>
        <w:rPr>
          <w:color w:val="auto"/>
        </w:rPr>
        <w:t xml:space="preserve">.1 </w:t>
      </w:r>
      <w:r>
        <w:rPr>
          <w:rFonts w:hint="eastAsia"/>
          <w:color w:val="auto"/>
        </w:rPr>
        <w:t>工程概况</w:t>
      </w:r>
      <w:bookmarkEnd w:id="30"/>
      <w:bookmarkEnd w:id="31"/>
      <w:bookmarkEnd w:id="32"/>
    </w:p>
    <w:p w14:paraId="3A23FE0D">
      <w:pPr>
        <w:pStyle w:val="4"/>
      </w:pPr>
      <w:bookmarkStart w:id="33" w:name="_Toc85633915"/>
      <w:bookmarkStart w:id="34" w:name="_Toc428724438"/>
      <w:bookmarkStart w:id="35" w:name="_Toc430099632"/>
      <w:bookmarkStart w:id="36" w:name="_Toc443400152"/>
      <w:r>
        <w:rPr>
          <w:rFonts w:hint="eastAsia"/>
        </w:rPr>
        <w:t>2</w:t>
      </w:r>
      <w:r>
        <w:t xml:space="preserve">.1.1 </w:t>
      </w:r>
      <w:r>
        <w:rPr>
          <w:rFonts w:hint="eastAsia"/>
        </w:rPr>
        <w:t>220kV顾桥升压站</w:t>
      </w:r>
      <w:bookmarkEnd w:id="33"/>
      <w:r>
        <w:rPr>
          <w:rFonts w:hint="eastAsia"/>
        </w:rPr>
        <w:t>工程</w:t>
      </w:r>
    </w:p>
    <w:p w14:paraId="11D610C4">
      <w:pPr>
        <w:pStyle w:val="51"/>
        <w:rPr>
          <w:color w:val="auto"/>
        </w:rPr>
      </w:pPr>
      <w:r>
        <w:rPr>
          <w:rFonts w:hint="eastAsia"/>
          <w:color w:val="auto"/>
        </w:rPr>
        <w:t>本期建设2台335MVA三相分裂绕组有载调压变压器，电压等级为230±8×1.25%/37kV，终期为3台同容量变压器。</w:t>
      </w:r>
    </w:p>
    <w:p w14:paraId="5C4DF316">
      <w:pPr>
        <w:pStyle w:val="51"/>
        <w:rPr>
          <w:color w:val="auto"/>
        </w:rPr>
      </w:pPr>
      <w:r>
        <w:rPr>
          <w:rFonts w:hint="eastAsia"/>
          <w:color w:val="auto"/>
        </w:rPr>
        <w:t>220kV本期3回出线（500kV华润升压站2回、220kV尚塘风电升压站1回），已达终期规模。本终期均采用双母线接线。35kV本期24回出线，终期40回出线，本终期均采用单母线扩大单元接线。</w:t>
      </w:r>
    </w:p>
    <w:p w14:paraId="35738290">
      <w:pPr>
        <w:pStyle w:val="51"/>
        <w:rPr>
          <w:color w:val="auto"/>
        </w:rPr>
      </w:pPr>
      <w:r>
        <w:rPr>
          <w:rFonts w:hint="eastAsia"/>
          <w:color w:val="auto"/>
        </w:rPr>
        <w:t>本期安装4组20Mvar电容器组，终期为6组20Mvar电容器组。本期安装2组±33.3Mvar SVG动态无功补偿装置，终期为3组±33.3MvarSVG动态无功补偿装置。</w:t>
      </w:r>
    </w:p>
    <w:p w14:paraId="2B64938C">
      <w:pPr>
        <w:pStyle w:val="4"/>
      </w:pPr>
      <w:bookmarkStart w:id="37" w:name="_Toc85633916"/>
      <w:r>
        <w:rPr>
          <w:rFonts w:hint="eastAsia"/>
        </w:rPr>
        <w:t>2</w:t>
      </w:r>
      <w:r>
        <w:t xml:space="preserve">.1.2 </w:t>
      </w:r>
      <w:bookmarkEnd w:id="37"/>
      <w:r>
        <w:rPr>
          <w:rFonts w:hint="eastAsia"/>
        </w:rPr>
        <w:t>220kV输电线路工程</w:t>
      </w:r>
    </w:p>
    <w:p w14:paraId="4C7D3567">
      <w:pPr>
        <w:pStyle w:val="51"/>
        <w:rPr>
          <w:color w:val="auto"/>
        </w:rPr>
      </w:pPr>
      <w:r>
        <w:rPr>
          <w:rFonts w:hint="eastAsia"/>
          <w:color w:val="auto"/>
        </w:rPr>
        <w:t>线路起于拟建顾桥220kV升压站220kV构架，止于500kV华润汇集变220kV GIS终端，线路采用角钢塔、钢管杆和电缆混合架/敷设，路径总长度约5.01km，其中双回架空线路长约4.6km，电缆路径长约0.41km。本项目建设地点位于淮南市凤台县桂集镇，线路路径走向见图2-2。</w:t>
      </w:r>
    </w:p>
    <w:p w14:paraId="7A769E8F">
      <w:pPr>
        <w:pStyle w:val="87"/>
      </w:pPr>
      <w:r>
        <w:drawing>
          <wp:inline distT="0" distB="0" distL="114300" distR="114300">
            <wp:extent cx="5699125" cy="3266440"/>
            <wp:effectExtent l="0" t="0" r="15875" b="10160"/>
            <wp:docPr id="4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6"/>
                    <pic:cNvPicPr>
                      <a:picLocks noChangeAspect="1"/>
                    </pic:cNvPicPr>
                  </pic:nvPicPr>
                  <pic:blipFill>
                    <a:blip r:embed="rId22"/>
                    <a:srcRect t="5066" b="4904"/>
                    <a:stretch>
                      <a:fillRect/>
                    </a:stretch>
                  </pic:blipFill>
                  <pic:spPr>
                    <a:xfrm>
                      <a:off x="0" y="0"/>
                      <a:ext cx="5699125" cy="3266440"/>
                    </a:xfrm>
                    <a:prstGeom prst="rect">
                      <a:avLst/>
                    </a:prstGeom>
                    <a:noFill/>
                    <a:ln>
                      <a:noFill/>
                    </a:ln>
                  </pic:spPr>
                </pic:pic>
              </a:graphicData>
            </a:graphic>
          </wp:inline>
        </w:drawing>
      </w:r>
    </w:p>
    <w:p w14:paraId="33ADD49A">
      <w:pPr>
        <w:pStyle w:val="83"/>
        <w:rPr>
          <w:lang w:val="en-US"/>
        </w:rPr>
      </w:pPr>
      <w:r>
        <w:rPr>
          <w:lang w:val="en-US"/>
        </w:rPr>
        <w:t>图</w:t>
      </w:r>
      <w:r>
        <w:rPr>
          <w:rFonts w:hint="eastAsia"/>
          <w:lang w:val="en-US"/>
        </w:rPr>
        <w:t xml:space="preserve">2-1 </w:t>
      </w:r>
      <w:r>
        <w:rPr>
          <w:lang w:val="en-US"/>
        </w:rPr>
        <w:t xml:space="preserve"> 线路工程路径走向图</w:t>
      </w:r>
    </w:p>
    <w:bookmarkEnd w:id="34"/>
    <w:bookmarkEnd w:id="35"/>
    <w:bookmarkEnd w:id="36"/>
    <w:p w14:paraId="2EC1ED24">
      <w:pPr>
        <w:pStyle w:val="3"/>
        <w:rPr>
          <w:color w:val="auto"/>
        </w:rPr>
      </w:pPr>
      <w:bookmarkStart w:id="38" w:name="_Toc85662751"/>
      <w:bookmarkStart w:id="39" w:name="_Toc85662699"/>
      <w:bookmarkStart w:id="40" w:name="_Toc85633917"/>
      <w:r>
        <w:rPr>
          <w:rFonts w:hint="eastAsia"/>
          <w:color w:val="auto"/>
        </w:rPr>
        <w:t>2</w:t>
      </w:r>
      <w:r>
        <w:rPr>
          <w:color w:val="auto"/>
        </w:rPr>
        <w:t xml:space="preserve">.2 </w:t>
      </w:r>
      <w:r>
        <w:rPr>
          <w:rFonts w:hint="eastAsia"/>
          <w:color w:val="auto"/>
        </w:rPr>
        <w:t>评价因子</w:t>
      </w:r>
      <w:bookmarkEnd w:id="38"/>
      <w:bookmarkEnd w:id="39"/>
      <w:bookmarkEnd w:id="40"/>
    </w:p>
    <w:p w14:paraId="60B345B5">
      <w:pPr>
        <w:pStyle w:val="51"/>
        <w:rPr>
          <w:color w:val="auto"/>
        </w:rPr>
      </w:pPr>
      <w:r>
        <w:rPr>
          <w:rFonts w:hint="eastAsia"/>
          <w:color w:val="auto"/>
        </w:rPr>
        <w:t>本项目环境影响评价因子见表</w:t>
      </w:r>
      <w:r>
        <w:rPr>
          <w:color w:val="auto"/>
        </w:rPr>
        <w:t>2-1</w:t>
      </w:r>
      <w:r>
        <w:rPr>
          <w:rFonts w:hint="eastAsia"/>
          <w:color w:val="auto"/>
        </w:rPr>
        <w:t>。</w:t>
      </w:r>
    </w:p>
    <w:p w14:paraId="58862378">
      <w:pPr>
        <w:pStyle w:val="82"/>
      </w:pPr>
      <w:r>
        <w:rPr>
          <w:rFonts w:hint="eastAsia"/>
        </w:rPr>
        <w:t>表</w:t>
      </w:r>
      <w:r>
        <w:t xml:space="preserve">2-1  </w:t>
      </w:r>
      <w:r>
        <w:rPr>
          <w:rFonts w:hint="eastAsia"/>
        </w:rPr>
        <w:t>环境影响评价因子</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0"/>
        <w:gridCol w:w="1540"/>
        <w:gridCol w:w="1752"/>
        <w:gridCol w:w="1329"/>
        <w:gridCol w:w="1654"/>
        <w:gridCol w:w="1427"/>
      </w:tblGrid>
      <w:tr w14:paraId="64CEA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3" w:type="pct"/>
            <w:tcBorders>
              <w:top w:val="single" w:color="auto" w:sz="4" w:space="0"/>
              <w:left w:val="single" w:color="auto" w:sz="4" w:space="0"/>
              <w:bottom w:val="single" w:color="auto" w:sz="4" w:space="0"/>
              <w:right w:val="single" w:color="auto" w:sz="4" w:space="0"/>
              <w:tl2br w:val="nil"/>
              <w:tr2bl w:val="nil"/>
            </w:tcBorders>
            <w:vAlign w:val="center"/>
          </w:tcPr>
          <w:p w14:paraId="2D0B8FF5">
            <w:pPr>
              <w:pStyle w:val="84"/>
              <w:rPr>
                <w:color w:val="auto"/>
              </w:rPr>
            </w:pPr>
            <w:r>
              <w:rPr>
                <w:rFonts w:hint="eastAsia"/>
                <w:color w:val="auto"/>
              </w:rPr>
              <w:t>评价阶段</w:t>
            </w:r>
          </w:p>
        </w:tc>
        <w:tc>
          <w:tcPr>
            <w:tcW w:w="833" w:type="pct"/>
            <w:tcBorders>
              <w:top w:val="single" w:color="auto" w:sz="4" w:space="0"/>
              <w:left w:val="single" w:color="auto" w:sz="4" w:space="0"/>
              <w:bottom w:val="single" w:color="auto" w:sz="4" w:space="0"/>
              <w:right w:val="single" w:color="auto" w:sz="4" w:space="0"/>
              <w:tl2br w:val="nil"/>
              <w:tr2bl w:val="nil"/>
            </w:tcBorders>
            <w:vAlign w:val="center"/>
          </w:tcPr>
          <w:p w14:paraId="2F9E69EB">
            <w:pPr>
              <w:pStyle w:val="84"/>
              <w:rPr>
                <w:color w:val="auto"/>
              </w:rPr>
            </w:pPr>
            <w:r>
              <w:rPr>
                <w:rFonts w:hint="eastAsia"/>
                <w:color w:val="auto"/>
              </w:rPr>
              <w:t>评价项目</w:t>
            </w:r>
          </w:p>
        </w:tc>
        <w:tc>
          <w:tcPr>
            <w:tcW w:w="948" w:type="pct"/>
            <w:tcBorders>
              <w:top w:val="single" w:color="auto" w:sz="4" w:space="0"/>
              <w:left w:val="single" w:color="auto" w:sz="4" w:space="0"/>
              <w:bottom w:val="single" w:color="auto" w:sz="4" w:space="0"/>
              <w:right w:val="single" w:color="auto" w:sz="4" w:space="0"/>
              <w:tl2br w:val="nil"/>
              <w:tr2bl w:val="nil"/>
            </w:tcBorders>
            <w:vAlign w:val="center"/>
          </w:tcPr>
          <w:p w14:paraId="6B5233E3">
            <w:pPr>
              <w:pStyle w:val="84"/>
              <w:rPr>
                <w:color w:val="auto"/>
              </w:rPr>
            </w:pPr>
            <w:r>
              <w:rPr>
                <w:rFonts w:hint="eastAsia"/>
                <w:color w:val="auto"/>
              </w:rPr>
              <w:t>现状评价因子</w:t>
            </w:r>
          </w:p>
        </w:tc>
        <w:tc>
          <w:tcPr>
            <w:tcW w:w="719" w:type="pct"/>
            <w:tcBorders>
              <w:top w:val="single" w:color="auto" w:sz="4" w:space="0"/>
              <w:left w:val="single" w:color="auto" w:sz="4" w:space="0"/>
              <w:bottom w:val="single" w:color="auto" w:sz="4" w:space="0"/>
              <w:right w:val="single" w:color="auto" w:sz="4" w:space="0"/>
              <w:tl2br w:val="nil"/>
              <w:tr2bl w:val="nil"/>
            </w:tcBorders>
            <w:vAlign w:val="center"/>
          </w:tcPr>
          <w:p w14:paraId="4B9D6B4C">
            <w:pPr>
              <w:pStyle w:val="84"/>
              <w:rPr>
                <w:color w:val="auto"/>
              </w:rPr>
            </w:pPr>
            <w:r>
              <w:rPr>
                <w:rFonts w:hint="eastAsia"/>
                <w:color w:val="auto"/>
              </w:rPr>
              <w:t>单位</w:t>
            </w:r>
          </w:p>
        </w:tc>
        <w:tc>
          <w:tcPr>
            <w:tcW w:w="895" w:type="pct"/>
            <w:tcBorders>
              <w:top w:val="single" w:color="auto" w:sz="4" w:space="0"/>
              <w:left w:val="single" w:color="auto" w:sz="4" w:space="0"/>
              <w:bottom w:val="single" w:color="auto" w:sz="4" w:space="0"/>
              <w:right w:val="single" w:color="auto" w:sz="4" w:space="0"/>
              <w:tl2br w:val="nil"/>
              <w:tr2bl w:val="nil"/>
            </w:tcBorders>
            <w:vAlign w:val="center"/>
          </w:tcPr>
          <w:p w14:paraId="712A28BC">
            <w:pPr>
              <w:pStyle w:val="84"/>
              <w:rPr>
                <w:color w:val="auto"/>
              </w:rPr>
            </w:pPr>
            <w:r>
              <w:rPr>
                <w:rFonts w:hint="eastAsia"/>
                <w:color w:val="auto"/>
              </w:rPr>
              <w:t>预测评价因子</w:t>
            </w:r>
          </w:p>
        </w:tc>
        <w:tc>
          <w:tcPr>
            <w:tcW w:w="772" w:type="pct"/>
            <w:tcBorders>
              <w:top w:val="single" w:color="auto" w:sz="4" w:space="0"/>
              <w:left w:val="single" w:color="auto" w:sz="4" w:space="0"/>
              <w:bottom w:val="single" w:color="auto" w:sz="4" w:space="0"/>
              <w:right w:val="single" w:color="auto" w:sz="4" w:space="0"/>
              <w:tl2br w:val="nil"/>
              <w:tr2bl w:val="nil"/>
            </w:tcBorders>
            <w:vAlign w:val="center"/>
          </w:tcPr>
          <w:p w14:paraId="7969A43D">
            <w:pPr>
              <w:pStyle w:val="84"/>
              <w:rPr>
                <w:color w:val="auto"/>
              </w:rPr>
            </w:pPr>
            <w:r>
              <w:rPr>
                <w:rFonts w:hint="eastAsia"/>
                <w:color w:val="auto"/>
              </w:rPr>
              <w:t>单位</w:t>
            </w:r>
          </w:p>
        </w:tc>
      </w:tr>
      <w:tr w14:paraId="24C69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3" w:type="pct"/>
            <w:vMerge w:val="restart"/>
            <w:tcBorders>
              <w:top w:val="single" w:color="auto" w:sz="4" w:space="0"/>
              <w:left w:val="single" w:color="auto" w:sz="4" w:space="0"/>
              <w:bottom w:val="single" w:color="auto" w:sz="4" w:space="0"/>
              <w:right w:val="single" w:color="auto" w:sz="4" w:space="0"/>
              <w:tl2br w:val="nil"/>
              <w:tr2bl w:val="nil"/>
            </w:tcBorders>
            <w:vAlign w:val="center"/>
          </w:tcPr>
          <w:p w14:paraId="65EBC2EA">
            <w:pPr>
              <w:pStyle w:val="84"/>
              <w:rPr>
                <w:color w:val="auto"/>
              </w:rPr>
            </w:pPr>
            <w:r>
              <w:rPr>
                <w:rFonts w:hint="eastAsia"/>
                <w:color w:val="auto"/>
              </w:rPr>
              <w:t>运行期</w:t>
            </w:r>
          </w:p>
        </w:tc>
        <w:tc>
          <w:tcPr>
            <w:tcW w:w="833" w:type="pct"/>
            <w:vMerge w:val="restart"/>
            <w:tcBorders>
              <w:top w:val="single" w:color="auto" w:sz="4" w:space="0"/>
              <w:left w:val="single" w:color="auto" w:sz="4" w:space="0"/>
              <w:bottom w:val="single" w:color="auto" w:sz="4" w:space="0"/>
              <w:right w:val="single" w:color="auto" w:sz="4" w:space="0"/>
              <w:tl2br w:val="nil"/>
              <w:tr2bl w:val="nil"/>
            </w:tcBorders>
            <w:vAlign w:val="center"/>
          </w:tcPr>
          <w:p w14:paraId="20A179C1">
            <w:pPr>
              <w:pStyle w:val="84"/>
              <w:rPr>
                <w:color w:val="auto"/>
              </w:rPr>
            </w:pPr>
            <w:r>
              <w:rPr>
                <w:rFonts w:hint="eastAsia"/>
                <w:color w:val="auto"/>
              </w:rPr>
              <w:t>电磁环境</w:t>
            </w:r>
          </w:p>
        </w:tc>
        <w:tc>
          <w:tcPr>
            <w:tcW w:w="948" w:type="pct"/>
            <w:tcBorders>
              <w:top w:val="single" w:color="auto" w:sz="4" w:space="0"/>
              <w:left w:val="single" w:color="auto" w:sz="4" w:space="0"/>
              <w:bottom w:val="single" w:color="auto" w:sz="4" w:space="0"/>
              <w:right w:val="single" w:color="auto" w:sz="4" w:space="0"/>
              <w:tl2br w:val="nil"/>
              <w:tr2bl w:val="nil"/>
            </w:tcBorders>
            <w:vAlign w:val="center"/>
          </w:tcPr>
          <w:p w14:paraId="6DC8A66B">
            <w:pPr>
              <w:pStyle w:val="84"/>
              <w:rPr>
                <w:color w:val="auto"/>
              </w:rPr>
            </w:pPr>
            <w:r>
              <w:rPr>
                <w:rFonts w:hint="eastAsia"/>
                <w:color w:val="auto"/>
              </w:rPr>
              <w:t>工频电场</w:t>
            </w:r>
          </w:p>
        </w:tc>
        <w:tc>
          <w:tcPr>
            <w:tcW w:w="719" w:type="pct"/>
            <w:tcBorders>
              <w:top w:val="single" w:color="auto" w:sz="4" w:space="0"/>
              <w:left w:val="single" w:color="auto" w:sz="4" w:space="0"/>
              <w:bottom w:val="single" w:color="auto" w:sz="4" w:space="0"/>
              <w:right w:val="single" w:color="auto" w:sz="4" w:space="0"/>
              <w:tl2br w:val="nil"/>
              <w:tr2bl w:val="nil"/>
            </w:tcBorders>
            <w:vAlign w:val="center"/>
          </w:tcPr>
          <w:p w14:paraId="45A557BF">
            <w:pPr>
              <w:pStyle w:val="84"/>
              <w:rPr>
                <w:color w:val="auto"/>
              </w:rPr>
            </w:pPr>
            <w:r>
              <w:rPr>
                <w:color w:val="auto"/>
              </w:rPr>
              <w:t>V/m</w:t>
            </w:r>
          </w:p>
        </w:tc>
        <w:tc>
          <w:tcPr>
            <w:tcW w:w="895" w:type="pct"/>
            <w:tcBorders>
              <w:top w:val="single" w:color="auto" w:sz="4" w:space="0"/>
              <w:left w:val="single" w:color="auto" w:sz="4" w:space="0"/>
              <w:bottom w:val="single" w:color="auto" w:sz="4" w:space="0"/>
              <w:right w:val="single" w:color="auto" w:sz="4" w:space="0"/>
              <w:tl2br w:val="nil"/>
              <w:tr2bl w:val="nil"/>
            </w:tcBorders>
            <w:vAlign w:val="center"/>
          </w:tcPr>
          <w:p w14:paraId="73242468">
            <w:pPr>
              <w:pStyle w:val="84"/>
              <w:rPr>
                <w:color w:val="auto"/>
              </w:rPr>
            </w:pPr>
            <w:r>
              <w:rPr>
                <w:rFonts w:hint="eastAsia"/>
                <w:color w:val="auto"/>
              </w:rPr>
              <w:t>工频电场</w:t>
            </w:r>
          </w:p>
        </w:tc>
        <w:tc>
          <w:tcPr>
            <w:tcW w:w="772" w:type="pct"/>
            <w:tcBorders>
              <w:top w:val="single" w:color="auto" w:sz="4" w:space="0"/>
              <w:left w:val="single" w:color="auto" w:sz="4" w:space="0"/>
              <w:bottom w:val="single" w:color="auto" w:sz="4" w:space="0"/>
              <w:right w:val="single" w:color="auto" w:sz="4" w:space="0"/>
              <w:tl2br w:val="nil"/>
              <w:tr2bl w:val="nil"/>
            </w:tcBorders>
            <w:vAlign w:val="center"/>
          </w:tcPr>
          <w:p w14:paraId="4C95AACF">
            <w:pPr>
              <w:pStyle w:val="84"/>
              <w:rPr>
                <w:color w:val="auto"/>
              </w:rPr>
            </w:pPr>
            <w:r>
              <w:rPr>
                <w:color w:val="auto"/>
              </w:rPr>
              <w:t>V/m</w:t>
            </w:r>
          </w:p>
        </w:tc>
      </w:tr>
      <w:tr w14:paraId="24F15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3" w:type="pct"/>
            <w:vMerge w:val="continue"/>
            <w:tcBorders>
              <w:top w:val="single" w:color="auto" w:sz="4" w:space="0"/>
              <w:left w:val="single" w:color="auto" w:sz="4" w:space="0"/>
              <w:bottom w:val="single" w:color="auto" w:sz="4" w:space="0"/>
              <w:right w:val="single" w:color="auto" w:sz="4" w:space="0"/>
              <w:tl2br w:val="nil"/>
              <w:tr2bl w:val="nil"/>
            </w:tcBorders>
            <w:vAlign w:val="center"/>
          </w:tcPr>
          <w:p w14:paraId="71E65C45">
            <w:pPr>
              <w:pStyle w:val="84"/>
              <w:rPr>
                <w:color w:val="auto"/>
              </w:rPr>
            </w:pPr>
          </w:p>
        </w:tc>
        <w:tc>
          <w:tcPr>
            <w:tcW w:w="833" w:type="pct"/>
            <w:vMerge w:val="continue"/>
            <w:tcBorders>
              <w:top w:val="single" w:color="auto" w:sz="4" w:space="0"/>
              <w:left w:val="single" w:color="auto" w:sz="4" w:space="0"/>
              <w:bottom w:val="single" w:color="auto" w:sz="4" w:space="0"/>
              <w:right w:val="single" w:color="auto" w:sz="4" w:space="0"/>
              <w:tl2br w:val="nil"/>
              <w:tr2bl w:val="nil"/>
            </w:tcBorders>
            <w:vAlign w:val="center"/>
          </w:tcPr>
          <w:p w14:paraId="2D6EB389">
            <w:pPr>
              <w:pStyle w:val="84"/>
              <w:rPr>
                <w:color w:val="auto"/>
              </w:rPr>
            </w:pPr>
          </w:p>
        </w:tc>
        <w:tc>
          <w:tcPr>
            <w:tcW w:w="948" w:type="pct"/>
            <w:tcBorders>
              <w:top w:val="single" w:color="auto" w:sz="4" w:space="0"/>
              <w:left w:val="single" w:color="auto" w:sz="4" w:space="0"/>
              <w:bottom w:val="single" w:color="auto" w:sz="4" w:space="0"/>
              <w:right w:val="single" w:color="auto" w:sz="4" w:space="0"/>
              <w:tl2br w:val="nil"/>
              <w:tr2bl w:val="nil"/>
            </w:tcBorders>
            <w:vAlign w:val="center"/>
          </w:tcPr>
          <w:p w14:paraId="0AEA5AFA">
            <w:pPr>
              <w:pStyle w:val="84"/>
              <w:rPr>
                <w:color w:val="auto"/>
              </w:rPr>
            </w:pPr>
            <w:r>
              <w:rPr>
                <w:rFonts w:hint="eastAsia"/>
                <w:color w:val="auto"/>
              </w:rPr>
              <w:t>工频磁场</w:t>
            </w:r>
          </w:p>
        </w:tc>
        <w:tc>
          <w:tcPr>
            <w:tcW w:w="719" w:type="pct"/>
            <w:tcBorders>
              <w:top w:val="single" w:color="auto" w:sz="4" w:space="0"/>
              <w:left w:val="single" w:color="auto" w:sz="4" w:space="0"/>
              <w:bottom w:val="single" w:color="auto" w:sz="4" w:space="0"/>
              <w:right w:val="single" w:color="auto" w:sz="4" w:space="0"/>
              <w:tl2br w:val="nil"/>
              <w:tr2bl w:val="nil"/>
            </w:tcBorders>
            <w:vAlign w:val="center"/>
          </w:tcPr>
          <w:p w14:paraId="5BB0D1E1">
            <w:pPr>
              <w:pStyle w:val="84"/>
              <w:rPr>
                <w:color w:val="auto"/>
              </w:rPr>
            </w:pPr>
            <w:r>
              <w:rPr>
                <w:color w:val="auto"/>
              </w:rPr>
              <w:t>μT</w:t>
            </w:r>
          </w:p>
        </w:tc>
        <w:tc>
          <w:tcPr>
            <w:tcW w:w="895" w:type="pct"/>
            <w:tcBorders>
              <w:top w:val="single" w:color="auto" w:sz="4" w:space="0"/>
              <w:left w:val="single" w:color="auto" w:sz="4" w:space="0"/>
              <w:bottom w:val="single" w:color="auto" w:sz="4" w:space="0"/>
              <w:right w:val="single" w:color="auto" w:sz="4" w:space="0"/>
              <w:tl2br w:val="nil"/>
              <w:tr2bl w:val="nil"/>
            </w:tcBorders>
            <w:vAlign w:val="center"/>
          </w:tcPr>
          <w:p w14:paraId="29709342">
            <w:pPr>
              <w:pStyle w:val="84"/>
              <w:rPr>
                <w:color w:val="auto"/>
              </w:rPr>
            </w:pPr>
            <w:r>
              <w:rPr>
                <w:rFonts w:hint="eastAsia"/>
                <w:color w:val="auto"/>
              </w:rPr>
              <w:t>工频磁场</w:t>
            </w:r>
          </w:p>
        </w:tc>
        <w:tc>
          <w:tcPr>
            <w:tcW w:w="772" w:type="pct"/>
            <w:tcBorders>
              <w:top w:val="single" w:color="auto" w:sz="4" w:space="0"/>
              <w:left w:val="single" w:color="auto" w:sz="4" w:space="0"/>
              <w:bottom w:val="single" w:color="auto" w:sz="4" w:space="0"/>
              <w:right w:val="single" w:color="auto" w:sz="4" w:space="0"/>
              <w:tl2br w:val="nil"/>
              <w:tr2bl w:val="nil"/>
            </w:tcBorders>
            <w:vAlign w:val="center"/>
          </w:tcPr>
          <w:p w14:paraId="5ECE21BE">
            <w:pPr>
              <w:pStyle w:val="84"/>
              <w:rPr>
                <w:color w:val="auto"/>
              </w:rPr>
            </w:pPr>
            <w:r>
              <w:rPr>
                <w:color w:val="auto"/>
              </w:rPr>
              <w:t>μT</w:t>
            </w:r>
          </w:p>
        </w:tc>
      </w:tr>
    </w:tbl>
    <w:p w14:paraId="5A85CC74">
      <w:pPr>
        <w:pStyle w:val="3"/>
        <w:rPr>
          <w:color w:val="auto"/>
        </w:rPr>
      </w:pPr>
      <w:bookmarkStart w:id="41" w:name="_Toc85633918"/>
      <w:bookmarkStart w:id="42" w:name="_Toc85662700"/>
      <w:bookmarkStart w:id="43" w:name="_Toc85662752"/>
      <w:r>
        <w:rPr>
          <w:rFonts w:hint="eastAsia"/>
          <w:color w:val="auto"/>
        </w:rPr>
        <w:t>2</w:t>
      </w:r>
      <w:r>
        <w:rPr>
          <w:color w:val="auto"/>
        </w:rPr>
        <w:t xml:space="preserve">.3 </w:t>
      </w:r>
      <w:r>
        <w:rPr>
          <w:rFonts w:hint="eastAsia"/>
          <w:color w:val="auto"/>
        </w:rPr>
        <w:t>评价标准</w:t>
      </w:r>
      <w:bookmarkEnd w:id="41"/>
      <w:bookmarkEnd w:id="42"/>
      <w:bookmarkEnd w:id="43"/>
    </w:p>
    <w:p w14:paraId="5A01635E">
      <w:pPr>
        <w:pStyle w:val="51"/>
        <w:rPr>
          <w:color w:val="auto"/>
        </w:rPr>
      </w:pPr>
      <w:r>
        <w:rPr>
          <w:rFonts w:hint="eastAsia"/>
          <w:color w:val="auto"/>
        </w:rPr>
        <w:t>工频电场强度、工频磁感应强度执行《电磁环境控制限值》（GB8702-2014）的规定，工频电场强度和工频磁感应强度的公众曝露控制限值分别为4000V/m和100</w:t>
      </w:r>
      <w:r>
        <w:rPr>
          <w:color w:val="auto"/>
        </w:rPr>
        <w:t>μT</w:t>
      </w:r>
      <w:r>
        <w:rPr>
          <w:rFonts w:hint="eastAsia"/>
          <w:color w:val="auto"/>
        </w:rPr>
        <w:t>；</w:t>
      </w:r>
    </w:p>
    <w:p w14:paraId="024DF634">
      <w:pPr>
        <w:pStyle w:val="51"/>
        <w:rPr>
          <w:color w:val="auto"/>
        </w:rPr>
      </w:pPr>
      <w:r>
        <w:rPr>
          <w:rFonts w:hint="eastAsia"/>
          <w:color w:val="auto"/>
        </w:rPr>
        <w:t>架空输电线路线下的耕地、园地、牧草地、畜禽饲养地、养殖水面、道路等场所，其频率50Hz的电场强度控制限值为10kV/m，且应给出警示和防护指示标志。</w:t>
      </w:r>
    </w:p>
    <w:p w14:paraId="03EACF55">
      <w:pPr>
        <w:pStyle w:val="3"/>
        <w:rPr>
          <w:color w:val="auto"/>
        </w:rPr>
      </w:pPr>
      <w:bookmarkStart w:id="44" w:name="_Toc85633919"/>
      <w:bookmarkStart w:id="45" w:name="_Toc85662701"/>
      <w:bookmarkStart w:id="46" w:name="_Toc85662753"/>
      <w:r>
        <w:rPr>
          <w:rFonts w:hint="eastAsia"/>
          <w:color w:val="auto"/>
        </w:rPr>
        <w:t>2</w:t>
      </w:r>
      <w:r>
        <w:rPr>
          <w:color w:val="auto"/>
        </w:rPr>
        <w:t xml:space="preserve">.4 </w:t>
      </w:r>
      <w:r>
        <w:rPr>
          <w:rFonts w:hint="eastAsia"/>
          <w:color w:val="auto"/>
        </w:rPr>
        <w:t>评价工作等级</w:t>
      </w:r>
      <w:bookmarkEnd w:id="44"/>
      <w:bookmarkEnd w:id="45"/>
      <w:bookmarkEnd w:id="46"/>
    </w:p>
    <w:p w14:paraId="6220AA53">
      <w:pPr>
        <w:pStyle w:val="51"/>
        <w:rPr>
          <w:color w:val="auto"/>
        </w:rPr>
      </w:pPr>
      <w:r>
        <w:rPr>
          <w:rFonts w:hint="eastAsia"/>
          <w:color w:val="auto"/>
        </w:rPr>
        <w:t xml:space="preserve">本工程升压站为220kV户外型升压站，220kV架空线边导线地面投影外两侧各15m范围内存在电磁环境敏感目标，220kV地下电缆，根据《环境影响评价技术导则 </w:t>
      </w:r>
      <w:r>
        <w:rPr>
          <w:color w:val="auto"/>
        </w:rPr>
        <w:t xml:space="preserve"> </w:t>
      </w:r>
      <w:r>
        <w:rPr>
          <w:rFonts w:hint="eastAsia"/>
          <w:color w:val="auto"/>
        </w:rPr>
        <w:t>输变电》（HJ</w:t>
      </w:r>
      <w:r>
        <w:rPr>
          <w:color w:val="auto"/>
        </w:rPr>
        <w:t>24-2020</w:t>
      </w:r>
      <w:r>
        <w:rPr>
          <w:rFonts w:hint="eastAsia"/>
          <w:color w:val="auto"/>
        </w:rPr>
        <w:t>），本次环评中升压站电磁环境影响评价工作等级为二级，输电线路电磁环境影响评价工作等级为二级，地下电缆电磁环境影响评价工作等级为三级。</w:t>
      </w:r>
    </w:p>
    <w:p w14:paraId="1A3316B3">
      <w:pPr>
        <w:pStyle w:val="82"/>
      </w:pPr>
      <w:r>
        <w:rPr>
          <w:rFonts w:hint="eastAsia"/>
        </w:rPr>
        <w:t>表</w:t>
      </w:r>
      <w:r>
        <w:t xml:space="preserve">2-2  </w:t>
      </w:r>
      <w:r>
        <w:rPr>
          <w:rFonts w:hint="eastAsia"/>
        </w:rPr>
        <w:t>电磁环境影响评价工作等级</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3"/>
        <w:gridCol w:w="1141"/>
        <w:gridCol w:w="1058"/>
        <w:gridCol w:w="4004"/>
        <w:gridCol w:w="1666"/>
      </w:tblGrid>
      <w:tr w14:paraId="4D91F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3" w:type="pct"/>
            <w:tcBorders>
              <w:top w:val="single" w:color="auto" w:sz="4" w:space="0"/>
              <w:left w:val="single" w:color="auto" w:sz="4" w:space="0"/>
              <w:bottom w:val="single" w:color="auto" w:sz="4" w:space="0"/>
              <w:right w:val="single" w:color="auto" w:sz="4" w:space="0"/>
              <w:tl2br w:val="nil"/>
              <w:tr2bl w:val="nil"/>
            </w:tcBorders>
            <w:vAlign w:val="center"/>
          </w:tcPr>
          <w:p w14:paraId="34FA9271">
            <w:pPr>
              <w:pStyle w:val="84"/>
              <w:rPr>
                <w:b/>
                <w:color w:val="auto"/>
              </w:rPr>
            </w:pPr>
            <w:r>
              <w:rPr>
                <w:rFonts w:hint="eastAsia"/>
                <w:b/>
                <w:color w:val="auto"/>
              </w:rPr>
              <w:t>分类</w:t>
            </w:r>
          </w:p>
        </w:tc>
        <w:tc>
          <w:tcPr>
            <w:tcW w:w="617" w:type="pct"/>
            <w:tcBorders>
              <w:top w:val="single" w:color="auto" w:sz="4" w:space="0"/>
              <w:left w:val="single" w:color="auto" w:sz="4" w:space="0"/>
              <w:bottom w:val="single" w:color="auto" w:sz="4" w:space="0"/>
              <w:right w:val="single" w:color="auto" w:sz="4" w:space="0"/>
              <w:tl2br w:val="nil"/>
              <w:tr2bl w:val="nil"/>
            </w:tcBorders>
            <w:vAlign w:val="center"/>
          </w:tcPr>
          <w:p w14:paraId="0BD0C27C">
            <w:pPr>
              <w:pStyle w:val="84"/>
              <w:rPr>
                <w:b/>
                <w:color w:val="auto"/>
              </w:rPr>
            </w:pPr>
            <w:r>
              <w:rPr>
                <w:rFonts w:hint="eastAsia"/>
                <w:b/>
                <w:color w:val="auto"/>
              </w:rPr>
              <w:t>电压等级</w:t>
            </w:r>
          </w:p>
        </w:tc>
        <w:tc>
          <w:tcPr>
            <w:tcW w:w="572" w:type="pct"/>
            <w:tcBorders>
              <w:top w:val="single" w:color="auto" w:sz="4" w:space="0"/>
              <w:left w:val="single" w:color="auto" w:sz="4" w:space="0"/>
              <w:bottom w:val="single" w:color="auto" w:sz="4" w:space="0"/>
              <w:right w:val="single" w:color="auto" w:sz="4" w:space="0"/>
              <w:tl2br w:val="nil"/>
              <w:tr2bl w:val="nil"/>
            </w:tcBorders>
            <w:vAlign w:val="center"/>
          </w:tcPr>
          <w:p w14:paraId="62C1C2D2">
            <w:pPr>
              <w:pStyle w:val="84"/>
              <w:rPr>
                <w:b/>
                <w:color w:val="auto"/>
              </w:rPr>
            </w:pPr>
            <w:r>
              <w:rPr>
                <w:rFonts w:hint="eastAsia"/>
                <w:b/>
                <w:color w:val="auto"/>
              </w:rPr>
              <w:t>工程</w:t>
            </w:r>
          </w:p>
        </w:tc>
        <w:tc>
          <w:tcPr>
            <w:tcW w:w="2165" w:type="pct"/>
            <w:tcBorders>
              <w:top w:val="single" w:color="auto" w:sz="4" w:space="0"/>
              <w:left w:val="single" w:color="auto" w:sz="4" w:space="0"/>
              <w:bottom w:val="single" w:color="auto" w:sz="4" w:space="0"/>
              <w:right w:val="single" w:color="auto" w:sz="4" w:space="0"/>
              <w:tl2br w:val="nil"/>
              <w:tr2bl w:val="nil"/>
            </w:tcBorders>
            <w:vAlign w:val="center"/>
          </w:tcPr>
          <w:p w14:paraId="3E5BDFD6">
            <w:pPr>
              <w:pStyle w:val="84"/>
              <w:rPr>
                <w:b/>
                <w:color w:val="auto"/>
              </w:rPr>
            </w:pPr>
            <w:r>
              <w:rPr>
                <w:rFonts w:hint="eastAsia"/>
                <w:b/>
                <w:color w:val="auto"/>
              </w:rPr>
              <w:t>条件</w:t>
            </w:r>
          </w:p>
        </w:tc>
        <w:tc>
          <w:tcPr>
            <w:tcW w:w="901" w:type="pct"/>
            <w:tcBorders>
              <w:top w:val="single" w:color="auto" w:sz="4" w:space="0"/>
              <w:left w:val="single" w:color="auto" w:sz="4" w:space="0"/>
              <w:bottom w:val="single" w:color="auto" w:sz="4" w:space="0"/>
              <w:right w:val="single" w:color="auto" w:sz="4" w:space="0"/>
              <w:tl2br w:val="nil"/>
              <w:tr2bl w:val="nil"/>
            </w:tcBorders>
            <w:vAlign w:val="center"/>
          </w:tcPr>
          <w:p w14:paraId="65A6DDA5">
            <w:pPr>
              <w:pStyle w:val="84"/>
              <w:rPr>
                <w:b/>
                <w:color w:val="auto"/>
              </w:rPr>
            </w:pPr>
            <w:r>
              <w:rPr>
                <w:rFonts w:hint="eastAsia"/>
                <w:b/>
                <w:color w:val="auto"/>
              </w:rPr>
              <w:t>评价工作等级</w:t>
            </w:r>
          </w:p>
        </w:tc>
      </w:tr>
      <w:tr w14:paraId="0CCA3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3" w:type="pct"/>
            <w:vMerge w:val="restart"/>
            <w:tcBorders>
              <w:top w:val="single" w:color="auto" w:sz="4" w:space="0"/>
              <w:left w:val="single" w:color="auto" w:sz="4" w:space="0"/>
              <w:right w:val="single" w:color="auto" w:sz="4" w:space="0"/>
              <w:tl2br w:val="nil"/>
              <w:tr2bl w:val="nil"/>
            </w:tcBorders>
            <w:vAlign w:val="center"/>
          </w:tcPr>
          <w:p w14:paraId="740B6592">
            <w:pPr>
              <w:pStyle w:val="84"/>
              <w:rPr>
                <w:color w:val="auto"/>
              </w:rPr>
            </w:pPr>
            <w:r>
              <w:rPr>
                <w:rFonts w:hint="eastAsia"/>
                <w:color w:val="auto"/>
              </w:rPr>
              <w:t>交流</w:t>
            </w:r>
          </w:p>
        </w:tc>
        <w:tc>
          <w:tcPr>
            <w:tcW w:w="617" w:type="pct"/>
            <w:vMerge w:val="restart"/>
            <w:tcBorders>
              <w:top w:val="single" w:color="auto" w:sz="4" w:space="0"/>
              <w:left w:val="single" w:color="auto" w:sz="4" w:space="0"/>
              <w:right w:val="single" w:color="auto" w:sz="4" w:space="0"/>
              <w:tl2br w:val="nil"/>
              <w:tr2bl w:val="nil"/>
            </w:tcBorders>
            <w:vAlign w:val="center"/>
          </w:tcPr>
          <w:p w14:paraId="74447EAF">
            <w:pPr>
              <w:pStyle w:val="84"/>
              <w:rPr>
                <w:color w:val="auto"/>
              </w:rPr>
            </w:pPr>
            <w:r>
              <w:rPr>
                <w:rFonts w:hint="eastAsia"/>
                <w:color w:val="auto"/>
              </w:rPr>
              <w:t>220kV</w:t>
            </w:r>
          </w:p>
        </w:tc>
        <w:tc>
          <w:tcPr>
            <w:tcW w:w="572" w:type="pct"/>
            <w:tcBorders>
              <w:top w:val="single" w:color="auto" w:sz="4" w:space="0"/>
              <w:left w:val="single" w:color="auto" w:sz="4" w:space="0"/>
              <w:bottom w:val="single" w:color="auto" w:sz="4" w:space="0"/>
              <w:right w:val="single" w:color="auto" w:sz="4" w:space="0"/>
              <w:tl2br w:val="nil"/>
              <w:tr2bl w:val="nil"/>
            </w:tcBorders>
            <w:vAlign w:val="center"/>
          </w:tcPr>
          <w:p w14:paraId="02BCE81A">
            <w:pPr>
              <w:pStyle w:val="84"/>
              <w:rPr>
                <w:color w:val="auto"/>
              </w:rPr>
            </w:pPr>
            <w:r>
              <w:rPr>
                <w:rFonts w:hint="eastAsia"/>
                <w:color w:val="auto"/>
              </w:rPr>
              <w:t>升压站</w:t>
            </w:r>
          </w:p>
        </w:tc>
        <w:tc>
          <w:tcPr>
            <w:tcW w:w="2165" w:type="pct"/>
            <w:tcBorders>
              <w:top w:val="single" w:color="auto" w:sz="4" w:space="0"/>
              <w:left w:val="single" w:color="auto" w:sz="4" w:space="0"/>
              <w:bottom w:val="single" w:color="auto" w:sz="4" w:space="0"/>
              <w:right w:val="single" w:color="auto" w:sz="4" w:space="0"/>
              <w:tl2br w:val="nil"/>
              <w:tr2bl w:val="nil"/>
            </w:tcBorders>
            <w:vAlign w:val="center"/>
          </w:tcPr>
          <w:p w14:paraId="2420EFE9">
            <w:pPr>
              <w:pStyle w:val="84"/>
              <w:rPr>
                <w:color w:val="auto"/>
              </w:rPr>
            </w:pPr>
            <w:r>
              <w:rPr>
                <w:rFonts w:hint="eastAsia"/>
                <w:color w:val="auto"/>
              </w:rPr>
              <w:t>户外式</w:t>
            </w:r>
          </w:p>
        </w:tc>
        <w:tc>
          <w:tcPr>
            <w:tcW w:w="901" w:type="pct"/>
            <w:tcBorders>
              <w:top w:val="single" w:color="auto" w:sz="4" w:space="0"/>
              <w:left w:val="single" w:color="auto" w:sz="4" w:space="0"/>
              <w:bottom w:val="single" w:color="auto" w:sz="4" w:space="0"/>
              <w:right w:val="single" w:color="auto" w:sz="4" w:space="0"/>
              <w:tl2br w:val="nil"/>
              <w:tr2bl w:val="nil"/>
            </w:tcBorders>
            <w:vAlign w:val="center"/>
          </w:tcPr>
          <w:p w14:paraId="1EA0758C">
            <w:pPr>
              <w:pStyle w:val="84"/>
              <w:rPr>
                <w:color w:val="auto"/>
              </w:rPr>
            </w:pPr>
            <w:r>
              <w:rPr>
                <w:rFonts w:hint="eastAsia"/>
                <w:color w:val="auto"/>
              </w:rPr>
              <w:t>二级</w:t>
            </w:r>
          </w:p>
        </w:tc>
      </w:tr>
      <w:tr w14:paraId="3B47B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743" w:type="pct"/>
            <w:vMerge w:val="continue"/>
            <w:tcBorders>
              <w:left w:val="single" w:color="auto" w:sz="4" w:space="0"/>
              <w:right w:val="single" w:color="auto" w:sz="4" w:space="0"/>
              <w:tl2br w:val="nil"/>
              <w:tr2bl w:val="nil"/>
            </w:tcBorders>
            <w:vAlign w:val="center"/>
          </w:tcPr>
          <w:p w14:paraId="441F210F">
            <w:pPr>
              <w:pStyle w:val="84"/>
              <w:rPr>
                <w:color w:val="auto"/>
              </w:rPr>
            </w:pPr>
          </w:p>
        </w:tc>
        <w:tc>
          <w:tcPr>
            <w:tcW w:w="617" w:type="pct"/>
            <w:vMerge w:val="continue"/>
            <w:tcBorders>
              <w:left w:val="single" w:color="auto" w:sz="4" w:space="0"/>
              <w:right w:val="single" w:color="auto" w:sz="4" w:space="0"/>
              <w:tl2br w:val="nil"/>
              <w:tr2bl w:val="nil"/>
            </w:tcBorders>
            <w:vAlign w:val="center"/>
          </w:tcPr>
          <w:p w14:paraId="79442199">
            <w:pPr>
              <w:pStyle w:val="84"/>
              <w:rPr>
                <w:color w:val="auto"/>
              </w:rPr>
            </w:pPr>
          </w:p>
        </w:tc>
        <w:tc>
          <w:tcPr>
            <w:tcW w:w="572" w:type="pct"/>
            <w:vMerge w:val="restart"/>
            <w:tcBorders>
              <w:top w:val="single" w:color="auto" w:sz="4" w:space="0"/>
              <w:left w:val="single" w:color="auto" w:sz="4" w:space="0"/>
              <w:right w:val="single" w:color="auto" w:sz="4" w:space="0"/>
              <w:tl2br w:val="nil"/>
              <w:tr2bl w:val="nil"/>
            </w:tcBorders>
            <w:vAlign w:val="center"/>
          </w:tcPr>
          <w:p w14:paraId="45C9F307">
            <w:pPr>
              <w:pStyle w:val="84"/>
              <w:rPr>
                <w:color w:val="auto"/>
              </w:rPr>
            </w:pPr>
            <w:r>
              <w:rPr>
                <w:rFonts w:hint="eastAsia"/>
                <w:color w:val="auto"/>
              </w:rPr>
              <w:t>输电线路</w:t>
            </w:r>
          </w:p>
        </w:tc>
        <w:tc>
          <w:tcPr>
            <w:tcW w:w="2165" w:type="pct"/>
            <w:tcBorders>
              <w:top w:val="single" w:color="auto" w:sz="4" w:space="0"/>
              <w:left w:val="single" w:color="auto" w:sz="4" w:space="0"/>
              <w:bottom w:val="single" w:color="auto" w:sz="4" w:space="0"/>
              <w:right w:val="single" w:color="auto" w:sz="4" w:space="0"/>
              <w:tl2br w:val="nil"/>
              <w:tr2bl w:val="nil"/>
            </w:tcBorders>
            <w:vAlign w:val="center"/>
          </w:tcPr>
          <w:p w14:paraId="6F7D248A">
            <w:pPr>
              <w:pStyle w:val="84"/>
              <w:rPr>
                <w:color w:val="auto"/>
              </w:rPr>
            </w:pPr>
            <w:r>
              <w:rPr>
                <w:rFonts w:hint="eastAsia"/>
                <w:color w:val="auto"/>
              </w:rPr>
              <w:t>边导线地面投影外两侧各15m范围内不存在电磁环境影响敏感目标的架空线路</w:t>
            </w:r>
          </w:p>
        </w:tc>
        <w:tc>
          <w:tcPr>
            <w:tcW w:w="901" w:type="pct"/>
            <w:tcBorders>
              <w:top w:val="single" w:color="auto" w:sz="4" w:space="0"/>
              <w:left w:val="single" w:color="auto" w:sz="4" w:space="0"/>
              <w:bottom w:val="single" w:color="auto" w:sz="4" w:space="0"/>
              <w:right w:val="single" w:color="auto" w:sz="4" w:space="0"/>
              <w:tl2br w:val="nil"/>
              <w:tr2bl w:val="nil"/>
            </w:tcBorders>
            <w:vAlign w:val="center"/>
          </w:tcPr>
          <w:p w14:paraId="2EEFA989">
            <w:pPr>
              <w:pStyle w:val="84"/>
              <w:rPr>
                <w:color w:val="auto"/>
              </w:rPr>
            </w:pPr>
            <w:r>
              <w:rPr>
                <w:rFonts w:hint="eastAsia"/>
                <w:color w:val="auto"/>
              </w:rPr>
              <w:t>二级</w:t>
            </w:r>
          </w:p>
        </w:tc>
      </w:tr>
      <w:tr w14:paraId="17C18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3" w:type="pct"/>
            <w:vMerge w:val="continue"/>
            <w:tcBorders>
              <w:left w:val="single" w:color="auto" w:sz="4" w:space="0"/>
              <w:bottom w:val="single" w:color="auto" w:sz="4" w:space="0"/>
              <w:right w:val="single" w:color="auto" w:sz="4" w:space="0"/>
              <w:tl2br w:val="nil"/>
              <w:tr2bl w:val="nil"/>
            </w:tcBorders>
            <w:vAlign w:val="center"/>
          </w:tcPr>
          <w:p w14:paraId="49ACB696">
            <w:pPr>
              <w:pStyle w:val="84"/>
              <w:rPr>
                <w:color w:val="auto"/>
              </w:rPr>
            </w:pPr>
            <w:bookmarkStart w:id="47" w:name="_Toc85662754"/>
            <w:bookmarkStart w:id="48" w:name="_Toc85662702"/>
            <w:bookmarkStart w:id="49" w:name="_Toc85633920"/>
          </w:p>
        </w:tc>
        <w:tc>
          <w:tcPr>
            <w:tcW w:w="617" w:type="pct"/>
            <w:vMerge w:val="continue"/>
            <w:tcBorders>
              <w:left w:val="single" w:color="auto" w:sz="4" w:space="0"/>
              <w:bottom w:val="single" w:color="auto" w:sz="4" w:space="0"/>
              <w:right w:val="single" w:color="auto" w:sz="4" w:space="0"/>
              <w:tl2br w:val="nil"/>
              <w:tr2bl w:val="nil"/>
            </w:tcBorders>
            <w:vAlign w:val="center"/>
          </w:tcPr>
          <w:p w14:paraId="01E5842B">
            <w:pPr>
              <w:pStyle w:val="84"/>
              <w:rPr>
                <w:color w:val="auto"/>
              </w:rPr>
            </w:pPr>
          </w:p>
        </w:tc>
        <w:tc>
          <w:tcPr>
            <w:tcW w:w="572" w:type="pct"/>
            <w:vMerge w:val="continue"/>
            <w:tcBorders>
              <w:left w:val="single" w:color="auto" w:sz="4" w:space="0"/>
              <w:bottom w:val="single" w:color="auto" w:sz="4" w:space="0"/>
              <w:right w:val="single" w:color="auto" w:sz="4" w:space="0"/>
              <w:tl2br w:val="nil"/>
              <w:tr2bl w:val="nil"/>
            </w:tcBorders>
            <w:vAlign w:val="center"/>
          </w:tcPr>
          <w:p w14:paraId="5D0C19C5">
            <w:pPr>
              <w:pStyle w:val="84"/>
              <w:rPr>
                <w:color w:val="auto"/>
              </w:rPr>
            </w:pPr>
          </w:p>
        </w:tc>
        <w:tc>
          <w:tcPr>
            <w:tcW w:w="2165" w:type="pct"/>
            <w:tcBorders>
              <w:top w:val="single" w:color="auto" w:sz="4" w:space="0"/>
              <w:left w:val="single" w:color="auto" w:sz="4" w:space="0"/>
              <w:bottom w:val="single" w:color="auto" w:sz="4" w:space="0"/>
              <w:right w:val="single" w:color="auto" w:sz="4" w:space="0"/>
              <w:tl2br w:val="nil"/>
              <w:tr2bl w:val="nil"/>
            </w:tcBorders>
            <w:vAlign w:val="center"/>
          </w:tcPr>
          <w:p w14:paraId="34458498">
            <w:pPr>
              <w:pStyle w:val="84"/>
              <w:rPr>
                <w:color w:val="auto"/>
              </w:rPr>
            </w:pPr>
            <w:r>
              <w:rPr>
                <w:rFonts w:hint="eastAsia"/>
                <w:color w:val="auto"/>
              </w:rPr>
              <w:t>地下电缆</w:t>
            </w:r>
          </w:p>
        </w:tc>
        <w:tc>
          <w:tcPr>
            <w:tcW w:w="901" w:type="pct"/>
            <w:tcBorders>
              <w:top w:val="single" w:color="auto" w:sz="4" w:space="0"/>
              <w:left w:val="single" w:color="auto" w:sz="4" w:space="0"/>
              <w:bottom w:val="single" w:color="auto" w:sz="4" w:space="0"/>
              <w:right w:val="single" w:color="auto" w:sz="4" w:space="0"/>
              <w:tl2br w:val="nil"/>
              <w:tr2bl w:val="nil"/>
            </w:tcBorders>
            <w:vAlign w:val="center"/>
          </w:tcPr>
          <w:p w14:paraId="69FC8685">
            <w:pPr>
              <w:pStyle w:val="84"/>
              <w:rPr>
                <w:color w:val="auto"/>
              </w:rPr>
            </w:pPr>
            <w:r>
              <w:rPr>
                <w:rFonts w:hint="eastAsia"/>
                <w:color w:val="auto"/>
              </w:rPr>
              <w:t>三级</w:t>
            </w:r>
          </w:p>
        </w:tc>
      </w:tr>
    </w:tbl>
    <w:p w14:paraId="770669DC">
      <w:pPr>
        <w:pStyle w:val="3"/>
        <w:rPr>
          <w:color w:val="auto"/>
        </w:rPr>
      </w:pPr>
      <w:r>
        <w:rPr>
          <w:rFonts w:hint="eastAsia"/>
          <w:color w:val="auto"/>
        </w:rPr>
        <w:t>2</w:t>
      </w:r>
      <w:r>
        <w:rPr>
          <w:color w:val="auto"/>
        </w:rPr>
        <w:t xml:space="preserve">.5 </w:t>
      </w:r>
      <w:r>
        <w:rPr>
          <w:rFonts w:hint="eastAsia"/>
          <w:color w:val="auto"/>
        </w:rPr>
        <w:t>评价范围</w:t>
      </w:r>
      <w:bookmarkEnd w:id="47"/>
      <w:bookmarkEnd w:id="48"/>
      <w:bookmarkEnd w:id="49"/>
    </w:p>
    <w:p w14:paraId="4C18158E">
      <w:pPr>
        <w:pStyle w:val="51"/>
        <w:rPr>
          <w:color w:val="auto"/>
        </w:rPr>
      </w:pPr>
      <w:r>
        <w:rPr>
          <w:rFonts w:hint="eastAsia"/>
          <w:color w:val="auto"/>
        </w:rPr>
        <w:t>电磁环境影响评价范围见表</w:t>
      </w:r>
      <w:r>
        <w:rPr>
          <w:color w:val="auto"/>
        </w:rPr>
        <w:t>2-3</w:t>
      </w:r>
      <w:r>
        <w:rPr>
          <w:rFonts w:hint="eastAsia"/>
          <w:color w:val="auto"/>
        </w:rPr>
        <w:t>。</w:t>
      </w:r>
    </w:p>
    <w:p w14:paraId="52FFD382">
      <w:pPr>
        <w:pStyle w:val="82"/>
      </w:pPr>
      <w:r>
        <w:rPr>
          <w:rFonts w:hint="eastAsia"/>
        </w:rPr>
        <w:t>表</w:t>
      </w:r>
      <w:r>
        <w:t xml:space="preserve">2-3  </w:t>
      </w:r>
      <w:r>
        <w:rPr>
          <w:rFonts w:hint="eastAsia"/>
        </w:rPr>
        <w:t>电磁环境影响评价范围</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7"/>
        <w:gridCol w:w="2387"/>
        <w:gridCol w:w="4518"/>
      </w:tblGrid>
      <w:tr w14:paraId="6DBBB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4" w:type="pct"/>
            <w:tcBorders>
              <w:top w:val="single" w:color="auto" w:sz="4" w:space="0"/>
              <w:left w:val="single" w:color="auto" w:sz="4" w:space="0"/>
              <w:bottom w:val="single" w:color="auto" w:sz="4" w:space="0"/>
              <w:right w:val="single" w:color="auto" w:sz="4" w:space="0"/>
              <w:tl2br w:val="nil"/>
              <w:tr2bl w:val="nil"/>
            </w:tcBorders>
            <w:vAlign w:val="center"/>
          </w:tcPr>
          <w:p w14:paraId="3B6203C9">
            <w:pPr>
              <w:pStyle w:val="84"/>
              <w:rPr>
                <w:color w:val="auto"/>
              </w:rPr>
            </w:pPr>
            <w:r>
              <w:rPr>
                <w:rFonts w:hint="eastAsia"/>
                <w:color w:val="auto"/>
              </w:rPr>
              <w:t>评价对象</w:t>
            </w:r>
          </w:p>
        </w:tc>
        <w:tc>
          <w:tcPr>
            <w:tcW w:w="1291" w:type="pct"/>
            <w:tcBorders>
              <w:top w:val="single" w:color="auto" w:sz="4" w:space="0"/>
              <w:left w:val="single" w:color="auto" w:sz="4" w:space="0"/>
              <w:bottom w:val="single" w:color="auto" w:sz="4" w:space="0"/>
              <w:right w:val="single" w:color="auto" w:sz="4" w:space="0"/>
              <w:tl2br w:val="nil"/>
              <w:tr2bl w:val="nil"/>
            </w:tcBorders>
            <w:vAlign w:val="center"/>
          </w:tcPr>
          <w:p w14:paraId="3A37FC87">
            <w:pPr>
              <w:pStyle w:val="84"/>
              <w:rPr>
                <w:color w:val="auto"/>
              </w:rPr>
            </w:pPr>
            <w:r>
              <w:rPr>
                <w:rFonts w:hint="eastAsia"/>
                <w:color w:val="auto"/>
              </w:rPr>
              <w:t>评价因子</w:t>
            </w:r>
          </w:p>
        </w:tc>
        <w:tc>
          <w:tcPr>
            <w:tcW w:w="2443" w:type="pct"/>
            <w:tcBorders>
              <w:top w:val="single" w:color="auto" w:sz="4" w:space="0"/>
              <w:left w:val="single" w:color="auto" w:sz="4" w:space="0"/>
              <w:bottom w:val="single" w:color="auto" w:sz="4" w:space="0"/>
              <w:right w:val="single" w:color="auto" w:sz="4" w:space="0"/>
              <w:tl2br w:val="nil"/>
              <w:tr2bl w:val="nil"/>
            </w:tcBorders>
            <w:vAlign w:val="center"/>
          </w:tcPr>
          <w:p w14:paraId="10DF9DF7">
            <w:pPr>
              <w:pStyle w:val="84"/>
              <w:rPr>
                <w:color w:val="auto"/>
              </w:rPr>
            </w:pPr>
            <w:r>
              <w:rPr>
                <w:rFonts w:hint="eastAsia"/>
                <w:color w:val="auto"/>
              </w:rPr>
              <w:t>评价范围</w:t>
            </w:r>
          </w:p>
        </w:tc>
      </w:tr>
      <w:tr w14:paraId="471E8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4" w:type="pct"/>
            <w:tcBorders>
              <w:top w:val="single" w:color="auto" w:sz="4" w:space="0"/>
              <w:left w:val="single" w:color="auto" w:sz="4" w:space="0"/>
              <w:bottom w:val="single" w:color="auto" w:sz="4" w:space="0"/>
              <w:right w:val="single" w:color="auto" w:sz="4" w:space="0"/>
              <w:tl2br w:val="nil"/>
              <w:tr2bl w:val="nil"/>
            </w:tcBorders>
            <w:vAlign w:val="center"/>
          </w:tcPr>
          <w:p w14:paraId="55149695">
            <w:pPr>
              <w:pStyle w:val="84"/>
              <w:rPr>
                <w:color w:val="auto"/>
              </w:rPr>
            </w:pPr>
            <w:r>
              <w:rPr>
                <w:rFonts w:hint="eastAsia"/>
                <w:color w:val="auto"/>
              </w:rPr>
              <w:t>220kV升压站</w:t>
            </w:r>
          </w:p>
        </w:tc>
        <w:tc>
          <w:tcPr>
            <w:tcW w:w="1291" w:type="pct"/>
            <w:tcBorders>
              <w:top w:val="single" w:color="auto" w:sz="4" w:space="0"/>
              <w:left w:val="single" w:color="auto" w:sz="4" w:space="0"/>
              <w:bottom w:val="single" w:color="auto" w:sz="4" w:space="0"/>
              <w:right w:val="single" w:color="auto" w:sz="4" w:space="0"/>
              <w:tl2br w:val="nil"/>
              <w:tr2bl w:val="nil"/>
            </w:tcBorders>
            <w:vAlign w:val="center"/>
          </w:tcPr>
          <w:p w14:paraId="11E1B842">
            <w:pPr>
              <w:pStyle w:val="84"/>
              <w:rPr>
                <w:color w:val="auto"/>
              </w:rPr>
            </w:pPr>
            <w:r>
              <w:rPr>
                <w:rFonts w:hint="eastAsia"/>
                <w:color w:val="auto"/>
              </w:rPr>
              <w:t>工频电场、工频磁场</w:t>
            </w:r>
          </w:p>
        </w:tc>
        <w:tc>
          <w:tcPr>
            <w:tcW w:w="2443" w:type="pct"/>
            <w:tcBorders>
              <w:top w:val="single" w:color="auto" w:sz="4" w:space="0"/>
              <w:left w:val="single" w:color="auto" w:sz="4" w:space="0"/>
              <w:bottom w:val="single" w:color="auto" w:sz="4" w:space="0"/>
              <w:right w:val="single" w:color="auto" w:sz="4" w:space="0"/>
              <w:tl2br w:val="nil"/>
              <w:tr2bl w:val="nil"/>
            </w:tcBorders>
            <w:vAlign w:val="center"/>
          </w:tcPr>
          <w:p w14:paraId="1B66858F">
            <w:pPr>
              <w:pStyle w:val="84"/>
              <w:rPr>
                <w:color w:val="auto"/>
              </w:rPr>
            </w:pPr>
            <w:r>
              <w:rPr>
                <w:rFonts w:hint="eastAsia"/>
                <w:color w:val="auto"/>
              </w:rPr>
              <w:t>站界外4</w:t>
            </w:r>
            <w:r>
              <w:rPr>
                <w:color w:val="auto"/>
              </w:rPr>
              <w:t>0</w:t>
            </w:r>
            <w:r>
              <w:rPr>
                <w:rFonts w:hint="eastAsia"/>
                <w:color w:val="auto"/>
              </w:rPr>
              <w:t>范围内区域</w:t>
            </w:r>
          </w:p>
        </w:tc>
      </w:tr>
      <w:tr w14:paraId="17BC4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4" w:type="pct"/>
            <w:tcBorders>
              <w:top w:val="single" w:color="auto" w:sz="4" w:space="0"/>
              <w:left w:val="single" w:color="auto" w:sz="4" w:space="0"/>
              <w:bottom w:val="single" w:color="auto" w:sz="4" w:space="0"/>
              <w:right w:val="single" w:color="auto" w:sz="4" w:space="0"/>
              <w:tl2br w:val="nil"/>
              <w:tr2bl w:val="nil"/>
            </w:tcBorders>
            <w:vAlign w:val="center"/>
          </w:tcPr>
          <w:p w14:paraId="783AB8B2">
            <w:pPr>
              <w:pStyle w:val="84"/>
              <w:rPr>
                <w:color w:val="auto"/>
              </w:rPr>
            </w:pPr>
            <w:r>
              <w:rPr>
                <w:rFonts w:hint="eastAsia"/>
                <w:color w:val="auto"/>
              </w:rPr>
              <w:t>220kV架空线路</w:t>
            </w:r>
          </w:p>
        </w:tc>
        <w:tc>
          <w:tcPr>
            <w:tcW w:w="1291" w:type="pct"/>
            <w:tcBorders>
              <w:top w:val="single" w:color="auto" w:sz="4" w:space="0"/>
              <w:left w:val="single" w:color="auto" w:sz="4" w:space="0"/>
              <w:bottom w:val="single" w:color="auto" w:sz="4" w:space="0"/>
              <w:right w:val="single" w:color="auto" w:sz="4" w:space="0"/>
              <w:tl2br w:val="nil"/>
              <w:tr2bl w:val="nil"/>
            </w:tcBorders>
            <w:vAlign w:val="center"/>
          </w:tcPr>
          <w:p w14:paraId="7FCC74AE">
            <w:pPr>
              <w:pStyle w:val="84"/>
              <w:rPr>
                <w:color w:val="auto"/>
              </w:rPr>
            </w:pPr>
            <w:r>
              <w:rPr>
                <w:rFonts w:hint="eastAsia"/>
                <w:color w:val="auto"/>
              </w:rPr>
              <w:t>工频电场、工频磁场</w:t>
            </w:r>
          </w:p>
        </w:tc>
        <w:tc>
          <w:tcPr>
            <w:tcW w:w="2443" w:type="pct"/>
            <w:tcBorders>
              <w:top w:val="single" w:color="auto" w:sz="4" w:space="0"/>
              <w:left w:val="single" w:color="auto" w:sz="4" w:space="0"/>
              <w:bottom w:val="single" w:color="auto" w:sz="4" w:space="0"/>
              <w:right w:val="single" w:color="auto" w:sz="4" w:space="0"/>
              <w:tl2br w:val="nil"/>
              <w:tr2bl w:val="nil"/>
            </w:tcBorders>
            <w:vAlign w:val="center"/>
          </w:tcPr>
          <w:p w14:paraId="61A52654">
            <w:pPr>
              <w:pStyle w:val="84"/>
              <w:rPr>
                <w:color w:val="auto"/>
              </w:rPr>
            </w:pPr>
            <w:r>
              <w:rPr>
                <w:rFonts w:hint="eastAsia"/>
                <w:color w:val="auto"/>
              </w:rPr>
              <w:t>边导线地面投影外两侧各4</w:t>
            </w:r>
            <w:r>
              <w:rPr>
                <w:color w:val="auto"/>
              </w:rPr>
              <w:t>0</w:t>
            </w:r>
            <w:r>
              <w:rPr>
                <w:rFonts w:hint="eastAsia"/>
                <w:color w:val="auto"/>
              </w:rPr>
              <w:t>m范围的带状区域</w:t>
            </w:r>
          </w:p>
        </w:tc>
      </w:tr>
      <w:tr w14:paraId="379B5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4" w:type="pct"/>
            <w:tcBorders>
              <w:top w:val="single" w:color="auto" w:sz="4" w:space="0"/>
              <w:left w:val="single" w:color="auto" w:sz="4" w:space="0"/>
              <w:bottom w:val="single" w:color="auto" w:sz="4" w:space="0"/>
              <w:right w:val="single" w:color="auto" w:sz="4" w:space="0"/>
              <w:tl2br w:val="nil"/>
              <w:tr2bl w:val="nil"/>
            </w:tcBorders>
            <w:vAlign w:val="center"/>
          </w:tcPr>
          <w:p w14:paraId="2DD8E1E7">
            <w:pPr>
              <w:pStyle w:val="84"/>
              <w:rPr>
                <w:color w:val="auto"/>
              </w:rPr>
            </w:pPr>
            <w:r>
              <w:rPr>
                <w:rFonts w:hint="eastAsia"/>
                <w:color w:val="auto"/>
              </w:rPr>
              <w:t>220kV地下电缆</w:t>
            </w:r>
          </w:p>
        </w:tc>
        <w:tc>
          <w:tcPr>
            <w:tcW w:w="1291" w:type="pct"/>
            <w:tcBorders>
              <w:top w:val="single" w:color="auto" w:sz="4" w:space="0"/>
              <w:left w:val="single" w:color="auto" w:sz="4" w:space="0"/>
              <w:bottom w:val="single" w:color="auto" w:sz="4" w:space="0"/>
              <w:right w:val="single" w:color="auto" w:sz="4" w:space="0"/>
              <w:tl2br w:val="nil"/>
              <w:tr2bl w:val="nil"/>
            </w:tcBorders>
            <w:vAlign w:val="center"/>
          </w:tcPr>
          <w:p w14:paraId="745F1C54">
            <w:pPr>
              <w:pStyle w:val="84"/>
              <w:rPr>
                <w:color w:val="auto"/>
              </w:rPr>
            </w:pPr>
            <w:r>
              <w:rPr>
                <w:rFonts w:hint="eastAsia"/>
                <w:color w:val="auto"/>
              </w:rPr>
              <w:t>工频电场、工频磁场</w:t>
            </w:r>
          </w:p>
        </w:tc>
        <w:tc>
          <w:tcPr>
            <w:tcW w:w="2443" w:type="pct"/>
            <w:tcBorders>
              <w:top w:val="single" w:color="auto" w:sz="4" w:space="0"/>
              <w:left w:val="single" w:color="auto" w:sz="4" w:space="0"/>
              <w:bottom w:val="single" w:color="auto" w:sz="4" w:space="0"/>
              <w:right w:val="single" w:color="auto" w:sz="4" w:space="0"/>
              <w:tl2br w:val="nil"/>
              <w:tr2bl w:val="nil"/>
            </w:tcBorders>
            <w:vAlign w:val="center"/>
          </w:tcPr>
          <w:p w14:paraId="7FCEB24E">
            <w:pPr>
              <w:pStyle w:val="84"/>
              <w:rPr>
                <w:color w:val="auto"/>
              </w:rPr>
            </w:pPr>
            <w:r>
              <w:rPr>
                <w:rFonts w:hint="eastAsia"/>
                <w:color w:val="auto"/>
              </w:rPr>
              <w:t>管廊两侧边缘各外延5m（水平距离）</w:t>
            </w:r>
          </w:p>
        </w:tc>
      </w:tr>
    </w:tbl>
    <w:p w14:paraId="5DF8B15C">
      <w:pPr>
        <w:pStyle w:val="3"/>
        <w:rPr>
          <w:color w:val="auto"/>
        </w:rPr>
      </w:pPr>
      <w:bookmarkStart w:id="50" w:name="_Toc85662703"/>
      <w:bookmarkStart w:id="51" w:name="_Toc85662755"/>
      <w:bookmarkStart w:id="52" w:name="_Toc85633921"/>
      <w:r>
        <w:rPr>
          <w:rFonts w:hint="eastAsia"/>
          <w:color w:val="auto"/>
        </w:rPr>
        <w:t>2</w:t>
      </w:r>
      <w:r>
        <w:rPr>
          <w:color w:val="auto"/>
        </w:rPr>
        <w:t xml:space="preserve">.6 </w:t>
      </w:r>
      <w:r>
        <w:rPr>
          <w:rFonts w:hint="eastAsia"/>
          <w:color w:val="auto"/>
        </w:rPr>
        <w:t>评价重点</w:t>
      </w:r>
      <w:bookmarkEnd w:id="50"/>
      <w:bookmarkEnd w:id="51"/>
      <w:bookmarkEnd w:id="52"/>
    </w:p>
    <w:p w14:paraId="28B90CA9">
      <w:pPr>
        <w:pStyle w:val="51"/>
        <w:rPr>
          <w:color w:val="auto"/>
        </w:rPr>
      </w:pPr>
      <w:r>
        <w:rPr>
          <w:rFonts w:hint="eastAsia"/>
          <w:color w:val="auto"/>
        </w:rPr>
        <w:t>升压站及送出线路工程预测评价的重点是运行期产生的工频电场、工频磁场对周围的环境影响。</w:t>
      </w:r>
    </w:p>
    <w:p w14:paraId="5E277AFF">
      <w:pPr>
        <w:pStyle w:val="3"/>
        <w:rPr>
          <w:color w:val="auto"/>
        </w:rPr>
      </w:pPr>
      <w:r>
        <w:rPr>
          <w:rFonts w:hint="eastAsia"/>
          <w:color w:val="auto"/>
        </w:rPr>
        <w:t>2.7 电磁环境保护目标</w:t>
      </w:r>
    </w:p>
    <w:p w14:paraId="2BA66D0B">
      <w:pPr>
        <w:pStyle w:val="51"/>
        <w:rPr>
          <w:color w:val="auto"/>
        </w:rPr>
      </w:pPr>
      <w:r>
        <w:rPr>
          <w:color w:val="auto"/>
        </w:rPr>
        <w:t>依据《环境影响评价技术导则</w:t>
      </w:r>
      <w:r>
        <w:rPr>
          <w:rFonts w:hint="eastAsia"/>
          <w:color w:val="auto"/>
        </w:rPr>
        <w:t xml:space="preserve"> </w:t>
      </w:r>
      <w:r>
        <w:rPr>
          <w:color w:val="auto"/>
        </w:rPr>
        <w:t xml:space="preserve"> 输变电》（HJ24-2020），电磁环境敏感目标为评价范围内的住宅、学校、医院、办公楼、工厂等有公众居住、工作或学习的建筑物，主要保护对象为人群</w:t>
      </w:r>
      <w:r>
        <w:rPr>
          <w:rFonts w:hint="eastAsia"/>
          <w:color w:val="auto"/>
        </w:rPr>
        <w:t>，本项目地下电缆电磁环境影响评价范围内不存在电磁环境保护目标，本项目升压站及输电线路电磁环境保护目标图见附图3</w:t>
      </w:r>
      <w:r>
        <w:rPr>
          <w:color w:val="auto"/>
        </w:rPr>
        <w:t>。</w:t>
      </w:r>
    </w:p>
    <w:p w14:paraId="2AB201C2">
      <w:pPr>
        <w:pStyle w:val="82"/>
      </w:pPr>
      <w:r>
        <w:t>表</w:t>
      </w:r>
      <w:r>
        <w:rPr>
          <w:rFonts w:hint="eastAsia"/>
        </w:rPr>
        <w:t>2-4</w:t>
      </w:r>
      <w:r>
        <w:t xml:space="preserve">  项目主要</w:t>
      </w:r>
      <w:r>
        <w:rPr>
          <w:rFonts w:hint="eastAsia"/>
        </w:rPr>
        <w:t>电磁</w:t>
      </w:r>
      <w:r>
        <w:t>环境保护目标一览表</w:t>
      </w:r>
    </w:p>
    <w:tbl>
      <w:tblPr>
        <w:tblStyle w:val="25"/>
        <w:tblW w:w="4996" w:type="pct"/>
        <w:jc w:val="center"/>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718"/>
        <w:gridCol w:w="646"/>
        <w:gridCol w:w="2242"/>
        <w:gridCol w:w="1384"/>
        <w:gridCol w:w="981"/>
        <w:gridCol w:w="1320"/>
        <w:gridCol w:w="917"/>
        <w:gridCol w:w="1027"/>
      </w:tblGrid>
      <w:tr w14:paraId="7C8B86B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614" w:hRule="atLeast"/>
          <w:jc w:val="center"/>
        </w:trPr>
        <w:tc>
          <w:tcPr>
            <w:tcW w:w="388" w:type="pct"/>
            <w:vAlign w:val="center"/>
          </w:tcPr>
          <w:p w14:paraId="09FA4340">
            <w:pPr>
              <w:pStyle w:val="55"/>
            </w:pPr>
            <w:r>
              <w:t>工程名称</w:t>
            </w:r>
          </w:p>
        </w:tc>
        <w:tc>
          <w:tcPr>
            <w:tcW w:w="349" w:type="pct"/>
            <w:vAlign w:val="center"/>
          </w:tcPr>
          <w:p w14:paraId="60F2A492">
            <w:pPr>
              <w:pStyle w:val="55"/>
            </w:pPr>
            <w:r>
              <w:t>序号</w:t>
            </w:r>
          </w:p>
        </w:tc>
        <w:tc>
          <w:tcPr>
            <w:tcW w:w="1212" w:type="pct"/>
            <w:vAlign w:val="center"/>
          </w:tcPr>
          <w:p w14:paraId="57A06954">
            <w:pPr>
              <w:pStyle w:val="55"/>
            </w:pPr>
            <w:r>
              <w:rPr>
                <w:rFonts w:hint="eastAsia"/>
              </w:rPr>
              <w:t>电磁</w:t>
            </w:r>
            <w:r>
              <w:t>环境保护目标名称</w:t>
            </w:r>
          </w:p>
        </w:tc>
        <w:tc>
          <w:tcPr>
            <w:tcW w:w="749" w:type="pct"/>
            <w:vAlign w:val="center"/>
          </w:tcPr>
          <w:p w14:paraId="3FF591C2">
            <w:pPr>
              <w:pStyle w:val="55"/>
            </w:pPr>
            <w:r>
              <w:t>敏感点距离和方位</w:t>
            </w:r>
          </w:p>
        </w:tc>
        <w:tc>
          <w:tcPr>
            <w:tcW w:w="531" w:type="pct"/>
            <w:vAlign w:val="center"/>
          </w:tcPr>
          <w:p w14:paraId="4AE59BF0">
            <w:pPr>
              <w:pStyle w:val="55"/>
            </w:pPr>
            <w:r>
              <w:t>规模</w:t>
            </w:r>
          </w:p>
        </w:tc>
        <w:tc>
          <w:tcPr>
            <w:tcW w:w="715" w:type="pct"/>
            <w:vAlign w:val="center"/>
          </w:tcPr>
          <w:p w14:paraId="659C2592">
            <w:pPr>
              <w:pStyle w:val="55"/>
            </w:pPr>
            <w:r>
              <w:t>房屋</w:t>
            </w:r>
          </w:p>
          <w:p w14:paraId="325A34A5">
            <w:pPr>
              <w:pStyle w:val="55"/>
            </w:pPr>
            <w:r>
              <w:t>类型</w:t>
            </w:r>
          </w:p>
        </w:tc>
        <w:tc>
          <w:tcPr>
            <w:tcW w:w="497" w:type="pct"/>
            <w:vAlign w:val="center"/>
          </w:tcPr>
          <w:p w14:paraId="49A27947">
            <w:pPr>
              <w:pStyle w:val="55"/>
            </w:pPr>
            <w:r>
              <w:t>导线对地最低高度</w:t>
            </w:r>
          </w:p>
        </w:tc>
        <w:tc>
          <w:tcPr>
            <w:tcW w:w="556" w:type="pct"/>
            <w:vAlign w:val="center"/>
          </w:tcPr>
          <w:p w14:paraId="791382BD">
            <w:pPr>
              <w:pStyle w:val="55"/>
            </w:pPr>
            <w:r>
              <w:t>环境质量要求</w:t>
            </w:r>
          </w:p>
        </w:tc>
      </w:tr>
      <w:tr w14:paraId="2929685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68" w:hRule="atLeast"/>
          <w:jc w:val="center"/>
        </w:trPr>
        <w:tc>
          <w:tcPr>
            <w:tcW w:w="388" w:type="pct"/>
            <w:vMerge w:val="restart"/>
            <w:vAlign w:val="center"/>
          </w:tcPr>
          <w:p w14:paraId="0FBC16A4">
            <w:pPr>
              <w:pStyle w:val="55"/>
            </w:pPr>
            <w:r>
              <w:rPr>
                <w:rFonts w:hint="eastAsia"/>
              </w:rPr>
              <w:t>升压站</w:t>
            </w:r>
          </w:p>
        </w:tc>
        <w:tc>
          <w:tcPr>
            <w:tcW w:w="349" w:type="pct"/>
            <w:tcBorders>
              <w:bottom w:val="single" w:color="auto" w:sz="4" w:space="0"/>
            </w:tcBorders>
            <w:vAlign w:val="center"/>
          </w:tcPr>
          <w:p w14:paraId="3DBD444E">
            <w:pPr>
              <w:pStyle w:val="55"/>
            </w:pPr>
            <w:r>
              <w:t>1</w:t>
            </w:r>
          </w:p>
        </w:tc>
        <w:tc>
          <w:tcPr>
            <w:tcW w:w="1212" w:type="pct"/>
            <w:tcBorders>
              <w:bottom w:val="single" w:color="auto" w:sz="4" w:space="0"/>
            </w:tcBorders>
            <w:vAlign w:val="center"/>
          </w:tcPr>
          <w:p w14:paraId="20F23D0E">
            <w:pPr>
              <w:pStyle w:val="55"/>
            </w:pPr>
            <w:r>
              <w:t>桂集镇水质净化站</w:t>
            </w:r>
          </w:p>
        </w:tc>
        <w:tc>
          <w:tcPr>
            <w:tcW w:w="749" w:type="pct"/>
            <w:tcBorders>
              <w:bottom w:val="single" w:color="auto" w:sz="4" w:space="0"/>
            </w:tcBorders>
            <w:vAlign w:val="center"/>
          </w:tcPr>
          <w:p w14:paraId="081CF7F7">
            <w:pPr>
              <w:pStyle w:val="55"/>
            </w:pPr>
            <w:r>
              <w:rPr>
                <w:rFonts w:hint="eastAsia"/>
              </w:rPr>
              <w:t>升压站西北侧8</w:t>
            </w:r>
            <w:r>
              <w:t>m</w:t>
            </w:r>
          </w:p>
        </w:tc>
        <w:tc>
          <w:tcPr>
            <w:tcW w:w="531" w:type="pct"/>
            <w:tcBorders>
              <w:bottom w:val="single" w:color="auto" w:sz="4" w:space="0"/>
            </w:tcBorders>
            <w:vAlign w:val="center"/>
          </w:tcPr>
          <w:p w14:paraId="5A6162D8">
            <w:pPr>
              <w:pStyle w:val="55"/>
            </w:pPr>
            <w:r>
              <w:t>1栋/办公</w:t>
            </w:r>
          </w:p>
        </w:tc>
        <w:tc>
          <w:tcPr>
            <w:tcW w:w="715" w:type="pct"/>
            <w:tcBorders>
              <w:bottom w:val="single" w:color="auto" w:sz="4" w:space="0"/>
            </w:tcBorders>
            <w:vAlign w:val="center"/>
          </w:tcPr>
          <w:p w14:paraId="6519E770">
            <w:pPr>
              <w:pStyle w:val="55"/>
            </w:pPr>
            <w:r>
              <w:rPr>
                <w:rFonts w:hint="eastAsia"/>
              </w:rPr>
              <w:t>1</w:t>
            </w:r>
            <w:r>
              <w:t>层</w:t>
            </w:r>
            <w:r>
              <w:rPr>
                <w:rFonts w:hint="eastAsia"/>
              </w:rPr>
              <w:t>坡顶</w:t>
            </w:r>
            <w:r>
              <w:t>，高约</w:t>
            </w:r>
            <w:r>
              <w:rPr>
                <w:rFonts w:hint="eastAsia"/>
              </w:rPr>
              <w:t>3.5</w:t>
            </w:r>
            <w:r>
              <w:t>m</w:t>
            </w:r>
          </w:p>
        </w:tc>
        <w:tc>
          <w:tcPr>
            <w:tcW w:w="497" w:type="pct"/>
            <w:tcBorders>
              <w:bottom w:val="single" w:color="auto" w:sz="4" w:space="0"/>
            </w:tcBorders>
            <w:vAlign w:val="center"/>
          </w:tcPr>
          <w:p w14:paraId="2DD08DE7">
            <w:pPr>
              <w:pStyle w:val="55"/>
            </w:pPr>
            <w:r>
              <w:rPr>
                <w:rFonts w:hint="eastAsia"/>
              </w:rPr>
              <w:t>/</w:t>
            </w:r>
          </w:p>
        </w:tc>
        <w:tc>
          <w:tcPr>
            <w:tcW w:w="556" w:type="pct"/>
            <w:vMerge w:val="restart"/>
            <w:vAlign w:val="center"/>
          </w:tcPr>
          <w:p w14:paraId="34E0A512">
            <w:pPr>
              <w:pStyle w:val="55"/>
            </w:pPr>
            <w:r>
              <w:t>电磁环境：电场强度不超过4kV/m、磁感应强度不超过100μT</w:t>
            </w:r>
          </w:p>
        </w:tc>
      </w:tr>
      <w:tr w14:paraId="1279B37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236" w:hRule="atLeast"/>
          <w:jc w:val="center"/>
        </w:trPr>
        <w:tc>
          <w:tcPr>
            <w:tcW w:w="388" w:type="pct"/>
            <w:vMerge w:val="continue"/>
            <w:vAlign w:val="center"/>
          </w:tcPr>
          <w:p w14:paraId="34940840">
            <w:pPr>
              <w:pStyle w:val="55"/>
            </w:pPr>
          </w:p>
        </w:tc>
        <w:tc>
          <w:tcPr>
            <w:tcW w:w="349" w:type="pct"/>
            <w:tcBorders>
              <w:top w:val="single" w:color="auto" w:sz="4" w:space="0"/>
              <w:bottom w:val="single" w:color="auto" w:sz="4" w:space="0"/>
            </w:tcBorders>
            <w:vAlign w:val="center"/>
          </w:tcPr>
          <w:p w14:paraId="2E0D5FC2">
            <w:pPr>
              <w:pStyle w:val="55"/>
            </w:pPr>
            <w:r>
              <w:t>2</w:t>
            </w:r>
          </w:p>
        </w:tc>
        <w:tc>
          <w:tcPr>
            <w:tcW w:w="1212" w:type="pct"/>
            <w:tcBorders>
              <w:top w:val="single" w:color="auto" w:sz="4" w:space="0"/>
              <w:bottom w:val="single" w:color="auto" w:sz="4" w:space="0"/>
            </w:tcBorders>
            <w:vAlign w:val="center"/>
          </w:tcPr>
          <w:p w14:paraId="521F6D84">
            <w:pPr>
              <w:pStyle w:val="55"/>
            </w:pPr>
            <w:r>
              <w:t>升压站位置东侧活动板房</w:t>
            </w:r>
          </w:p>
        </w:tc>
        <w:tc>
          <w:tcPr>
            <w:tcW w:w="749" w:type="pct"/>
            <w:tcBorders>
              <w:top w:val="single" w:color="auto" w:sz="4" w:space="0"/>
              <w:bottom w:val="single" w:color="auto" w:sz="4" w:space="0"/>
            </w:tcBorders>
            <w:vAlign w:val="center"/>
          </w:tcPr>
          <w:p w14:paraId="1AB94B34">
            <w:pPr>
              <w:pStyle w:val="55"/>
            </w:pPr>
            <w:r>
              <w:t>升压站东侧</w:t>
            </w:r>
            <w:r>
              <w:rPr>
                <w:rFonts w:hint="eastAsia"/>
              </w:rPr>
              <w:t>8</w:t>
            </w:r>
            <w:r>
              <w:t>m</w:t>
            </w:r>
          </w:p>
        </w:tc>
        <w:tc>
          <w:tcPr>
            <w:tcW w:w="531" w:type="pct"/>
            <w:tcBorders>
              <w:top w:val="single" w:color="auto" w:sz="4" w:space="0"/>
              <w:bottom w:val="single" w:color="auto" w:sz="4" w:space="0"/>
            </w:tcBorders>
            <w:vAlign w:val="center"/>
          </w:tcPr>
          <w:p w14:paraId="5186D318">
            <w:pPr>
              <w:pStyle w:val="55"/>
            </w:pPr>
            <w:r>
              <w:t>1栋/</w:t>
            </w:r>
            <w:r>
              <w:rPr>
                <w:rFonts w:hint="eastAsia"/>
              </w:rPr>
              <w:t>临时活动</w:t>
            </w:r>
          </w:p>
        </w:tc>
        <w:tc>
          <w:tcPr>
            <w:tcW w:w="715" w:type="pct"/>
            <w:tcBorders>
              <w:top w:val="single" w:color="auto" w:sz="4" w:space="0"/>
              <w:bottom w:val="single" w:color="auto" w:sz="4" w:space="0"/>
            </w:tcBorders>
            <w:vAlign w:val="center"/>
          </w:tcPr>
          <w:p w14:paraId="3C5D2B51">
            <w:pPr>
              <w:pStyle w:val="55"/>
            </w:pPr>
            <w:r>
              <w:t>1层平顶，高约3m</w:t>
            </w:r>
          </w:p>
        </w:tc>
        <w:tc>
          <w:tcPr>
            <w:tcW w:w="497" w:type="pct"/>
            <w:tcBorders>
              <w:top w:val="single" w:color="auto" w:sz="4" w:space="0"/>
              <w:bottom w:val="single" w:color="auto" w:sz="4" w:space="0"/>
            </w:tcBorders>
            <w:vAlign w:val="center"/>
          </w:tcPr>
          <w:p w14:paraId="5D5395F8">
            <w:pPr>
              <w:pStyle w:val="55"/>
            </w:pPr>
            <w:r>
              <w:rPr>
                <w:rFonts w:hint="eastAsia"/>
              </w:rPr>
              <w:t>/</w:t>
            </w:r>
          </w:p>
        </w:tc>
        <w:tc>
          <w:tcPr>
            <w:tcW w:w="556" w:type="pct"/>
            <w:vMerge w:val="continue"/>
            <w:vAlign w:val="center"/>
          </w:tcPr>
          <w:p w14:paraId="6AAD393C">
            <w:pPr>
              <w:pStyle w:val="55"/>
            </w:pPr>
          </w:p>
        </w:tc>
      </w:tr>
      <w:tr w14:paraId="3DF9868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228" w:hRule="atLeast"/>
          <w:jc w:val="center"/>
        </w:trPr>
        <w:tc>
          <w:tcPr>
            <w:tcW w:w="388" w:type="pct"/>
            <w:vMerge w:val="continue"/>
            <w:vAlign w:val="center"/>
          </w:tcPr>
          <w:p w14:paraId="61E617E5">
            <w:pPr>
              <w:pStyle w:val="55"/>
            </w:pPr>
          </w:p>
        </w:tc>
        <w:tc>
          <w:tcPr>
            <w:tcW w:w="349" w:type="pct"/>
            <w:tcBorders>
              <w:top w:val="single" w:color="auto" w:sz="4" w:space="0"/>
            </w:tcBorders>
            <w:vAlign w:val="center"/>
          </w:tcPr>
          <w:p w14:paraId="532F9338">
            <w:pPr>
              <w:pStyle w:val="55"/>
            </w:pPr>
            <w:r>
              <w:t>3</w:t>
            </w:r>
          </w:p>
        </w:tc>
        <w:tc>
          <w:tcPr>
            <w:tcW w:w="1212" w:type="pct"/>
            <w:tcBorders>
              <w:top w:val="single" w:color="auto" w:sz="4" w:space="0"/>
            </w:tcBorders>
            <w:vAlign w:val="center"/>
          </w:tcPr>
          <w:p w14:paraId="632F9BD1">
            <w:pPr>
              <w:pStyle w:val="55"/>
            </w:pPr>
            <w:r>
              <w:t>升压站位置东南侧活动板房</w:t>
            </w:r>
          </w:p>
        </w:tc>
        <w:tc>
          <w:tcPr>
            <w:tcW w:w="749" w:type="pct"/>
            <w:tcBorders>
              <w:top w:val="single" w:color="auto" w:sz="4" w:space="0"/>
            </w:tcBorders>
            <w:vAlign w:val="center"/>
          </w:tcPr>
          <w:p w14:paraId="34797DEA">
            <w:pPr>
              <w:pStyle w:val="55"/>
            </w:pPr>
            <w:r>
              <w:rPr>
                <w:rFonts w:hint="eastAsia"/>
              </w:rPr>
              <w:t>升压站东南侧5m</w:t>
            </w:r>
          </w:p>
        </w:tc>
        <w:tc>
          <w:tcPr>
            <w:tcW w:w="531" w:type="pct"/>
            <w:tcBorders>
              <w:top w:val="single" w:color="auto" w:sz="4" w:space="0"/>
            </w:tcBorders>
            <w:vAlign w:val="center"/>
          </w:tcPr>
          <w:p w14:paraId="33E03D72">
            <w:pPr>
              <w:pStyle w:val="55"/>
            </w:pPr>
            <w:r>
              <w:t>1栋/</w:t>
            </w:r>
            <w:r>
              <w:rPr>
                <w:rFonts w:hint="eastAsia"/>
              </w:rPr>
              <w:t>临时活动</w:t>
            </w:r>
          </w:p>
        </w:tc>
        <w:tc>
          <w:tcPr>
            <w:tcW w:w="715" w:type="pct"/>
            <w:tcBorders>
              <w:top w:val="single" w:color="auto" w:sz="4" w:space="0"/>
            </w:tcBorders>
            <w:vAlign w:val="center"/>
          </w:tcPr>
          <w:p w14:paraId="3CA2042C">
            <w:pPr>
              <w:pStyle w:val="55"/>
            </w:pPr>
            <w:r>
              <w:t>1层平顶，高约3m</w:t>
            </w:r>
          </w:p>
        </w:tc>
        <w:tc>
          <w:tcPr>
            <w:tcW w:w="497" w:type="pct"/>
            <w:tcBorders>
              <w:top w:val="single" w:color="auto" w:sz="4" w:space="0"/>
            </w:tcBorders>
            <w:vAlign w:val="center"/>
          </w:tcPr>
          <w:p w14:paraId="2E86E9F2">
            <w:pPr>
              <w:pStyle w:val="55"/>
            </w:pPr>
            <w:r>
              <w:rPr>
                <w:rFonts w:hint="eastAsia"/>
              </w:rPr>
              <w:t>/</w:t>
            </w:r>
          </w:p>
        </w:tc>
        <w:tc>
          <w:tcPr>
            <w:tcW w:w="556" w:type="pct"/>
            <w:vMerge w:val="continue"/>
            <w:vAlign w:val="center"/>
          </w:tcPr>
          <w:p w14:paraId="08C9BA37">
            <w:pPr>
              <w:pStyle w:val="55"/>
            </w:pPr>
          </w:p>
        </w:tc>
      </w:tr>
      <w:tr w14:paraId="1FFBBC4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275" w:hRule="atLeast"/>
          <w:jc w:val="center"/>
        </w:trPr>
        <w:tc>
          <w:tcPr>
            <w:tcW w:w="388" w:type="pct"/>
            <w:vMerge w:val="restart"/>
            <w:vAlign w:val="center"/>
          </w:tcPr>
          <w:p w14:paraId="28AACBE0">
            <w:pPr>
              <w:pStyle w:val="55"/>
            </w:pPr>
            <w:r>
              <w:rPr>
                <w:rFonts w:hint="eastAsia"/>
              </w:rPr>
              <w:t>输电线路</w:t>
            </w:r>
          </w:p>
        </w:tc>
        <w:tc>
          <w:tcPr>
            <w:tcW w:w="349" w:type="pct"/>
            <w:vAlign w:val="center"/>
          </w:tcPr>
          <w:p w14:paraId="3B5C1A41">
            <w:pPr>
              <w:pStyle w:val="55"/>
            </w:pPr>
            <w:r>
              <w:rPr>
                <w:rFonts w:hint="eastAsia"/>
              </w:rPr>
              <w:t>4</w:t>
            </w:r>
          </w:p>
        </w:tc>
        <w:tc>
          <w:tcPr>
            <w:tcW w:w="1212" w:type="pct"/>
            <w:vAlign w:val="center"/>
          </w:tcPr>
          <w:p w14:paraId="57680D33">
            <w:pPr>
              <w:pStyle w:val="55"/>
            </w:pPr>
            <w:r>
              <w:rPr>
                <w:rFonts w:hint="eastAsia"/>
              </w:rPr>
              <w:t>桂集村西龚村西北园组1户</w:t>
            </w:r>
          </w:p>
        </w:tc>
        <w:tc>
          <w:tcPr>
            <w:tcW w:w="749" w:type="pct"/>
            <w:vAlign w:val="center"/>
          </w:tcPr>
          <w:p w14:paraId="4DCF3258">
            <w:pPr>
              <w:pStyle w:val="55"/>
            </w:pPr>
            <w:r>
              <w:t>线路边导线</w:t>
            </w:r>
            <w:r>
              <w:rPr>
                <w:rFonts w:hint="eastAsia"/>
              </w:rPr>
              <w:t>西南</w:t>
            </w:r>
            <w:r>
              <w:t>侧</w:t>
            </w:r>
            <w:r>
              <w:rPr>
                <w:rFonts w:hint="eastAsia"/>
              </w:rPr>
              <w:t>23</w:t>
            </w:r>
            <w:r>
              <w:t>m</w:t>
            </w:r>
          </w:p>
        </w:tc>
        <w:tc>
          <w:tcPr>
            <w:tcW w:w="531" w:type="pct"/>
            <w:vAlign w:val="center"/>
          </w:tcPr>
          <w:p w14:paraId="20CB4B7D">
            <w:pPr>
              <w:pStyle w:val="55"/>
            </w:pPr>
            <w:r>
              <w:rPr>
                <w:rFonts w:hint="eastAsia"/>
              </w:rPr>
              <w:t>1</w:t>
            </w:r>
            <w:r>
              <w:t>栋/</w:t>
            </w:r>
            <w:r>
              <w:rPr>
                <w:rFonts w:hint="eastAsia"/>
              </w:rPr>
              <w:t>居住</w:t>
            </w:r>
          </w:p>
        </w:tc>
        <w:tc>
          <w:tcPr>
            <w:tcW w:w="715" w:type="pct"/>
            <w:vAlign w:val="center"/>
          </w:tcPr>
          <w:p w14:paraId="321BB501">
            <w:pPr>
              <w:pStyle w:val="55"/>
            </w:pPr>
            <w:r>
              <w:rPr>
                <w:rFonts w:hint="eastAsia"/>
              </w:rPr>
              <w:t>2</w:t>
            </w:r>
            <w:r>
              <w:t>层平顶，高约</w:t>
            </w:r>
            <w:r>
              <w:rPr>
                <w:rFonts w:hint="eastAsia"/>
              </w:rPr>
              <w:t>6</w:t>
            </w:r>
            <w:r>
              <w:t>m</w:t>
            </w:r>
          </w:p>
        </w:tc>
        <w:tc>
          <w:tcPr>
            <w:tcW w:w="497" w:type="pct"/>
            <w:vAlign w:val="center"/>
          </w:tcPr>
          <w:p w14:paraId="6BFBC2D9">
            <w:pPr>
              <w:pStyle w:val="55"/>
            </w:pPr>
            <w:r>
              <w:t>≥7</w:t>
            </w:r>
            <w:r>
              <w:rPr>
                <w:rFonts w:hint="eastAsia"/>
              </w:rPr>
              <w:t>.5</w:t>
            </w:r>
            <w:r>
              <w:t>m</w:t>
            </w:r>
          </w:p>
        </w:tc>
        <w:tc>
          <w:tcPr>
            <w:tcW w:w="556" w:type="pct"/>
            <w:vMerge w:val="continue"/>
            <w:vAlign w:val="center"/>
          </w:tcPr>
          <w:p w14:paraId="346EF6B8">
            <w:pPr>
              <w:pStyle w:val="55"/>
            </w:pPr>
          </w:p>
        </w:tc>
      </w:tr>
      <w:tr w14:paraId="1DF4B03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275" w:hRule="atLeast"/>
          <w:jc w:val="center"/>
        </w:trPr>
        <w:tc>
          <w:tcPr>
            <w:tcW w:w="388" w:type="pct"/>
            <w:vMerge w:val="continue"/>
            <w:vAlign w:val="center"/>
          </w:tcPr>
          <w:p w14:paraId="17738614">
            <w:pPr>
              <w:pStyle w:val="55"/>
            </w:pPr>
          </w:p>
        </w:tc>
        <w:tc>
          <w:tcPr>
            <w:tcW w:w="349" w:type="pct"/>
            <w:vAlign w:val="center"/>
          </w:tcPr>
          <w:p w14:paraId="45EB7845">
            <w:pPr>
              <w:pStyle w:val="55"/>
            </w:pPr>
            <w:r>
              <w:rPr>
                <w:rFonts w:hint="eastAsia"/>
              </w:rPr>
              <w:t>5</w:t>
            </w:r>
          </w:p>
        </w:tc>
        <w:tc>
          <w:tcPr>
            <w:tcW w:w="1212" w:type="pct"/>
            <w:vAlign w:val="center"/>
          </w:tcPr>
          <w:p w14:paraId="7571C216">
            <w:pPr>
              <w:pStyle w:val="55"/>
            </w:pPr>
            <w:r>
              <w:t>桂集村西龚村西北园组1户</w:t>
            </w:r>
          </w:p>
        </w:tc>
        <w:tc>
          <w:tcPr>
            <w:tcW w:w="749" w:type="pct"/>
            <w:vAlign w:val="center"/>
          </w:tcPr>
          <w:p w14:paraId="282FA9B9">
            <w:pPr>
              <w:pStyle w:val="55"/>
            </w:pPr>
            <w:r>
              <w:t>线路边导线南侧</w:t>
            </w:r>
            <w:r>
              <w:rPr>
                <w:rFonts w:hint="eastAsia"/>
              </w:rPr>
              <w:t>14</w:t>
            </w:r>
            <w:r>
              <w:t>m</w:t>
            </w:r>
          </w:p>
        </w:tc>
        <w:tc>
          <w:tcPr>
            <w:tcW w:w="531" w:type="pct"/>
            <w:vAlign w:val="center"/>
          </w:tcPr>
          <w:p w14:paraId="478EEF0E">
            <w:pPr>
              <w:pStyle w:val="55"/>
            </w:pPr>
            <w:r>
              <w:t>1栋/居住</w:t>
            </w:r>
          </w:p>
        </w:tc>
        <w:tc>
          <w:tcPr>
            <w:tcW w:w="715" w:type="pct"/>
            <w:vAlign w:val="center"/>
          </w:tcPr>
          <w:p w14:paraId="5175C58D">
            <w:pPr>
              <w:pStyle w:val="55"/>
            </w:pPr>
            <w:r>
              <w:t>1层坡顶，高约</w:t>
            </w:r>
            <w:r>
              <w:rPr>
                <w:rFonts w:hint="eastAsia"/>
              </w:rPr>
              <w:t>3.5</w:t>
            </w:r>
            <w:r>
              <w:t>m</w:t>
            </w:r>
          </w:p>
        </w:tc>
        <w:tc>
          <w:tcPr>
            <w:tcW w:w="497" w:type="pct"/>
            <w:vAlign w:val="center"/>
          </w:tcPr>
          <w:p w14:paraId="2E28876B">
            <w:pPr>
              <w:pStyle w:val="55"/>
            </w:pPr>
            <w:r>
              <w:t>≥7</w:t>
            </w:r>
            <w:r>
              <w:rPr>
                <w:rFonts w:hint="eastAsia"/>
              </w:rPr>
              <w:t>.5</w:t>
            </w:r>
            <w:r>
              <w:t>m</w:t>
            </w:r>
          </w:p>
        </w:tc>
        <w:tc>
          <w:tcPr>
            <w:tcW w:w="556" w:type="pct"/>
            <w:vMerge w:val="continue"/>
            <w:vAlign w:val="center"/>
          </w:tcPr>
          <w:p w14:paraId="63DFDB80">
            <w:pPr>
              <w:pStyle w:val="55"/>
            </w:pPr>
          </w:p>
        </w:tc>
      </w:tr>
      <w:tr w14:paraId="34DC608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275" w:hRule="atLeast"/>
          <w:jc w:val="center"/>
        </w:trPr>
        <w:tc>
          <w:tcPr>
            <w:tcW w:w="388" w:type="pct"/>
            <w:vMerge w:val="continue"/>
            <w:vAlign w:val="center"/>
          </w:tcPr>
          <w:p w14:paraId="4F190B57">
            <w:pPr>
              <w:pStyle w:val="55"/>
            </w:pPr>
          </w:p>
        </w:tc>
        <w:tc>
          <w:tcPr>
            <w:tcW w:w="349" w:type="pct"/>
            <w:vAlign w:val="center"/>
          </w:tcPr>
          <w:p w14:paraId="0ED4EEE3">
            <w:pPr>
              <w:pStyle w:val="55"/>
            </w:pPr>
            <w:r>
              <w:rPr>
                <w:rFonts w:hint="eastAsia"/>
              </w:rPr>
              <w:t>6</w:t>
            </w:r>
          </w:p>
        </w:tc>
        <w:tc>
          <w:tcPr>
            <w:tcW w:w="1212" w:type="pct"/>
            <w:vAlign w:val="center"/>
          </w:tcPr>
          <w:p w14:paraId="19DD2B9F">
            <w:pPr>
              <w:pStyle w:val="55"/>
            </w:pPr>
            <w:r>
              <w:t>桂集村西龚村西北园组</w:t>
            </w:r>
            <w:r>
              <w:rPr>
                <w:rFonts w:hint="eastAsia"/>
              </w:rPr>
              <w:t>2</w:t>
            </w:r>
            <w:r>
              <w:t>户</w:t>
            </w:r>
          </w:p>
        </w:tc>
        <w:tc>
          <w:tcPr>
            <w:tcW w:w="749" w:type="pct"/>
            <w:vAlign w:val="center"/>
          </w:tcPr>
          <w:p w14:paraId="54DF2C3B">
            <w:pPr>
              <w:pStyle w:val="55"/>
            </w:pPr>
            <w:r>
              <w:t>线路边导线</w:t>
            </w:r>
            <w:r>
              <w:rPr>
                <w:rFonts w:hint="eastAsia"/>
              </w:rPr>
              <w:t>东侧7</w:t>
            </w:r>
            <w:r>
              <w:t>m</w:t>
            </w:r>
          </w:p>
        </w:tc>
        <w:tc>
          <w:tcPr>
            <w:tcW w:w="531" w:type="pct"/>
            <w:vAlign w:val="center"/>
          </w:tcPr>
          <w:p w14:paraId="10B0B97D">
            <w:pPr>
              <w:pStyle w:val="55"/>
            </w:pPr>
            <w:r>
              <w:rPr>
                <w:rFonts w:hint="eastAsia"/>
              </w:rPr>
              <w:t>2</w:t>
            </w:r>
            <w:r>
              <w:t>栋/居住</w:t>
            </w:r>
          </w:p>
        </w:tc>
        <w:tc>
          <w:tcPr>
            <w:tcW w:w="715" w:type="pct"/>
            <w:vAlign w:val="center"/>
          </w:tcPr>
          <w:p w14:paraId="66C8B305">
            <w:pPr>
              <w:pStyle w:val="55"/>
            </w:pPr>
            <w:r>
              <w:t>1层坡顶，高约3.5m</w:t>
            </w:r>
          </w:p>
          <w:p w14:paraId="3C88B303">
            <w:pPr>
              <w:pStyle w:val="55"/>
            </w:pPr>
            <w:r>
              <w:t>2层平顶，高约6m</w:t>
            </w:r>
          </w:p>
        </w:tc>
        <w:tc>
          <w:tcPr>
            <w:tcW w:w="497" w:type="pct"/>
            <w:vAlign w:val="center"/>
          </w:tcPr>
          <w:p w14:paraId="63485F04">
            <w:pPr>
              <w:pStyle w:val="55"/>
            </w:pPr>
            <w:r>
              <w:t>≥7</w:t>
            </w:r>
            <w:r>
              <w:rPr>
                <w:rFonts w:hint="eastAsia"/>
              </w:rPr>
              <w:t>.5</w:t>
            </w:r>
            <w:r>
              <w:t>m</w:t>
            </w:r>
          </w:p>
        </w:tc>
        <w:tc>
          <w:tcPr>
            <w:tcW w:w="556" w:type="pct"/>
            <w:vMerge w:val="continue"/>
            <w:vAlign w:val="center"/>
          </w:tcPr>
          <w:p w14:paraId="6A720FFE">
            <w:pPr>
              <w:pStyle w:val="55"/>
            </w:pPr>
          </w:p>
        </w:tc>
      </w:tr>
      <w:tr w14:paraId="1184817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275" w:hRule="atLeast"/>
          <w:jc w:val="center"/>
        </w:trPr>
        <w:tc>
          <w:tcPr>
            <w:tcW w:w="388" w:type="pct"/>
            <w:vMerge w:val="continue"/>
            <w:vAlign w:val="center"/>
          </w:tcPr>
          <w:p w14:paraId="05712D43">
            <w:pPr>
              <w:pStyle w:val="55"/>
            </w:pPr>
          </w:p>
        </w:tc>
        <w:tc>
          <w:tcPr>
            <w:tcW w:w="349" w:type="pct"/>
            <w:vAlign w:val="center"/>
          </w:tcPr>
          <w:p w14:paraId="61E2189D">
            <w:pPr>
              <w:pStyle w:val="55"/>
            </w:pPr>
            <w:r>
              <w:rPr>
                <w:rFonts w:hint="eastAsia"/>
              </w:rPr>
              <w:t>7</w:t>
            </w:r>
          </w:p>
        </w:tc>
        <w:tc>
          <w:tcPr>
            <w:tcW w:w="1212" w:type="pct"/>
            <w:vAlign w:val="center"/>
          </w:tcPr>
          <w:p w14:paraId="39D71E7F">
            <w:pPr>
              <w:pStyle w:val="55"/>
            </w:pPr>
            <w:r>
              <w:t>桂集村西龚村西北园组</w:t>
            </w:r>
            <w:r>
              <w:rPr>
                <w:rFonts w:hint="eastAsia"/>
              </w:rPr>
              <w:t>3</w:t>
            </w:r>
            <w:r>
              <w:t>户</w:t>
            </w:r>
          </w:p>
        </w:tc>
        <w:tc>
          <w:tcPr>
            <w:tcW w:w="749" w:type="pct"/>
            <w:vAlign w:val="center"/>
          </w:tcPr>
          <w:p w14:paraId="0CB9B15A">
            <w:pPr>
              <w:pStyle w:val="55"/>
            </w:pPr>
            <w:r>
              <w:t>线路边导线南侧3</w:t>
            </w:r>
            <w:r>
              <w:rPr>
                <w:rFonts w:hint="eastAsia"/>
              </w:rPr>
              <w:t>0</w:t>
            </w:r>
            <w:r>
              <w:t>m</w:t>
            </w:r>
          </w:p>
        </w:tc>
        <w:tc>
          <w:tcPr>
            <w:tcW w:w="531" w:type="pct"/>
            <w:vAlign w:val="center"/>
          </w:tcPr>
          <w:p w14:paraId="4AD57A8C">
            <w:pPr>
              <w:pStyle w:val="55"/>
            </w:pPr>
            <w:r>
              <w:rPr>
                <w:rFonts w:hint="eastAsia"/>
              </w:rPr>
              <w:t>1栋/居住</w:t>
            </w:r>
          </w:p>
        </w:tc>
        <w:tc>
          <w:tcPr>
            <w:tcW w:w="715" w:type="pct"/>
            <w:vAlign w:val="center"/>
          </w:tcPr>
          <w:p w14:paraId="7ACB372E">
            <w:pPr>
              <w:pStyle w:val="55"/>
            </w:pPr>
            <w:r>
              <w:rPr>
                <w:rFonts w:hint="eastAsia"/>
              </w:rPr>
              <w:t>3层平顶，高约9m</w:t>
            </w:r>
          </w:p>
        </w:tc>
        <w:tc>
          <w:tcPr>
            <w:tcW w:w="497" w:type="pct"/>
            <w:vAlign w:val="center"/>
          </w:tcPr>
          <w:p w14:paraId="6110D63F">
            <w:pPr>
              <w:pStyle w:val="55"/>
            </w:pPr>
            <w:r>
              <w:t>≥7</w:t>
            </w:r>
            <w:r>
              <w:rPr>
                <w:rFonts w:hint="eastAsia"/>
              </w:rPr>
              <w:t>.5</w:t>
            </w:r>
            <w:r>
              <w:t>m</w:t>
            </w:r>
          </w:p>
        </w:tc>
        <w:tc>
          <w:tcPr>
            <w:tcW w:w="556" w:type="pct"/>
            <w:vMerge w:val="continue"/>
            <w:vAlign w:val="center"/>
          </w:tcPr>
          <w:p w14:paraId="5DF81683">
            <w:pPr>
              <w:pStyle w:val="55"/>
            </w:pPr>
          </w:p>
        </w:tc>
      </w:tr>
      <w:tr w14:paraId="28FF664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275" w:hRule="atLeast"/>
          <w:jc w:val="center"/>
        </w:trPr>
        <w:tc>
          <w:tcPr>
            <w:tcW w:w="388" w:type="pct"/>
            <w:vMerge w:val="continue"/>
            <w:vAlign w:val="center"/>
          </w:tcPr>
          <w:p w14:paraId="2366D4CC">
            <w:pPr>
              <w:pStyle w:val="55"/>
            </w:pPr>
          </w:p>
        </w:tc>
        <w:tc>
          <w:tcPr>
            <w:tcW w:w="349" w:type="pct"/>
            <w:vAlign w:val="center"/>
          </w:tcPr>
          <w:p w14:paraId="3AFE5C8B">
            <w:pPr>
              <w:pStyle w:val="55"/>
            </w:pPr>
            <w:r>
              <w:rPr>
                <w:rFonts w:hint="eastAsia"/>
              </w:rPr>
              <w:t>8</w:t>
            </w:r>
          </w:p>
        </w:tc>
        <w:tc>
          <w:tcPr>
            <w:tcW w:w="1212" w:type="pct"/>
            <w:vAlign w:val="center"/>
          </w:tcPr>
          <w:p w14:paraId="4B311072">
            <w:pPr>
              <w:pStyle w:val="55"/>
            </w:pPr>
            <w:r>
              <w:t>桂集村西龚村西北园组</w:t>
            </w:r>
            <w:r>
              <w:rPr>
                <w:rFonts w:hint="eastAsia"/>
              </w:rPr>
              <w:t>4</w:t>
            </w:r>
            <w:r>
              <w:t>户</w:t>
            </w:r>
          </w:p>
        </w:tc>
        <w:tc>
          <w:tcPr>
            <w:tcW w:w="749" w:type="pct"/>
            <w:vAlign w:val="center"/>
          </w:tcPr>
          <w:p w14:paraId="3450B7FC">
            <w:pPr>
              <w:pStyle w:val="55"/>
            </w:pPr>
            <w:r>
              <w:t>线路边导线南侧</w:t>
            </w:r>
            <w:r>
              <w:rPr>
                <w:rFonts w:hint="eastAsia"/>
              </w:rPr>
              <w:t>23</w:t>
            </w:r>
            <w:r>
              <w:t>m</w:t>
            </w:r>
          </w:p>
        </w:tc>
        <w:tc>
          <w:tcPr>
            <w:tcW w:w="531" w:type="pct"/>
            <w:vAlign w:val="center"/>
          </w:tcPr>
          <w:p w14:paraId="17AF1ED5">
            <w:pPr>
              <w:pStyle w:val="55"/>
            </w:pPr>
            <w:r>
              <w:rPr>
                <w:rFonts w:hint="eastAsia"/>
              </w:rPr>
              <w:t>2</w:t>
            </w:r>
            <w:r>
              <w:t>栋/居住</w:t>
            </w:r>
          </w:p>
        </w:tc>
        <w:tc>
          <w:tcPr>
            <w:tcW w:w="715" w:type="pct"/>
            <w:vAlign w:val="center"/>
          </w:tcPr>
          <w:p w14:paraId="343E9484">
            <w:pPr>
              <w:pStyle w:val="55"/>
            </w:pPr>
            <w:r>
              <w:t>2层平顶，高约6m</w:t>
            </w:r>
          </w:p>
        </w:tc>
        <w:tc>
          <w:tcPr>
            <w:tcW w:w="497" w:type="pct"/>
            <w:vAlign w:val="center"/>
          </w:tcPr>
          <w:p w14:paraId="5FD45C33">
            <w:pPr>
              <w:pStyle w:val="55"/>
            </w:pPr>
            <w:r>
              <w:t>≥7</w:t>
            </w:r>
            <w:r>
              <w:rPr>
                <w:rFonts w:hint="eastAsia"/>
              </w:rPr>
              <w:t>.5</w:t>
            </w:r>
            <w:r>
              <w:t>m</w:t>
            </w:r>
          </w:p>
        </w:tc>
        <w:tc>
          <w:tcPr>
            <w:tcW w:w="556" w:type="pct"/>
            <w:vMerge w:val="continue"/>
            <w:vAlign w:val="center"/>
          </w:tcPr>
          <w:p w14:paraId="70E1FEF8">
            <w:pPr>
              <w:pStyle w:val="55"/>
            </w:pPr>
          </w:p>
        </w:tc>
      </w:tr>
      <w:tr w14:paraId="291C07C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275" w:hRule="atLeast"/>
          <w:jc w:val="center"/>
        </w:trPr>
        <w:tc>
          <w:tcPr>
            <w:tcW w:w="388" w:type="pct"/>
            <w:vMerge w:val="continue"/>
            <w:vAlign w:val="center"/>
          </w:tcPr>
          <w:p w14:paraId="6902B6AF">
            <w:pPr>
              <w:pStyle w:val="55"/>
            </w:pPr>
          </w:p>
        </w:tc>
        <w:tc>
          <w:tcPr>
            <w:tcW w:w="349" w:type="pct"/>
            <w:vAlign w:val="center"/>
          </w:tcPr>
          <w:p w14:paraId="28274712">
            <w:pPr>
              <w:pStyle w:val="55"/>
            </w:pPr>
            <w:r>
              <w:rPr>
                <w:rFonts w:hint="eastAsia"/>
              </w:rPr>
              <w:t>9</w:t>
            </w:r>
          </w:p>
        </w:tc>
        <w:tc>
          <w:tcPr>
            <w:tcW w:w="1212" w:type="pct"/>
            <w:vAlign w:val="center"/>
          </w:tcPr>
          <w:p w14:paraId="05DE3BCF">
            <w:pPr>
              <w:pStyle w:val="55"/>
            </w:pPr>
            <w:r>
              <w:t>桂集村西龚村西北园组1户</w:t>
            </w:r>
          </w:p>
        </w:tc>
        <w:tc>
          <w:tcPr>
            <w:tcW w:w="749" w:type="pct"/>
            <w:vAlign w:val="center"/>
          </w:tcPr>
          <w:p w14:paraId="39A92581">
            <w:pPr>
              <w:pStyle w:val="55"/>
            </w:pPr>
            <w:r>
              <w:t>线路边导线</w:t>
            </w:r>
            <w:r>
              <w:rPr>
                <w:rFonts w:hint="eastAsia"/>
              </w:rPr>
              <w:t>东北</w:t>
            </w:r>
            <w:r>
              <w:t>侧</w:t>
            </w:r>
            <w:r>
              <w:rPr>
                <w:rFonts w:hint="eastAsia"/>
              </w:rPr>
              <w:t>31</w:t>
            </w:r>
            <w:r>
              <w:t>m</w:t>
            </w:r>
          </w:p>
        </w:tc>
        <w:tc>
          <w:tcPr>
            <w:tcW w:w="531" w:type="pct"/>
            <w:shd w:val="clear" w:color="auto" w:fill="auto"/>
            <w:vAlign w:val="center"/>
          </w:tcPr>
          <w:p w14:paraId="29108D46">
            <w:pPr>
              <w:pStyle w:val="55"/>
            </w:pPr>
            <w:r>
              <w:t>1栋/居住</w:t>
            </w:r>
          </w:p>
        </w:tc>
        <w:tc>
          <w:tcPr>
            <w:tcW w:w="715" w:type="pct"/>
            <w:shd w:val="clear" w:color="auto" w:fill="auto"/>
            <w:vAlign w:val="center"/>
          </w:tcPr>
          <w:p w14:paraId="7B086DE0">
            <w:pPr>
              <w:pStyle w:val="55"/>
            </w:pPr>
            <w:r>
              <w:t>2层平顶，高约6m</w:t>
            </w:r>
          </w:p>
        </w:tc>
        <w:tc>
          <w:tcPr>
            <w:tcW w:w="497" w:type="pct"/>
            <w:vAlign w:val="center"/>
          </w:tcPr>
          <w:p w14:paraId="0D6C141A">
            <w:pPr>
              <w:pStyle w:val="55"/>
            </w:pPr>
            <w:r>
              <w:t>≥7</w:t>
            </w:r>
            <w:r>
              <w:rPr>
                <w:rFonts w:hint="eastAsia"/>
              </w:rPr>
              <w:t>.5</w:t>
            </w:r>
            <w:r>
              <w:t>m</w:t>
            </w:r>
          </w:p>
        </w:tc>
        <w:tc>
          <w:tcPr>
            <w:tcW w:w="556" w:type="pct"/>
            <w:vMerge w:val="continue"/>
            <w:vAlign w:val="center"/>
          </w:tcPr>
          <w:p w14:paraId="064BE850">
            <w:pPr>
              <w:pStyle w:val="55"/>
            </w:pPr>
          </w:p>
        </w:tc>
      </w:tr>
      <w:tr w14:paraId="2B9FC38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275" w:hRule="atLeast"/>
          <w:jc w:val="center"/>
        </w:trPr>
        <w:tc>
          <w:tcPr>
            <w:tcW w:w="388" w:type="pct"/>
            <w:vMerge w:val="continue"/>
            <w:vAlign w:val="center"/>
          </w:tcPr>
          <w:p w14:paraId="33621D8D">
            <w:pPr>
              <w:pStyle w:val="55"/>
            </w:pPr>
          </w:p>
        </w:tc>
        <w:tc>
          <w:tcPr>
            <w:tcW w:w="349" w:type="pct"/>
            <w:vAlign w:val="center"/>
          </w:tcPr>
          <w:p w14:paraId="56148B07">
            <w:pPr>
              <w:pStyle w:val="55"/>
            </w:pPr>
            <w:r>
              <w:rPr>
                <w:rFonts w:hint="eastAsia"/>
              </w:rPr>
              <w:t>10</w:t>
            </w:r>
          </w:p>
        </w:tc>
        <w:tc>
          <w:tcPr>
            <w:tcW w:w="1212" w:type="pct"/>
            <w:vAlign w:val="center"/>
          </w:tcPr>
          <w:p w14:paraId="6D267F74">
            <w:pPr>
              <w:pStyle w:val="55"/>
            </w:pPr>
            <w:r>
              <w:t>桂集镇中郢村凤大路南端门面房</w:t>
            </w:r>
          </w:p>
        </w:tc>
        <w:tc>
          <w:tcPr>
            <w:tcW w:w="749" w:type="pct"/>
            <w:vAlign w:val="center"/>
          </w:tcPr>
          <w:p w14:paraId="78F48544">
            <w:pPr>
              <w:pStyle w:val="55"/>
            </w:pPr>
            <w:r>
              <w:t>线路边导线南侧</w:t>
            </w:r>
            <w:r>
              <w:rPr>
                <w:rFonts w:hint="eastAsia"/>
              </w:rPr>
              <w:t>8</w:t>
            </w:r>
            <w:r>
              <w:t>m</w:t>
            </w:r>
          </w:p>
        </w:tc>
        <w:tc>
          <w:tcPr>
            <w:tcW w:w="531" w:type="pct"/>
            <w:vAlign w:val="center"/>
          </w:tcPr>
          <w:p w14:paraId="57A972EB">
            <w:pPr>
              <w:pStyle w:val="55"/>
            </w:pPr>
            <w:r>
              <w:t>1栋/居住</w:t>
            </w:r>
          </w:p>
        </w:tc>
        <w:tc>
          <w:tcPr>
            <w:tcW w:w="715" w:type="pct"/>
            <w:vAlign w:val="center"/>
          </w:tcPr>
          <w:p w14:paraId="1AAA8CE5">
            <w:pPr>
              <w:pStyle w:val="55"/>
            </w:pPr>
            <w:r>
              <w:t>2层</w:t>
            </w:r>
            <w:r>
              <w:rPr>
                <w:rFonts w:hint="eastAsia"/>
              </w:rPr>
              <w:t>/3层</w:t>
            </w:r>
            <w:r>
              <w:t>平顶，高约6m</w:t>
            </w:r>
          </w:p>
        </w:tc>
        <w:tc>
          <w:tcPr>
            <w:tcW w:w="497" w:type="pct"/>
            <w:shd w:val="clear" w:color="auto" w:fill="auto"/>
            <w:vAlign w:val="center"/>
          </w:tcPr>
          <w:p w14:paraId="1BEBF9C5">
            <w:pPr>
              <w:pStyle w:val="55"/>
            </w:pPr>
            <w:r>
              <w:t>≥7</w:t>
            </w:r>
            <w:r>
              <w:rPr>
                <w:rFonts w:hint="eastAsia"/>
              </w:rPr>
              <w:t>.5</w:t>
            </w:r>
            <w:r>
              <w:t>m</w:t>
            </w:r>
          </w:p>
        </w:tc>
        <w:tc>
          <w:tcPr>
            <w:tcW w:w="556" w:type="pct"/>
            <w:vMerge w:val="continue"/>
            <w:vAlign w:val="center"/>
          </w:tcPr>
          <w:p w14:paraId="46D9C678">
            <w:pPr>
              <w:pStyle w:val="55"/>
            </w:pPr>
          </w:p>
        </w:tc>
      </w:tr>
      <w:tr w14:paraId="7371B94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275" w:hRule="atLeast"/>
          <w:jc w:val="center"/>
        </w:trPr>
        <w:tc>
          <w:tcPr>
            <w:tcW w:w="388" w:type="pct"/>
            <w:vMerge w:val="continue"/>
            <w:vAlign w:val="center"/>
          </w:tcPr>
          <w:p w14:paraId="2B1C2ADE">
            <w:pPr>
              <w:pStyle w:val="55"/>
            </w:pPr>
          </w:p>
        </w:tc>
        <w:tc>
          <w:tcPr>
            <w:tcW w:w="349" w:type="pct"/>
            <w:vAlign w:val="center"/>
          </w:tcPr>
          <w:p w14:paraId="72A55BEA">
            <w:pPr>
              <w:pStyle w:val="55"/>
            </w:pPr>
            <w:r>
              <w:rPr>
                <w:rFonts w:hint="eastAsia"/>
              </w:rPr>
              <w:t>11</w:t>
            </w:r>
          </w:p>
        </w:tc>
        <w:tc>
          <w:tcPr>
            <w:tcW w:w="1212" w:type="pct"/>
            <w:vAlign w:val="center"/>
          </w:tcPr>
          <w:p w14:paraId="4CC414F8">
            <w:pPr>
              <w:pStyle w:val="55"/>
            </w:pPr>
            <w:r>
              <w:t>桂集镇中郢村拐王组3户</w:t>
            </w:r>
          </w:p>
        </w:tc>
        <w:tc>
          <w:tcPr>
            <w:tcW w:w="749" w:type="pct"/>
            <w:vAlign w:val="center"/>
          </w:tcPr>
          <w:p w14:paraId="19655CC4">
            <w:pPr>
              <w:pStyle w:val="55"/>
            </w:pPr>
            <w:r>
              <w:t>线路边导线</w:t>
            </w:r>
            <w:r>
              <w:rPr>
                <w:rFonts w:hint="eastAsia"/>
              </w:rPr>
              <w:t>东</w:t>
            </w:r>
            <w:r>
              <w:t>侧2</w:t>
            </w:r>
            <w:r>
              <w:rPr>
                <w:rFonts w:hint="eastAsia"/>
              </w:rPr>
              <w:t>5</w:t>
            </w:r>
            <w:r>
              <w:t>m</w:t>
            </w:r>
          </w:p>
        </w:tc>
        <w:tc>
          <w:tcPr>
            <w:tcW w:w="531" w:type="pct"/>
            <w:vAlign w:val="center"/>
          </w:tcPr>
          <w:p w14:paraId="60A4898B">
            <w:pPr>
              <w:pStyle w:val="55"/>
            </w:pPr>
            <w:r>
              <w:rPr>
                <w:rFonts w:hint="eastAsia"/>
              </w:rPr>
              <w:t>3</w:t>
            </w:r>
            <w:r>
              <w:t>栋/居住</w:t>
            </w:r>
          </w:p>
        </w:tc>
        <w:tc>
          <w:tcPr>
            <w:tcW w:w="715" w:type="pct"/>
            <w:vAlign w:val="center"/>
          </w:tcPr>
          <w:p w14:paraId="233D7822">
            <w:pPr>
              <w:pStyle w:val="55"/>
            </w:pPr>
            <w:r>
              <w:t>1层坡顶，高约3.5m</w:t>
            </w:r>
          </w:p>
        </w:tc>
        <w:tc>
          <w:tcPr>
            <w:tcW w:w="497" w:type="pct"/>
            <w:shd w:val="clear" w:color="auto" w:fill="auto"/>
            <w:vAlign w:val="center"/>
          </w:tcPr>
          <w:p w14:paraId="083673A4">
            <w:pPr>
              <w:pStyle w:val="55"/>
            </w:pPr>
            <w:r>
              <w:t>≥7</w:t>
            </w:r>
            <w:r>
              <w:rPr>
                <w:rFonts w:hint="eastAsia"/>
              </w:rPr>
              <w:t>.5</w:t>
            </w:r>
            <w:r>
              <w:t>m</w:t>
            </w:r>
          </w:p>
        </w:tc>
        <w:tc>
          <w:tcPr>
            <w:tcW w:w="556" w:type="pct"/>
            <w:vMerge w:val="continue"/>
            <w:vAlign w:val="center"/>
          </w:tcPr>
          <w:p w14:paraId="2BFF1267">
            <w:pPr>
              <w:pStyle w:val="55"/>
            </w:pPr>
          </w:p>
        </w:tc>
      </w:tr>
      <w:tr w14:paraId="3B5A9CC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275" w:hRule="atLeast"/>
          <w:jc w:val="center"/>
        </w:trPr>
        <w:tc>
          <w:tcPr>
            <w:tcW w:w="388" w:type="pct"/>
            <w:vMerge w:val="continue"/>
            <w:vAlign w:val="center"/>
          </w:tcPr>
          <w:p w14:paraId="6CDCE986">
            <w:pPr>
              <w:pStyle w:val="55"/>
            </w:pPr>
          </w:p>
        </w:tc>
        <w:tc>
          <w:tcPr>
            <w:tcW w:w="349" w:type="pct"/>
            <w:vAlign w:val="center"/>
          </w:tcPr>
          <w:p w14:paraId="71F79DB5">
            <w:pPr>
              <w:pStyle w:val="55"/>
            </w:pPr>
            <w:r>
              <w:rPr>
                <w:rFonts w:hint="eastAsia"/>
              </w:rPr>
              <w:t>12</w:t>
            </w:r>
          </w:p>
        </w:tc>
        <w:tc>
          <w:tcPr>
            <w:tcW w:w="1212" w:type="pct"/>
            <w:vAlign w:val="center"/>
          </w:tcPr>
          <w:p w14:paraId="436A157A">
            <w:pPr>
              <w:pStyle w:val="55"/>
            </w:pPr>
            <w:r>
              <w:rPr>
                <w:rFonts w:hint="eastAsia"/>
              </w:rPr>
              <w:t>桂集镇中郢村拐王组养植大棚</w:t>
            </w:r>
          </w:p>
        </w:tc>
        <w:tc>
          <w:tcPr>
            <w:tcW w:w="749" w:type="pct"/>
            <w:vAlign w:val="center"/>
          </w:tcPr>
          <w:p w14:paraId="57C6B260">
            <w:pPr>
              <w:pStyle w:val="55"/>
            </w:pPr>
            <w:r>
              <w:t>线路边导线</w:t>
            </w:r>
            <w:r>
              <w:rPr>
                <w:rFonts w:hint="eastAsia"/>
              </w:rPr>
              <w:t>北</w:t>
            </w:r>
            <w:r>
              <w:t>侧</w:t>
            </w:r>
            <w:r>
              <w:rPr>
                <w:rFonts w:hint="eastAsia"/>
              </w:rPr>
              <w:t>28</w:t>
            </w:r>
            <w:r>
              <w:t>m</w:t>
            </w:r>
          </w:p>
        </w:tc>
        <w:tc>
          <w:tcPr>
            <w:tcW w:w="531" w:type="pct"/>
            <w:vAlign w:val="center"/>
          </w:tcPr>
          <w:p w14:paraId="7CB5EA88">
            <w:pPr>
              <w:pStyle w:val="55"/>
            </w:pPr>
            <w:r>
              <w:rPr>
                <w:rFonts w:hint="eastAsia"/>
              </w:rPr>
              <w:t>2</w:t>
            </w:r>
            <w:r>
              <w:t>栋</w:t>
            </w:r>
            <w:r>
              <w:rPr>
                <w:rFonts w:hint="eastAsia"/>
              </w:rPr>
              <w:t>/工作</w:t>
            </w:r>
          </w:p>
        </w:tc>
        <w:tc>
          <w:tcPr>
            <w:tcW w:w="715" w:type="pct"/>
            <w:vAlign w:val="center"/>
          </w:tcPr>
          <w:p w14:paraId="69F3658E">
            <w:pPr>
              <w:pStyle w:val="55"/>
            </w:pPr>
            <w:r>
              <w:t>1层</w:t>
            </w:r>
            <w:r>
              <w:rPr>
                <w:rFonts w:hint="eastAsia"/>
              </w:rPr>
              <w:t>棚</w:t>
            </w:r>
            <w:r>
              <w:t>顶，高约3.5m</w:t>
            </w:r>
          </w:p>
        </w:tc>
        <w:tc>
          <w:tcPr>
            <w:tcW w:w="497" w:type="pct"/>
            <w:shd w:val="clear" w:color="auto" w:fill="auto"/>
            <w:vAlign w:val="center"/>
          </w:tcPr>
          <w:p w14:paraId="398BE60F">
            <w:pPr>
              <w:pStyle w:val="55"/>
            </w:pPr>
            <w:r>
              <w:t>≥7.5m</w:t>
            </w:r>
          </w:p>
        </w:tc>
        <w:tc>
          <w:tcPr>
            <w:tcW w:w="556" w:type="pct"/>
            <w:vMerge w:val="continue"/>
            <w:vAlign w:val="center"/>
          </w:tcPr>
          <w:p w14:paraId="47058F63">
            <w:pPr>
              <w:pStyle w:val="55"/>
            </w:pPr>
          </w:p>
        </w:tc>
      </w:tr>
      <w:tr w14:paraId="3CB43D3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275" w:hRule="atLeast"/>
          <w:jc w:val="center"/>
        </w:trPr>
        <w:tc>
          <w:tcPr>
            <w:tcW w:w="388" w:type="pct"/>
            <w:vMerge w:val="continue"/>
            <w:vAlign w:val="center"/>
          </w:tcPr>
          <w:p w14:paraId="1E3E94DB">
            <w:pPr>
              <w:pStyle w:val="55"/>
            </w:pPr>
          </w:p>
        </w:tc>
        <w:tc>
          <w:tcPr>
            <w:tcW w:w="349" w:type="pct"/>
            <w:vAlign w:val="center"/>
          </w:tcPr>
          <w:p w14:paraId="61E15F5C">
            <w:pPr>
              <w:pStyle w:val="55"/>
            </w:pPr>
            <w:r>
              <w:rPr>
                <w:rFonts w:hint="eastAsia"/>
              </w:rPr>
              <w:t>13</w:t>
            </w:r>
          </w:p>
        </w:tc>
        <w:tc>
          <w:tcPr>
            <w:tcW w:w="1212" w:type="pct"/>
            <w:vAlign w:val="center"/>
          </w:tcPr>
          <w:p w14:paraId="1E144968">
            <w:pPr>
              <w:pStyle w:val="55"/>
            </w:pPr>
            <w:r>
              <w:t>桂集镇勇敢村桥王组王某家养殖场</w:t>
            </w:r>
          </w:p>
        </w:tc>
        <w:tc>
          <w:tcPr>
            <w:tcW w:w="749" w:type="pct"/>
            <w:vAlign w:val="center"/>
          </w:tcPr>
          <w:p w14:paraId="0B50CD5D">
            <w:pPr>
              <w:pStyle w:val="55"/>
            </w:pPr>
            <w:r>
              <w:t>跨越</w:t>
            </w:r>
          </w:p>
        </w:tc>
        <w:tc>
          <w:tcPr>
            <w:tcW w:w="531" w:type="pct"/>
            <w:shd w:val="clear" w:color="auto" w:fill="auto"/>
            <w:vAlign w:val="center"/>
          </w:tcPr>
          <w:p w14:paraId="35E30D34">
            <w:pPr>
              <w:pStyle w:val="55"/>
            </w:pPr>
            <w:r>
              <w:rPr>
                <w:rFonts w:hint="eastAsia"/>
              </w:rPr>
              <w:t>3</w:t>
            </w:r>
            <w:r>
              <w:t>栋</w:t>
            </w:r>
            <w:r>
              <w:rPr>
                <w:rFonts w:hint="eastAsia"/>
              </w:rPr>
              <w:t>/办公居住</w:t>
            </w:r>
          </w:p>
        </w:tc>
        <w:tc>
          <w:tcPr>
            <w:tcW w:w="715" w:type="pct"/>
            <w:shd w:val="clear" w:color="auto" w:fill="auto"/>
            <w:vAlign w:val="center"/>
          </w:tcPr>
          <w:p w14:paraId="627E4201">
            <w:pPr>
              <w:pStyle w:val="55"/>
            </w:pPr>
            <w:r>
              <w:t>1层</w:t>
            </w:r>
            <w:r>
              <w:rPr>
                <w:rFonts w:hint="eastAsia"/>
              </w:rPr>
              <w:t>棚</w:t>
            </w:r>
            <w:r>
              <w:t>顶</w:t>
            </w:r>
            <w:r>
              <w:rPr>
                <w:rFonts w:hint="eastAsia"/>
              </w:rPr>
              <w:t>/坡顶</w:t>
            </w:r>
            <w:r>
              <w:t>，高约3.5m</w:t>
            </w:r>
          </w:p>
        </w:tc>
        <w:tc>
          <w:tcPr>
            <w:tcW w:w="497" w:type="pct"/>
            <w:shd w:val="clear" w:color="auto" w:fill="auto"/>
            <w:vAlign w:val="center"/>
          </w:tcPr>
          <w:p w14:paraId="20B71075">
            <w:pPr>
              <w:pStyle w:val="55"/>
            </w:pPr>
            <w:r>
              <w:t>≥7</w:t>
            </w:r>
            <w:r>
              <w:rPr>
                <w:rFonts w:hint="eastAsia"/>
              </w:rPr>
              <w:t>.5</w:t>
            </w:r>
            <w:r>
              <w:t>m</w:t>
            </w:r>
          </w:p>
        </w:tc>
        <w:tc>
          <w:tcPr>
            <w:tcW w:w="556" w:type="pct"/>
            <w:vMerge w:val="continue"/>
            <w:vAlign w:val="center"/>
          </w:tcPr>
          <w:p w14:paraId="29FF2828">
            <w:pPr>
              <w:pStyle w:val="55"/>
            </w:pPr>
          </w:p>
        </w:tc>
      </w:tr>
      <w:tr w14:paraId="38B558D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275" w:hRule="atLeast"/>
          <w:jc w:val="center"/>
        </w:trPr>
        <w:tc>
          <w:tcPr>
            <w:tcW w:w="388" w:type="pct"/>
            <w:vMerge w:val="continue"/>
            <w:vAlign w:val="center"/>
          </w:tcPr>
          <w:p w14:paraId="699DCAD6">
            <w:pPr>
              <w:pStyle w:val="55"/>
            </w:pPr>
          </w:p>
        </w:tc>
        <w:tc>
          <w:tcPr>
            <w:tcW w:w="349" w:type="pct"/>
            <w:vAlign w:val="center"/>
          </w:tcPr>
          <w:p w14:paraId="657B5BBE">
            <w:pPr>
              <w:pStyle w:val="55"/>
            </w:pPr>
            <w:r>
              <w:rPr>
                <w:rFonts w:hint="eastAsia"/>
              </w:rPr>
              <w:t>14</w:t>
            </w:r>
          </w:p>
        </w:tc>
        <w:tc>
          <w:tcPr>
            <w:tcW w:w="1212" w:type="pct"/>
            <w:vAlign w:val="center"/>
          </w:tcPr>
          <w:p w14:paraId="487B665C">
            <w:pPr>
              <w:pStyle w:val="55"/>
            </w:pPr>
            <w:r>
              <w:t>桂集镇勇敢村桥王组3户</w:t>
            </w:r>
          </w:p>
        </w:tc>
        <w:tc>
          <w:tcPr>
            <w:tcW w:w="749" w:type="pct"/>
            <w:vAlign w:val="center"/>
          </w:tcPr>
          <w:p w14:paraId="4112A533">
            <w:pPr>
              <w:pStyle w:val="55"/>
            </w:pPr>
            <w:r>
              <w:t>线路边导线</w:t>
            </w:r>
            <w:r>
              <w:rPr>
                <w:rFonts w:hint="eastAsia"/>
              </w:rPr>
              <w:t>西南</w:t>
            </w:r>
            <w:r>
              <w:t>侧</w:t>
            </w:r>
            <w:r>
              <w:rPr>
                <w:rFonts w:hint="eastAsia"/>
              </w:rPr>
              <w:t>5</w:t>
            </w:r>
            <w:r>
              <w:t>m</w:t>
            </w:r>
          </w:p>
        </w:tc>
        <w:tc>
          <w:tcPr>
            <w:tcW w:w="531" w:type="pct"/>
            <w:shd w:val="clear" w:color="auto" w:fill="auto"/>
            <w:vAlign w:val="center"/>
          </w:tcPr>
          <w:p w14:paraId="03585DD6">
            <w:pPr>
              <w:pStyle w:val="55"/>
            </w:pPr>
            <w:r>
              <w:rPr>
                <w:rFonts w:hint="eastAsia"/>
              </w:rPr>
              <w:t>3</w:t>
            </w:r>
            <w:r>
              <w:t>栋/居住</w:t>
            </w:r>
          </w:p>
        </w:tc>
        <w:tc>
          <w:tcPr>
            <w:tcW w:w="715" w:type="pct"/>
            <w:shd w:val="clear" w:color="auto" w:fill="auto"/>
            <w:vAlign w:val="center"/>
          </w:tcPr>
          <w:p w14:paraId="70149914">
            <w:pPr>
              <w:pStyle w:val="55"/>
            </w:pPr>
            <w:r>
              <w:t>1层坡顶，高约3.5m</w:t>
            </w:r>
          </w:p>
          <w:p w14:paraId="61419943">
            <w:pPr>
              <w:pStyle w:val="55"/>
            </w:pPr>
            <w:r>
              <w:t>2层平顶，高约6m</w:t>
            </w:r>
          </w:p>
        </w:tc>
        <w:tc>
          <w:tcPr>
            <w:tcW w:w="497" w:type="pct"/>
            <w:shd w:val="clear" w:color="auto" w:fill="auto"/>
            <w:vAlign w:val="center"/>
          </w:tcPr>
          <w:p w14:paraId="2CA18911">
            <w:pPr>
              <w:pStyle w:val="55"/>
            </w:pPr>
            <w:r>
              <w:t>≥7</w:t>
            </w:r>
            <w:r>
              <w:rPr>
                <w:rFonts w:hint="eastAsia"/>
              </w:rPr>
              <w:t>.5</w:t>
            </w:r>
            <w:r>
              <w:t>m</w:t>
            </w:r>
          </w:p>
        </w:tc>
        <w:tc>
          <w:tcPr>
            <w:tcW w:w="556" w:type="pct"/>
            <w:vMerge w:val="continue"/>
            <w:vAlign w:val="center"/>
          </w:tcPr>
          <w:p w14:paraId="4C140FF7">
            <w:pPr>
              <w:pStyle w:val="55"/>
            </w:pPr>
          </w:p>
        </w:tc>
      </w:tr>
      <w:tr w14:paraId="42FBA22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275" w:hRule="atLeast"/>
          <w:jc w:val="center"/>
        </w:trPr>
        <w:tc>
          <w:tcPr>
            <w:tcW w:w="388" w:type="pct"/>
            <w:vMerge w:val="continue"/>
            <w:vAlign w:val="center"/>
          </w:tcPr>
          <w:p w14:paraId="201CF47D">
            <w:pPr>
              <w:pStyle w:val="55"/>
            </w:pPr>
          </w:p>
        </w:tc>
        <w:tc>
          <w:tcPr>
            <w:tcW w:w="349" w:type="pct"/>
            <w:vAlign w:val="center"/>
          </w:tcPr>
          <w:p w14:paraId="11DC197C">
            <w:pPr>
              <w:pStyle w:val="55"/>
            </w:pPr>
            <w:r>
              <w:rPr>
                <w:rFonts w:hint="eastAsia"/>
              </w:rPr>
              <w:t>15</w:t>
            </w:r>
          </w:p>
        </w:tc>
        <w:tc>
          <w:tcPr>
            <w:tcW w:w="1212" w:type="pct"/>
            <w:vAlign w:val="center"/>
          </w:tcPr>
          <w:p w14:paraId="43CA54C2">
            <w:pPr>
              <w:pStyle w:val="55"/>
            </w:pPr>
            <w:r>
              <w:t>桂集镇勇敢村后乡组袁纪鑫家</w:t>
            </w:r>
          </w:p>
        </w:tc>
        <w:tc>
          <w:tcPr>
            <w:tcW w:w="749" w:type="pct"/>
            <w:vAlign w:val="center"/>
          </w:tcPr>
          <w:p w14:paraId="44225E7C">
            <w:pPr>
              <w:pStyle w:val="55"/>
            </w:pPr>
            <w:r>
              <w:t>线路边导线</w:t>
            </w:r>
            <w:r>
              <w:rPr>
                <w:rFonts w:hint="eastAsia"/>
              </w:rPr>
              <w:t>东北</w:t>
            </w:r>
            <w:r>
              <w:t>侧</w:t>
            </w:r>
            <w:r>
              <w:rPr>
                <w:rFonts w:hint="eastAsia"/>
              </w:rPr>
              <w:t>1</w:t>
            </w:r>
            <w:r>
              <w:t>3m</w:t>
            </w:r>
          </w:p>
        </w:tc>
        <w:tc>
          <w:tcPr>
            <w:tcW w:w="531" w:type="pct"/>
            <w:shd w:val="clear" w:color="auto" w:fill="auto"/>
            <w:vAlign w:val="center"/>
          </w:tcPr>
          <w:p w14:paraId="758F83E0">
            <w:pPr>
              <w:pStyle w:val="55"/>
            </w:pPr>
            <w:r>
              <w:t>1栋/居住</w:t>
            </w:r>
          </w:p>
        </w:tc>
        <w:tc>
          <w:tcPr>
            <w:tcW w:w="715" w:type="pct"/>
            <w:shd w:val="clear" w:color="auto" w:fill="auto"/>
            <w:vAlign w:val="center"/>
          </w:tcPr>
          <w:p w14:paraId="1DC3177F">
            <w:pPr>
              <w:pStyle w:val="55"/>
            </w:pPr>
            <w:r>
              <w:t>2层</w:t>
            </w:r>
            <w:r>
              <w:rPr>
                <w:rFonts w:hint="eastAsia"/>
              </w:rPr>
              <w:t>/3层</w:t>
            </w:r>
            <w:r>
              <w:t>平顶，高约6m</w:t>
            </w:r>
          </w:p>
        </w:tc>
        <w:tc>
          <w:tcPr>
            <w:tcW w:w="497" w:type="pct"/>
            <w:shd w:val="clear" w:color="auto" w:fill="auto"/>
            <w:vAlign w:val="center"/>
          </w:tcPr>
          <w:p w14:paraId="606924FF">
            <w:pPr>
              <w:pStyle w:val="55"/>
            </w:pPr>
            <w:r>
              <w:t>≥7</w:t>
            </w:r>
            <w:r>
              <w:rPr>
                <w:rFonts w:hint="eastAsia"/>
              </w:rPr>
              <w:t>.5</w:t>
            </w:r>
            <w:r>
              <w:t>m</w:t>
            </w:r>
          </w:p>
        </w:tc>
        <w:tc>
          <w:tcPr>
            <w:tcW w:w="556" w:type="pct"/>
            <w:vMerge w:val="continue"/>
            <w:vAlign w:val="center"/>
          </w:tcPr>
          <w:p w14:paraId="3CBD3DE1">
            <w:pPr>
              <w:pStyle w:val="55"/>
            </w:pPr>
          </w:p>
        </w:tc>
      </w:tr>
    </w:tbl>
    <w:p w14:paraId="4A887B99">
      <w:pPr>
        <w:pStyle w:val="51"/>
        <w:rPr>
          <w:color w:val="auto"/>
        </w:rPr>
      </w:pPr>
    </w:p>
    <w:bookmarkEnd w:id="12"/>
    <w:bookmarkEnd w:id="13"/>
    <w:bookmarkEnd w:id="14"/>
    <w:bookmarkEnd w:id="15"/>
    <w:bookmarkEnd w:id="16"/>
    <w:bookmarkEnd w:id="17"/>
    <w:p w14:paraId="70FA76B8">
      <w:pPr>
        <w:pStyle w:val="2"/>
        <w:rPr>
          <w:sz w:val="40"/>
          <w:szCs w:val="24"/>
        </w:rPr>
      </w:pPr>
      <w:bookmarkStart w:id="53" w:name="_Toc430099637"/>
      <w:bookmarkStart w:id="54" w:name="_Toc421772753"/>
      <w:bookmarkStart w:id="55" w:name="_Toc421611337"/>
      <w:bookmarkStart w:id="56" w:name="_Toc443400153"/>
      <w:bookmarkStart w:id="57" w:name="_Toc428724440"/>
      <w:bookmarkStart w:id="58" w:name="_Toc189983128"/>
      <w:r>
        <w:rPr>
          <w:sz w:val="40"/>
          <w:szCs w:val="24"/>
        </w:rPr>
        <w:br w:type="page"/>
      </w:r>
      <w:bookmarkStart w:id="59" w:name="_Toc85633922"/>
      <w:bookmarkStart w:id="60" w:name="_Toc85662704"/>
      <w:bookmarkStart w:id="61" w:name="_Toc85662756"/>
      <w:r>
        <w:rPr>
          <w:sz w:val="40"/>
          <w:szCs w:val="24"/>
        </w:rPr>
        <w:t xml:space="preserve">3 </w:t>
      </w:r>
      <w:r>
        <w:rPr>
          <w:rFonts w:hint="eastAsia"/>
          <w:sz w:val="40"/>
          <w:szCs w:val="24"/>
        </w:rPr>
        <w:t>环境质量现状监测与评价</w:t>
      </w:r>
      <w:bookmarkEnd w:id="53"/>
      <w:bookmarkEnd w:id="54"/>
      <w:bookmarkEnd w:id="55"/>
      <w:bookmarkEnd w:id="56"/>
      <w:bookmarkEnd w:id="57"/>
      <w:bookmarkEnd w:id="58"/>
      <w:bookmarkEnd w:id="59"/>
      <w:bookmarkEnd w:id="60"/>
      <w:bookmarkEnd w:id="61"/>
    </w:p>
    <w:p w14:paraId="53A95E63">
      <w:pPr>
        <w:pStyle w:val="51"/>
        <w:rPr>
          <w:color w:val="auto"/>
        </w:rPr>
      </w:pPr>
      <w:bookmarkStart w:id="62" w:name="_Toc279157704"/>
      <w:bookmarkStart w:id="63" w:name="_Toc189983134"/>
      <w:bookmarkStart w:id="64" w:name="_Toc189983129"/>
      <w:r>
        <w:rPr>
          <w:rFonts w:hint="eastAsia"/>
          <w:color w:val="auto"/>
        </w:rPr>
        <w:t>本次环评电磁现状委托合肥鑫鼎环保科技有限责任公司（计量认证合格证书号211212050683等）对升压站和输送线路所经地区的电磁环境现状进行了监测。</w:t>
      </w:r>
      <w:bookmarkEnd w:id="62"/>
      <w:bookmarkEnd w:id="63"/>
      <w:bookmarkEnd w:id="64"/>
    </w:p>
    <w:p w14:paraId="2396EB63">
      <w:pPr>
        <w:pStyle w:val="3"/>
        <w:rPr>
          <w:color w:val="auto"/>
        </w:rPr>
      </w:pPr>
      <w:bookmarkStart w:id="65" w:name="_Toc85662705"/>
      <w:bookmarkStart w:id="66" w:name="_Toc85633923"/>
      <w:bookmarkStart w:id="67" w:name="_Toc85662757"/>
      <w:r>
        <w:rPr>
          <w:rFonts w:hint="eastAsia"/>
          <w:color w:val="auto"/>
        </w:rPr>
        <w:t>3</w:t>
      </w:r>
      <w:r>
        <w:rPr>
          <w:color w:val="auto"/>
        </w:rPr>
        <w:t xml:space="preserve">.1 </w:t>
      </w:r>
      <w:r>
        <w:rPr>
          <w:rFonts w:hint="eastAsia"/>
          <w:color w:val="auto"/>
        </w:rPr>
        <w:t>升压站电磁现状监测与评价</w:t>
      </w:r>
      <w:bookmarkEnd w:id="65"/>
      <w:bookmarkEnd w:id="66"/>
      <w:bookmarkEnd w:id="67"/>
    </w:p>
    <w:p w14:paraId="6FD0EC42">
      <w:pPr>
        <w:pStyle w:val="4"/>
      </w:pPr>
      <w:bookmarkStart w:id="68" w:name="_Toc85633924"/>
      <w:bookmarkStart w:id="69" w:name="_Toc189983132"/>
      <w:r>
        <w:rPr>
          <w:rFonts w:hint="eastAsia"/>
        </w:rPr>
        <w:t>3</w:t>
      </w:r>
      <w:r>
        <w:t xml:space="preserve">.1.1 </w:t>
      </w:r>
      <w:r>
        <w:rPr>
          <w:rFonts w:hint="eastAsia"/>
        </w:rPr>
        <w:t>监测项目</w:t>
      </w:r>
      <w:bookmarkEnd w:id="68"/>
    </w:p>
    <w:p w14:paraId="3D04A221">
      <w:pPr>
        <w:pStyle w:val="51"/>
        <w:rPr>
          <w:color w:val="auto"/>
        </w:rPr>
      </w:pPr>
      <w:r>
        <w:rPr>
          <w:rFonts w:hint="eastAsia"/>
          <w:color w:val="auto"/>
        </w:rPr>
        <w:t>工频电场强度、工频磁感应强度：</w:t>
      </w:r>
    </w:p>
    <w:p w14:paraId="75CC9318">
      <w:pPr>
        <w:pStyle w:val="4"/>
      </w:pPr>
      <w:bookmarkStart w:id="70" w:name="_Toc85633925"/>
      <w:r>
        <w:rPr>
          <w:rFonts w:hint="eastAsia"/>
        </w:rPr>
        <w:t>3</w:t>
      </w:r>
      <w:r>
        <w:t xml:space="preserve">.1.2 </w:t>
      </w:r>
      <w:r>
        <w:rPr>
          <w:rFonts w:hint="eastAsia"/>
        </w:rPr>
        <w:t>监测方法</w:t>
      </w:r>
      <w:bookmarkEnd w:id="70"/>
    </w:p>
    <w:p w14:paraId="4433E805">
      <w:pPr>
        <w:pStyle w:val="51"/>
        <w:rPr>
          <w:color w:val="auto"/>
        </w:rPr>
      </w:pPr>
      <w:r>
        <w:rPr>
          <w:rFonts w:hint="eastAsia"/>
          <w:color w:val="auto"/>
        </w:rPr>
        <w:t>工频电场强度、工频磁感应强度监测方法执行《交流输变电工程电磁环境监测方法》（试行）（</w:t>
      </w:r>
      <w:r>
        <w:rPr>
          <w:color w:val="auto"/>
        </w:rPr>
        <w:t>HJ</w:t>
      </w:r>
      <w:bookmarkEnd w:id="69"/>
      <w:r>
        <w:rPr>
          <w:color w:val="auto"/>
        </w:rPr>
        <w:t>681-2013</w:t>
      </w:r>
      <w:r>
        <w:rPr>
          <w:rFonts w:hint="eastAsia"/>
          <w:color w:val="auto"/>
        </w:rPr>
        <w:t>）。</w:t>
      </w:r>
    </w:p>
    <w:p w14:paraId="1658DBAA">
      <w:pPr>
        <w:pStyle w:val="4"/>
      </w:pPr>
      <w:bookmarkStart w:id="71" w:name="_Toc85633926"/>
      <w:r>
        <w:rPr>
          <w:rFonts w:hint="eastAsia"/>
        </w:rPr>
        <w:t>3</w:t>
      </w:r>
      <w:r>
        <w:t xml:space="preserve">.1.3 </w:t>
      </w:r>
      <w:r>
        <w:rPr>
          <w:rFonts w:hint="eastAsia"/>
        </w:rPr>
        <w:t>监测布点</w:t>
      </w:r>
      <w:bookmarkEnd w:id="71"/>
    </w:p>
    <w:p w14:paraId="69EFC60C">
      <w:pPr>
        <w:pStyle w:val="51"/>
        <w:rPr>
          <w:color w:val="auto"/>
        </w:rPr>
      </w:pPr>
      <w:r>
        <w:rPr>
          <w:rFonts w:hint="eastAsia"/>
          <w:color w:val="auto"/>
        </w:rPr>
        <w:t>本次环评选取了升压站四周进行监测，监测点位布置见图3-1。</w:t>
      </w:r>
    </w:p>
    <w:p w14:paraId="2E8DAA87">
      <w:pPr>
        <w:pStyle w:val="87"/>
      </w:pPr>
      <w:r>
        <w:rPr>
          <w:rFonts w:hint="eastAsia"/>
        </w:rPr>
        <w:drawing>
          <wp:inline distT="0" distB="0" distL="114300" distR="114300">
            <wp:extent cx="5730875" cy="4051935"/>
            <wp:effectExtent l="0" t="0" r="3175" b="5715"/>
            <wp:docPr id="14" name="图片 14" descr="升压站电磁环境检测点位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升压站电磁环境检测点位图"/>
                    <pic:cNvPicPr>
                      <a:picLocks noChangeAspect="1"/>
                    </pic:cNvPicPr>
                  </pic:nvPicPr>
                  <pic:blipFill>
                    <a:blip r:embed="rId23"/>
                    <a:stretch>
                      <a:fillRect/>
                    </a:stretch>
                  </pic:blipFill>
                  <pic:spPr>
                    <a:xfrm>
                      <a:off x="0" y="0"/>
                      <a:ext cx="5730875" cy="4051935"/>
                    </a:xfrm>
                    <a:prstGeom prst="rect">
                      <a:avLst/>
                    </a:prstGeom>
                  </pic:spPr>
                </pic:pic>
              </a:graphicData>
            </a:graphic>
          </wp:inline>
        </w:drawing>
      </w:r>
    </w:p>
    <w:p w14:paraId="0BD3D3AA">
      <w:pPr>
        <w:pStyle w:val="83"/>
        <w:rPr>
          <w:lang w:val="en-US"/>
        </w:rPr>
      </w:pPr>
      <w:r>
        <w:rPr>
          <w:rFonts w:hint="eastAsia"/>
          <w:lang w:val="en-US"/>
        </w:rPr>
        <w:t>图3-1  升压站电磁环境监测点位图</w:t>
      </w:r>
    </w:p>
    <w:p w14:paraId="586BD355">
      <w:pPr>
        <w:pStyle w:val="4"/>
      </w:pPr>
      <w:bookmarkStart w:id="72" w:name="_Toc85633927"/>
      <w:r>
        <w:rPr>
          <w:rFonts w:hint="eastAsia"/>
        </w:rPr>
        <w:t>3</w:t>
      </w:r>
      <w:r>
        <w:t xml:space="preserve">.1.4 </w:t>
      </w:r>
      <w:r>
        <w:rPr>
          <w:rFonts w:hint="eastAsia"/>
        </w:rPr>
        <w:t>监测结果</w:t>
      </w:r>
      <w:bookmarkEnd w:id="72"/>
    </w:p>
    <w:p w14:paraId="3B975505">
      <w:pPr>
        <w:pStyle w:val="51"/>
        <w:rPr>
          <w:color w:val="auto"/>
        </w:rPr>
      </w:pPr>
      <w:r>
        <w:rPr>
          <w:rFonts w:hint="eastAsia"/>
          <w:color w:val="auto"/>
        </w:rPr>
        <w:t>监测仪器和监测环境条件如下表</w:t>
      </w:r>
      <w:r>
        <w:rPr>
          <w:color w:val="auto"/>
        </w:rPr>
        <w:t>3-1</w:t>
      </w:r>
      <w:r>
        <w:rPr>
          <w:rFonts w:hint="eastAsia"/>
          <w:color w:val="auto"/>
        </w:rPr>
        <w:t>和3</w:t>
      </w:r>
      <w:r>
        <w:rPr>
          <w:color w:val="auto"/>
        </w:rPr>
        <w:t>-2</w:t>
      </w:r>
      <w:r>
        <w:rPr>
          <w:rFonts w:hint="eastAsia"/>
          <w:color w:val="auto"/>
        </w:rPr>
        <w:t>，监测结果见表3</w:t>
      </w:r>
      <w:r>
        <w:rPr>
          <w:color w:val="auto"/>
        </w:rPr>
        <w:t>-3</w:t>
      </w:r>
      <w:r>
        <w:rPr>
          <w:rFonts w:hint="eastAsia"/>
          <w:color w:val="auto"/>
        </w:rPr>
        <w:t>。</w:t>
      </w:r>
    </w:p>
    <w:p w14:paraId="37A5854C">
      <w:pPr>
        <w:pStyle w:val="82"/>
      </w:pPr>
      <w:r>
        <w:rPr>
          <w:rFonts w:hint="eastAsia"/>
        </w:rPr>
        <w:t>表3-1  监测环境条件如下表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7"/>
        <w:gridCol w:w="1217"/>
        <w:gridCol w:w="1217"/>
        <w:gridCol w:w="1758"/>
        <w:gridCol w:w="1368"/>
        <w:gridCol w:w="1655"/>
      </w:tblGrid>
      <w:tr w14:paraId="5BC6C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1097" w:type="pct"/>
            <w:tcBorders>
              <w:top w:val="single" w:color="auto" w:sz="4" w:space="0"/>
              <w:left w:val="single" w:color="auto" w:sz="4" w:space="0"/>
              <w:bottom w:val="single" w:color="auto" w:sz="4" w:space="0"/>
              <w:right w:val="single" w:color="auto" w:sz="4" w:space="0"/>
              <w:tl2br w:val="nil"/>
              <w:tr2bl w:val="nil"/>
            </w:tcBorders>
            <w:vAlign w:val="center"/>
          </w:tcPr>
          <w:p w14:paraId="63F77E56">
            <w:pPr>
              <w:pStyle w:val="84"/>
              <w:rPr>
                <w:b/>
                <w:color w:val="auto"/>
                <w:lang w:val="zh-CN"/>
              </w:rPr>
            </w:pPr>
            <w:r>
              <w:rPr>
                <w:rFonts w:hint="eastAsia"/>
                <w:b/>
                <w:color w:val="auto"/>
                <w:lang w:val="zh-CN"/>
              </w:rPr>
              <w:t>日期</w:t>
            </w:r>
          </w:p>
        </w:tc>
        <w:tc>
          <w:tcPr>
            <w:tcW w:w="658" w:type="pct"/>
            <w:tcBorders>
              <w:top w:val="single" w:color="auto" w:sz="4" w:space="0"/>
              <w:left w:val="single" w:color="auto" w:sz="4" w:space="0"/>
              <w:bottom w:val="single" w:color="auto" w:sz="4" w:space="0"/>
              <w:right w:val="single" w:color="auto" w:sz="4" w:space="0"/>
              <w:tl2br w:val="nil"/>
              <w:tr2bl w:val="nil"/>
            </w:tcBorders>
            <w:vAlign w:val="center"/>
          </w:tcPr>
          <w:p w14:paraId="28B69F42">
            <w:pPr>
              <w:pStyle w:val="84"/>
              <w:rPr>
                <w:b/>
                <w:color w:val="auto"/>
                <w:lang w:val="zh-CN"/>
              </w:rPr>
            </w:pPr>
            <w:r>
              <w:rPr>
                <w:rFonts w:hint="eastAsia"/>
                <w:b/>
                <w:color w:val="auto"/>
                <w:lang w:val="zh-CN"/>
              </w:rPr>
              <w:t>时间</w:t>
            </w:r>
          </w:p>
        </w:tc>
        <w:tc>
          <w:tcPr>
            <w:tcW w:w="658" w:type="pct"/>
            <w:tcBorders>
              <w:top w:val="single" w:color="auto" w:sz="4" w:space="0"/>
              <w:left w:val="single" w:color="auto" w:sz="4" w:space="0"/>
              <w:bottom w:val="single" w:color="auto" w:sz="4" w:space="0"/>
              <w:right w:val="single" w:color="auto" w:sz="4" w:space="0"/>
              <w:tl2br w:val="nil"/>
              <w:tr2bl w:val="nil"/>
            </w:tcBorders>
            <w:vAlign w:val="center"/>
          </w:tcPr>
          <w:p w14:paraId="01085DAE">
            <w:pPr>
              <w:pStyle w:val="84"/>
              <w:rPr>
                <w:b/>
                <w:color w:val="auto"/>
                <w:lang w:val="zh-CN"/>
              </w:rPr>
            </w:pPr>
            <w:r>
              <w:rPr>
                <w:rFonts w:hint="eastAsia"/>
                <w:b/>
                <w:color w:val="auto"/>
                <w:lang w:val="zh-CN"/>
              </w:rPr>
              <w:t>天气状况</w:t>
            </w:r>
          </w:p>
        </w:tc>
        <w:tc>
          <w:tcPr>
            <w:tcW w:w="951" w:type="pct"/>
            <w:tcBorders>
              <w:top w:val="single" w:color="auto" w:sz="4" w:space="0"/>
              <w:left w:val="single" w:color="auto" w:sz="4" w:space="0"/>
              <w:bottom w:val="single" w:color="auto" w:sz="4" w:space="0"/>
              <w:right w:val="single" w:color="auto" w:sz="4" w:space="0"/>
              <w:tl2br w:val="nil"/>
              <w:tr2bl w:val="nil"/>
            </w:tcBorders>
            <w:vAlign w:val="center"/>
          </w:tcPr>
          <w:p w14:paraId="38FE8041">
            <w:pPr>
              <w:pStyle w:val="84"/>
              <w:rPr>
                <w:b/>
                <w:color w:val="auto"/>
                <w:lang w:val="zh-CN"/>
              </w:rPr>
            </w:pPr>
            <w:r>
              <w:rPr>
                <w:rFonts w:hint="eastAsia"/>
                <w:b/>
                <w:color w:val="auto"/>
                <w:lang w:val="zh-CN"/>
              </w:rPr>
              <w:t>风速风向（</w:t>
            </w:r>
            <w:r>
              <w:rPr>
                <w:b/>
                <w:color w:val="auto"/>
                <w:lang w:val="zh-CN"/>
              </w:rPr>
              <w:t>m/s</w:t>
            </w:r>
            <w:r>
              <w:rPr>
                <w:rFonts w:hint="eastAsia"/>
                <w:b/>
                <w:color w:val="auto"/>
                <w:lang w:val="zh-CN"/>
              </w:rPr>
              <w:t>）</w:t>
            </w:r>
          </w:p>
        </w:tc>
        <w:tc>
          <w:tcPr>
            <w:tcW w:w="740" w:type="pct"/>
            <w:tcBorders>
              <w:top w:val="single" w:color="auto" w:sz="4" w:space="0"/>
              <w:left w:val="single" w:color="auto" w:sz="4" w:space="0"/>
              <w:bottom w:val="single" w:color="auto" w:sz="4" w:space="0"/>
              <w:right w:val="single" w:color="auto" w:sz="4" w:space="0"/>
              <w:tl2br w:val="nil"/>
              <w:tr2bl w:val="nil"/>
            </w:tcBorders>
            <w:vAlign w:val="center"/>
          </w:tcPr>
          <w:p w14:paraId="168AFF41">
            <w:pPr>
              <w:pStyle w:val="84"/>
              <w:rPr>
                <w:b/>
                <w:color w:val="auto"/>
                <w:lang w:val="zh-CN"/>
              </w:rPr>
            </w:pPr>
            <w:r>
              <w:rPr>
                <w:rFonts w:hint="eastAsia"/>
                <w:b/>
                <w:color w:val="auto"/>
                <w:lang w:val="zh-CN"/>
              </w:rPr>
              <w:t>温度（℃）</w:t>
            </w:r>
          </w:p>
        </w:tc>
        <w:tc>
          <w:tcPr>
            <w:tcW w:w="895" w:type="pct"/>
            <w:tcBorders>
              <w:top w:val="single" w:color="auto" w:sz="4" w:space="0"/>
              <w:left w:val="single" w:color="auto" w:sz="4" w:space="0"/>
              <w:bottom w:val="single" w:color="auto" w:sz="4" w:space="0"/>
              <w:right w:val="single" w:color="auto" w:sz="4" w:space="0"/>
              <w:tl2br w:val="nil"/>
              <w:tr2bl w:val="nil"/>
            </w:tcBorders>
            <w:vAlign w:val="center"/>
          </w:tcPr>
          <w:p w14:paraId="6D6F240C">
            <w:pPr>
              <w:pStyle w:val="84"/>
              <w:rPr>
                <w:b/>
                <w:color w:val="auto"/>
              </w:rPr>
            </w:pPr>
            <w:r>
              <w:rPr>
                <w:rFonts w:hint="eastAsia"/>
                <w:b/>
                <w:color w:val="auto"/>
              </w:rPr>
              <w:t>环境湿度</w:t>
            </w:r>
          </w:p>
        </w:tc>
      </w:tr>
      <w:tr w14:paraId="0C7D5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097" w:type="pct"/>
            <w:vMerge w:val="restart"/>
            <w:tcBorders>
              <w:top w:val="single" w:color="auto" w:sz="4" w:space="0"/>
              <w:left w:val="single" w:color="auto" w:sz="4" w:space="0"/>
              <w:bottom w:val="single" w:color="auto" w:sz="4" w:space="0"/>
              <w:right w:val="single" w:color="auto" w:sz="4" w:space="0"/>
              <w:tl2br w:val="nil"/>
              <w:tr2bl w:val="nil"/>
            </w:tcBorders>
            <w:vAlign w:val="center"/>
          </w:tcPr>
          <w:p w14:paraId="749F68B7">
            <w:pPr>
              <w:pStyle w:val="84"/>
              <w:rPr>
                <w:color w:val="auto"/>
              </w:rPr>
            </w:pPr>
            <w:r>
              <w:rPr>
                <w:rFonts w:hint="eastAsia"/>
                <w:color w:val="auto"/>
              </w:rPr>
              <w:t>2025年1月20日</w:t>
            </w:r>
          </w:p>
        </w:tc>
        <w:tc>
          <w:tcPr>
            <w:tcW w:w="658" w:type="pct"/>
            <w:tcBorders>
              <w:top w:val="single" w:color="auto" w:sz="4" w:space="0"/>
              <w:left w:val="single" w:color="auto" w:sz="4" w:space="0"/>
              <w:bottom w:val="single" w:color="auto" w:sz="4" w:space="0"/>
              <w:right w:val="single" w:color="auto" w:sz="4" w:space="0"/>
              <w:tl2br w:val="nil"/>
              <w:tr2bl w:val="nil"/>
            </w:tcBorders>
            <w:vAlign w:val="center"/>
          </w:tcPr>
          <w:p w14:paraId="2281331D">
            <w:pPr>
              <w:pStyle w:val="84"/>
              <w:rPr>
                <w:color w:val="auto"/>
              </w:rPr>
            </w:pPr>
            <w:r>
              <w:rPr>
                <w:rFonts w:hint="eastAsia"/>
                <w:color w:val="auto"/>
              </w:rPr>
              <w:t>昼间</w:t>
            </w:r>
          </w:p>
        </w:tc>
        <w:tc>
          <w:tcPr>
            <w:tcW w:w="658" w:type="pct"/>
            <w:tcBorders>
              <w:top w:val="single" w:color="auto" w:sz="4" w:space="0"/>
              <w:left w:val="single" w:color="auto" w:sz="4" w:space="0"/>
              <w:bottom w:val="single" w:color="auto" w:sz="4" w:space="0"/>
              <w:right w:val="single" w:color="auto" w:sz="4" w:space="0"/>
              <w:tl2br w:val="nil"/>
              <w:tr2bl w:val="nil"/>
            </w:tcBorders>
            <w:vAlign w:val="center"/>
          </w:tcPr>
          <w:p w14:paraId="5192921C">
            <w:pPr>
              <w:pStyle w:val="84"/>
              <w:rPr>
                <w:color w:val="auto"/>
              </w:rPr>
            </w:pPr>
            <w:r>
              <w:rPr>
                <w:rFonts w:hint="eastAsia"/>
                <w:color w:val="auto"/>
              </w:rPr>
              <w:t>晴</w:t>
            </w:r>
          </w:p>
        </w:tc>
        <w:tc>
          <w:tcPr>
            <w:tcW w:w="951" w:type="pct"/>
            <w:tcBorders>
              <w:top w:val="single" w:color="auto" w:sz="4" w:space="0"/>
              <w:left w:val="single" w:color="auto" w:sz="4" w:space="0"/>
              <w:bottom w:val="single" w:color="auto" w:sz="4" w:space="0"/>
              <w:right w:val="single" w:color="auto" w:sz="4" w:space="0"/>
              <w:tl2br w:val="nil"/>
              <w:tr2bl w:val="nil"/>
            </w:tcBorders>
            <w:vAlign w:val="center"/>
          </w:tcPr>
          <w:p w14:paraId="7EFC2D4F">
            <w:pPr>
              <w:pStyle w:val="84"/>
              <w:rPr>
                <w:color w:val="auto"/>
              </w:rPr>
            </w:pPr>
            <w:r>
              <w:rPr>
                <w:rFonts w:hint="eastAsia"/>
                <w:color w:val="auto"/>
              </w:rPr>
              <w:t>1.0-1.5</w:t>
            </w:r>
          </w:p>
        </w:tc>
        <w:tc>
          <w:tcPr>
            <w:tcW w:w="740" w:type="pct"/>
            <w:tcBorders>
              <w:top w:val="single" w:color="auto" w:sz="4" w:space="0"/>
              <w:left w:val="single" w:color="auto" w:sz="4" w:space="0"/>
              <w:bottom w:val="single" w:color="auto" w:sz="4" w:space="0"/>
              <w:right w:val="single" w:color="auto" w:sz="4" w:space="0"/>
              <w:tl2br w:val="nil"/>
              <w:tr2bl w:val="nil"/>
            </w:tcBorders>
            <w:vAlign w:val="center"/>
          </w:tcPr>
          <w:p w14:paraId="2B633A8B">
            <w:pPr>
              <w:pStyle w:val="84"/>
              <w:rPr>
                <w:color w:val="auto"/>
              </w:rPr>
            </w:pPr>
            <w:r>
              <w:rPr>
                <w:rFonts w:hint="eastAsia"/>
                <w:color w:val="auto"/>
              </w:rPr>
              <w:t>9-14</w:t>
            </w:r>
          </w:p>
        </w:tc>
        <w:tc>
          <w:tcPr>
            <w:tcW w:w="895" w:type="pct"/>
            <w:tcBorders>
              <w:top w:val="single" w:color="auto" w:sz="4" w:space="0"/>
              <w:left w:val="single" w:color="auto" w:sz="4" w:space="0"/>
              <w:bottom w:val="single" w:color="auto" w:sz="4" w:space="0"/>
              <w:right w:val="single" w:color="auto" w:sz="4" w:space="0"/>
              <w:tl2br w:val="nil"/>
              <w:tr2bl w:val="nil"/>
            </w:tcBorders>
            <w:vAlign w:val="center"/>
          </w:tcPr>
          <w:p w14:paraId="18C9B04E">
            <w:pPr>
              <w:pStyle w:val="84"/>
              <w:rPr>
                <w:color w:val="auto"/>
              </w:rPr>
            </w:pPr>
            <w:r>
              <w:rPr>
                <w:rFonts w:hint="eastAsia"/>
                <w:color w:val="auto"/>
              </w:rPr>
              <w:t>31-40</w:t>
            </w:r>
          </w:p>
        </w:tc>
      </w:tr>
      <w:tr w14:paraId="29733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097" w:type="pct"/>
            <w:vMerge w:val="continue"/>
            <w:tcBorders>
              <w:top w:val="single" w:color="auto" w:sz="4" w:space="0"/>
              <w:left w:val="single" w:color="auto" w:sz="4" w:space="0"/>
              <w:bottom w:val="single" w:color="auto" w:sz="4" w:space="0"/>
              <w:right w:val="single" w:color="auto" w:sz="4" w:space="0"/>
              <w:tl2br w:val="nil"/>
              <w:tr2bl w:val="nil"/>
            </w:tcBorders>
            <w:vAlign w:val="center"/>
          </w:tcPr>
          <w:p w14:paraId="3E8989CC">
            <w:pPr>
              <w:pStyle w:val="84"/>
              <w:rPr>
                <w:color w:val="auto"/>
              </w:rPr>
            </w:pPr>
          </w:p>
        </w:tc>
        <w:tc>
          <w:tcPr>
            <w:tcW w:w="658" w:type="pct"/>
            <w:tcBorders>
              <w:top w:val="single" w:color="auto" w:sz="4" w:space="0"/>
              <w:left w:val="single" w:color="auto" w:sz="4" w:space="0"/>
              <w:bottom w:val="single" w:color="auto" w:sz="4" w:space="0"/>
              <w:right w:val="single" w:color="auto" w:sz="4" w:space="0"/>
              <w:tl2br w:val="nil"/>
              <w:tr2bl w:val="nil"/>
            </w:tcBorders>
            <w:vAlign w:val="center"/>
          </w:tcPr>
          <w:p w14:paraId="3D7821E3">
            <w:pPr>
              <w:pStyle w:val="84"/>
              <w:rPr>
                <w:color w:val="auto"/>
              </w:rPr>
            </w:pPr>
            <w:r>
              <w:rPr>
                <w:rFonts w:hint="eastAsia"/>
                <w:color w:val="auto"/>
              </w:rPr>
              <w:t>夜间</w:t>
            </w:r>
          </w:p>
        </w:tc>
        <w:tc>
          <w:tcPr>
            <w:tcW w:w="658" w:type="pct"/>
            <w:tcBorders>
              <w:top w:val="single" w:color="auto" w:sz="4" w:space="0"/>
              <w:left w:val="single" w:color="auto" w:sz="4" w:space="0"/>
              <w:bottom w:val="single" w:color="auto" w:sz="4" w:space="0"/>
              <w:right w:val="single" w:color="auto" w:sz="4" w:space="0"/>
              <w:tl2br w:val="nil"/>
              <w:tr2bl w:val="nil"/>
            </w:tcBorders>
            <w:vAlign w:val="center"/>
          </w:tcPr>
          <w:p w14:paraId="44B8E5F2">
            <w:pPr>
              <w:pStyle w:val="84"/>
              <w:rPr>
                <w:color w:val="auto"/>
              </w:rPr>
            </w:pPr>
            <w:r>
              <w:rPr>
                <w:rFonts w:hint="eastAsia"/>
                <w:color w:val="auto"/>
              </w:rPr>
              <w:t>晴</w:t>
            </w:r>
          </w:p>
        </w:tc>
        <w:tc>
          <w:tcPr>
            <w:tcW w:w="951" w:type="pct"/>
            <w:tcBorders>
              <w:top w:val="single" w:color="auto" w:sz="4" w:space="0"/>
              <w:left w:val="single" w:color="auto" w:sz="4" w:space="0"/>
              <w:bottom w:val="single" w:color="auto" w:sz="4" w:space="0"/>
              <w:right w:val="single" w:color="auto" w:sz="4" w:space="0"/>
              <w:tl2br w:val="nil"/>
              <w:tr2bl w:val="nil"/>
            </w:tcBorders>
            <w:vAlign w:val="center"/>
          </w:tcPr>
          <w:p w14:paraId="045A3EA6">
            <w:pPr>
              <w:pStyle w:val="84"/>
              <w:rPr>
                <w:color w:val="auto"/>
              </w:rPr>
            </w:pPr>
            <w:r>
              <w:rPr>
                <w:rFonts w:hint="eastAsia"/>
                <w:color w:val="auto"/>
              </w:rPr>
              <w:t>0.5-1.0</w:t>
            </w:r>
          </w:p>
        </w:tc>
        <w:tc>
          <w:tcPr>
            <w:tcW w:w="740" w:type="pct"/>
            <w:tcBorders>
              <w:top w:val="single" w:color="auto" w:sz="4" w:space="0"/>
              <w:left w:val="single" w:color="auto" w:sz="4" w:space="0"/>
              <w:bottom w:val="single" w:color="auto" w:sz="4" w:space="0"/>
              <w:right w:val="single" w:color="auto" w:sz="4" w:space="0"/>
              <w:tl2br w:val="nil"/>
              <w:tr2bl w:val="nil"/>
            </w:tcBorders>
            <w:vAlign w:val="center"/>
          </w:tcPr>
          <w:p w14:paraId="15220F98">
            <w:pPr>
              <w:pStyle w:val="84"/>
              <w:rPr>
                <w:color w:val="auto"/>
              </w:rPr>
            </w:pPr>
            <w:r>
              <w:rPr>
                <w:rFonts w:hint="eastAsia"/>
                <w:color w:val="auto"/>
              </w:rPr>
              <w:t>2-3</w:t>
            </w:r>
          </w:p>
        </w:tc>
        <w:tc>
          <w:tcPr>
            <w:tcW w:w="895" w:type="pct"/>
            <w:tcBorders>
              <w:top w:val="single" w:color="auto" w:sz="4" w:space="0"/>
              <w:left w:val="single" w:color="auto" w:sz="4" w:space="0"/>
              <w:bottom w:val="single" w:color="auto" w:sz="4" w:space="0"/>
              <w:right w:val="single" w:color="auto" w:sz="4" w:space="0"/>
              <w:tl2br w:val="nil"/>
              <w:tr2bl w:val="nil"/>
            </w:tcBorders>
            <w:vAlign w:val="center"/>
          </w:tcPr>
          <w:p w14:paraId="56BCF0EA">
            <w:pPr>
              <w:pStyle w:val="84"/>
              <w:rPr>
                <w:color w:val="auto"/>
              </w:rPr>
            </w:pPr>
            <w:r>
              <w:rPr>
                <w:rFonts w:hint="eastAsia"/>
                <w:color w:val="auto"/>
              </w:rPr>
              <w:t>68-73</w:t>
            </w:r>
          </w:p>
        </w:tc>
      </w:tr>
    </w:tbl>
    <w:p w14:paraId="434960EE">
      <w:pPr>
        <w:tabs>
          <w:tab w:val="left" w:pos="7920"/>
        </w:tabs>
        <w:ind w:firstLine="420" w:firstLineChars="199"/>
        <w:jc w:val="center"/>
        <w:rPr>
          <w:b/>
        </w:rPr>
      </w:pPr>
    </w:p>
    <w:p w14:paraId="711868CB">
      <w:pPr>
        <w:pStyle w:val="82"/>
      </w:pPr>
      <w:r>
        <w:rPr>
          <w:rFonts w:hint="eastAsia"/>
        </w:rPr>
        <w:t>表3-2  本工程现状检测仪器一览表</w:t>
      </w:r>
    </w:p>
    <w:tbl>
      <w:tblPr>
        <w:tblStyle w:val="2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9"/>
        <w:gridCol w:w="1440"/>
        <w:gridCol w:w="1468"/>
        <w:gridCol w:w="2575"/>
        <w:gridCol w:w="2316"/>
      </w:tblGrid>
      <w:tr w14:paraId="00B72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779" w:type="pct"/>
            <w:vAlign w:val="center"/>
          </w:tcPr>
          <w:p w14:paraId="507927E2">
            <w:pPr>
              <w:pStyle w:val="55"/>
              <w:rPr>
                <w:color w:val="auto"/>
              </w:rPr>
            </w:pPr>
            <w:r>
              <w:rPr>
                <w:rFonts w:hint="eastAsia"/>
                <w:color w:val="auto"/>
              </w:rPr>
              <w:t>仪器名称</w:t>
            </w:r>
          </w:p>
        </w:tc>
        <w:tc>
          <w:tcPr>
            <w:tcW w:w="779" w:type="pct"/>
            <w:vAlign w:val="center"/>
          </w:tcPr>
          <w:p w14:paraId="52FBF7EB">
            <w:pPr>
              <w:pStyle w:val="55"/>
              <w:rPr>
                <w:color w:val="auto"/>
              </w:rPr>
            </w:pPr>
            <w:r>
              <w:rPr>
                <w:rFonts w:hint="eastAsia"/>
                <w:color w:val="auto"/>
              </w:rPr>
              <w:t>型号</w:t>
            </w:r>
          </w:p>
        </w:tc>
        <w:tc>
          <w:tcPr>
            <w:tcW w:w="794" w:type="pct"/>
            <w:vAlign w:val="center"/>
          </w:tcPr>
          <w:p w14:paraId="2762E503">
            <w:pPr>
              <w:pStyle w:val="55"/>
              <w:rPr>
                <w:color w:val="auto"/>
              </w:rPr>
            </w:pPr>
            <w:r>
              <w:rPr>
                <w:rFonts w:hint="eastAsia"/>
                <w:color w:val="auto"/>
              </w:rPr>
              <w:t>出厂</w:t>
            </w:r>
          </w:p>
          <w:p w14:paraId="17F87A7C">
            <w:pPr>
              <w:pStyle w:val="55"/>
              <w:rPr>
                <w:color w:val="auto"/>
              </w:rPr>
            </w:pPr>
            <w:r>
              <w:rPr>
                <w:rFonts w:hint="eastAsia"/>
                <w:color w:val="auto"/>
              </w:rPr>
              <w:t>编号</w:t>
            </w:r>
          </w:p>
        </w:tc>
        <w:tc>
          <w:tcPr>
            <w:tcW w:w="1393" w:type="pct"/>
            <w:vAlign w:val="center"/>
          </w:tcPr>
          <w:p w14:paraId="327FAB15">
            <w:pPr>
              <w:pStyle w:val="55"/>
              <w:rPr>
                <w:color w:val="auto"/>
              </w:rPr>
            </w:pPr>
            <w:r>
              <w:rPr>
                <w:rFonts w:hint="eastAsia"/>
                <w:color w:val="auto"/>
              </w:rPr>
              <w:t>技术指标</w:t>
            </w:r>
          </w:p>
        </w:tc>
        <w:tc>
          <w:tcPr>
            <w:tcW w:w="1253" w:type="pct"/>
            <w:vAlign w:val="center"/>
          </w:tcPr>
          <w:p w14:paraId="66D31BC5">
            <w:pPr>
              <w:pStyle w:val="55"/>
              <w:rPr>
                <w:color w:val="auto"/>
              </w:rPr>
            </w:pPr>
            <w:r>
              <w:rPr>
                <w:rFonts w:hint="eastAsia"/>
                <w:color w:val="auto"/>
              </w:rPr>
              <w:t>校准/检定</w:t>
            </w:r>
          </w:p>
          <w:p w14:paraId="4BDD37EC">
            <w:pPr>
              <w:pStyle w:val="55"/>
              <w:rPr>
                <w:color w:val="auto"/>
              </w:rPr>
            </w:pPr>
            <w:r>
              <w:rPr>
                <w:rFonts w:hint="eastAsia"/>
                <w:color w:val="auto"/>
              </w:rPr>
              <w:t>证书号及有效期</w:t>
            </w:r>
          </w:p>
        </w:tc>
      </w:tr>
      <w:tr w14:paraId="6A70C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779" w:type="pct"/>
            <w:vAlign w:val="center"/>
          </w:tcPr>
          <w:p w14:paraId="0E474CA6">
            <w:pPr>
              <w:pStyle w:val="55"/>
              <w:rPr>
                <w:color w:val="auto"/>
              </w:rPr>
            </w:pPr>
            <w:r>
              <w:rPr>
                <w:rFonts w:hint="eastAsia"/>
                <w:color w:val="auto"/>
              </w:rPr>
              <w:t>电磁辐射分析仪</w:t>
            </w:r>
          </w:p>
        </w:tc>
        <w:tc>
          <w:tcPr>
            <w:tcW w:w="779" w:type="pct"/>
            <w:vAlign w:val="center"/>
          </w:tcPr>
          <w:p w14:paraId="60542D62">
            <w:pPr>
              <w:pStyle w:val="55"/>
              <w:rPr>
                <w:color w:val="auto"/>
              </w:rPr>
            </w:pPr>
            <w:r>
              <w:rPr>
                <w:rFonts w:hint="eastAsia"/>
                <w:color w:val="auto"/>
              </w:rPr>
              <w:t>SEM600/</w:t>
            </w:r>
          </w:p>
          <w:p w14:paraId="185DECF9">
            <w:pPr>
              <w:pStyle w:val="55"/>
              <w:rPr>
                <w:color w:val="auto"/>
              </w:rPr>
            </w:pPr>
            <w:r>
              <w:rPr>
                <w:rFonts w:hint="eastAsia"/>
                <w:color w:val="auto"/>
              </w:rPr>
              <w:t>LF-01D</w:t>
            </w:r>
          </w:p>
        </w:tc>
        <w:tc>
          <w:tcPr>
            <w:tcW w:w="794" w:type="pct"/>
            <w:vAlign w:val="center"/>
          </w:tcPr>
          <w:p w14:paraId="6658B883">
            <w:pPr>
              <w:pStyle w:val="55"/>
              <w:rPr>
                <w:color w:val="auto"/>
              </w:rPr>
            </w:pPr>
            <w:r>
              <w:rPr>
                <w:rFonts w:hint="eastAsia"/>
                <w:color w:val="auto"/>
              </w:rPr>
              <w:t>D-1586/</w:t>
            </w:r>
          </w:p>
          <w:p w14:paraId="74AB724C">
            <w:pPr>
              <w:pStyle w:val="55"/>
              <w:rPr>
                <w:color w:val="auto"/>
              </w:rPr>
            </w:pPr>
            <w:r>
              <w:rPr>
                <w:rFonts w:hint="eastAsia"/>
                <w:color w:val="auto"/>
              </w:rPr>
              <w:t>G-1586</w:t>
            </w:r>
          </w:p>
        </w:tc>
        <w:tc>
          <w:tcPr>
            <w:tcW w:w="1393" w:type="pct"/>
            <w:vAlign w:val="center"/>
          </w:tcPr>
          <w:p w14:paraId="704CBF59">
            <w:pPr>
              <w:pStyle w:val="55"/>
              <w:rPr>
                <w:color w:val="auto"/>
              </w:rPr>
            </w:pPr>
            <w:r>
              <w:rPr>
                <w:rFonts w:hint="eastAsia"/>
                <w:color w:val="auto"/>
              </w:rPr>
              <w:t>探头频率响应范围：1Hz～100kHz</w:t>
            </w:r>
          </w:p>
          <w:p w14:paraId="4B55AF58">
            <w:pPr>
              <w:pStyle w:val="55"/>
              <w:rPr>
                <w:color w:val="auto"/>
              </w:rPr>
            </w:pPr>
            <w:r>
              <w:rPr>
                <w:rFonts w:hint="eastAsia"/>
                <w:color w:val="auto"/>
              </w:rPr>
              <w:t>探头量程：</w:t>
            </w:r>
          </w:p>
          <w:p w14:paraId="3134A01B">
            <w:pPr>
              <w:pStyle w:val="55"/>
              <w:rPr>
                <w:color w:val="auto"/>
              </w:rPr>
            </w:pPr>
            <w:r>
              <w:rPr>
                <w:rFonts w:hint="eastAsia"/>
                <w:color w:val="auto"/>
              </w:rPr>
              <w:t>工频电场强度：0.01V/m～100kV/m</w:t>
            </w:r>
          </w:p>
          <w:p w14:paraId="4AEEFD2E">
            <w:pPr>
              <w:pStyle w:val="55"/>
              <w:rPr>
                <w:color w:val="auto"/>
              </w:rPr>
            </w:pPr>
            <w:r>
              <w:rPr>
                <w:rFonts w:hint="eastAsia"/>
                <w:color w:val="auto"/>
              </w:rPr>
              <w:t>工频磁感应强度：1nT～10mT</w:t>
            </w:r>
          </w:p>
        </w:tc>
        <w:tc>
          <w:tcPr>
            <w:tcW w:w="1253" w:type="pct"/>
            <w:vAlign w:val="center"/>
          </w:tcPr>
          <w:p w14:paraId="4D73B197">
            <w:pPr>
              <w:pStyle w:val="55"/>
              <w:rPr>
                <w:color w:val="auto"/>
              </w:rPr>
            </w:pPr>
            <w:r>
              <w:rPr>
                <w:rFonts w:hint="eastAsia"/>
                <w:color w:val="auto"/>
              </w:rPr>
              <w:t>24J02X004804有效期至2025年5月29日</w:t>
            </w:r>
          </w:p>
        </w:tc>
      </w:tr>
    </w:tbl>
    <w:p w14:paraId="0464A0EF">
      <w:pPr>
        <w:pStyle w:val="82"/>
      </w:pPr>
      <w:r>
        <w:rPr>
          <w:rFonts w:hint="eastAsia"/>
          <w:kern w:val="0"/>
        </w:rPr>
        <w:t>表</w:t>
      </w:r>
      <w:r>
        <w:t xml:space="preserve">3-3  </w:t>
      </w:r>
      <w:r>
        <w:rPr>
          <w:rFonts w:hint="eastAsia"/>
        </w:rPr>
        <w:t>本项目工频电场、工频磁感应强度监测结果</w:t>
      </w:r>
    </w:p>
    <w:tbl>
      <w:tblPr>
        <w:tblStyle w:val="25"/>
        <w:tblW w:w="4996"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949"/>
        <w:gridCol w:w="5231"/>
        <w:gridCol w:w="1556"/>
        <w:gridCol w:w="1499"/>
      </w:tblGrid>
      <w:tr w14:paraId="0AD5F2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7" w:hRule="atLeast"/>
          <w:tblHeader/>
          <w:jc w:val="center"/>
        </w:trPr>
        <w:tc>
          <w:tcPr>
            <w:tcW w:w="514" w:type="pct"/>
            <w:tcBorders>
              <w:tl2br w:val="nil"/>
              <w:tr2bl w:val="nil"/>
            </w:tcBorders>
            <w:vAlign w:val="center"/>
          </w:tcPr>
          <w:p w14:paraId="237EA487">
            <w:pPr>
              <w:pStyle w:val="55"/>
              <w:rPr>
                <w:color w:val="auto"/>
              </w:rPr>
            </w:pPr>
            <w:r>
              <w:rPr>
                <w:rFonts w:hint="eastAsia"/>
                <w:color w:val="auto"/>
              </w:rPr>
              <w:t>检测点位序号</w:t>
            </w:r>
          </w:p>
        </w:tc>
        <w:tc>
          <w:tcPr>
            <w:tcW w:w="2831" w:type="pct"/>
            <w:tcBorders>
              <w:tl2br w:val="nil"/>
              <w:tr2bl w:val="nil"/>
            </w:tcBorders>
            <w:vAlign w:val="center"/>
          </w:tcPr>
          <w:p w14:paraId="4C7A8F42">
            <w:pPr>
              <w:pStyle w:val="55"/>
              <w:rPr>
                <w:color w:val="auto"/>
              </w:rPr>
            </w:pPr>
            <w:r>
              <w:rPr>
                <w:rFonts w:hint="eastAsia"/>
                <w:color w:val="auto"/>
              </w:rPr>
              <w:t>检测点位置</w:t>
            </w:r>
          </w:p>
        </w:tc>
        <w:tc>
          <w:tcPr>
            <w:tcW w:w="842" w:type="pct"/>
            <w:tcBorders>
              <w:tl2br w:val="nil"/>
              <w:tr2bl w:val="nil"/>
            </w:tcBorders>
            <w:vAlign w:val="center"/>
          </w:tcPr>
          <w:p w14:paraId="14D6A401">
            <w:pPr>
              <w:pStyle w:val="55"/>
              <w:rPr>
                <w:color w:val="auto"/>
              </w:rPr>
            </w:pPr>
            <w:r>
              <w:rPr>
                <w:rFonts w:hint="eastAsia"/>
                <w:color w:val="auto"/>
              </w:rPr>
              <w:t>工频电场强度（V/m）</w:t>
            </w:r>
          </w:p>
        </w:tc>
        <w:tc>
          <w:tcPr>
            <w:tcW w:w="811" w:type="pct"/>
            <w:tcBorders>
              <w:tl2br w:val="nil"/>
              <w:tr2bl w:val="nil"/>
            </w:tcBorders>
            <w:vAlign w:val="center"/>
          </w:tcPr>
          <w:p w14:paraId="095E89B7">
            <w:pPr>
              <w:pStyle w:val="55"/>
              <w:rPr>
                <w:color w:val="auto"/>
              </w:rPr>
            </w:pPr>
            <w:r>
              <w:rPr>
                <w:rFonts w:hint="eastAsia"/>
                <w:color w:val="auto"/>
              </w:rPr>
              <w:t>工频磁感应强度（μT）</w:t>
            </w:r>
          </w:p>
        </w:tc>
      </w:tr>
      <w:tr w14:paraId="0E24AB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cantSplit/>
          <w:trHeight w:val="57" w:hRule="atLeast"/>
          <w:jc w:val="center"/>
        </w:trPr>
        <w:tc>
          <w:tcPr>
            <w:tcW w:w="514" w:type="pct"/>
            <w:tcBorders>
              <w:tl2br w:val="nil"/>
              <w:tr2bl w:val="nil"/>
            </w:tcBorders>
            <w:vAlign w:val="center"/>
          </w:tcPr>
          <w:p w14:paraId="4CCB6502">
            <w:pPr>
              <w:pStyle w:val="55"/>
              <w:rPr>
                <w:color w:val="auto"/>
              </w:rPr>
            </w:pPr>
            <w:r>
              <w:rPr>
                <w:rFonts w:hint="eastAsia"/>
                <w:color w:val="auto"/>
              </w:rPr>
              <w:t>1</w:t>
            </w:r>
          </w:p>
        </w:tc>
        <w:tc>
          <w:tcPr>
            <w:tcW w:w="2831" w:type="pct"/>
            <w:tcBorders>
              <w:tl2br w:val="nil"/>
              <w:tr2bl w:val="nil"/>
            </w:tcBorders>
            <w:vAlign w:val="center"/>
          </w:tcPr>
          <w:p w14:paraId="31EEE43B">
            <w:pPr>
              <w:pStyle w:val="55"/>
              <w:rPr>
                <w:color w:val="auto"/>
              </w:rPr>
            </w:pPr>
            <w:r>
              <w:rPr>
                <w:rFonts w:hint="eastAsia"/>
                <w:color w:val="auto"/>
              </w:rPr>
              <w:t>拟建升压站东站界</w:t>
            </w:r>
          </w:p>
        </w:tc>
        <w:tc>
          <w:tcPr>
            <w:tcW w:w="842" w:type="pct"/>
            <w:tcBorders>
              <w:tl2br w:val="nil"/>
              <w:tr2bl w:val="nil"/>
            </w:tcBorders>
            <w:vAlign w:val="center"/>
          </w:tcPr>
          <w:p w14:paraId="34B6717E">
            <w:pPr>
              <w:pStyle w:val="55"/>
              <w:rPr>
                <w:color w:val="auto"/>
              </w:rPr>
            </w:pPr>
            <w:r>
              <w:rPr>
                <w:rFonts w:hint="eastAsia"/>
                <w:color w:val="auto"/>
              </w:rPr>
              <w:t>3.8</w:t>
            </w:r>
          </w:p>
        </w:tc>
        <w:tc>
          <w:tcPr>
            <w:tcW w:w="811" w:type="pct"/>
            <w:tcBorders>
              <w:tl2br w:val="nil"/>
              <w:tr2bl w:val="nil"/>
            </w:tcBorders>
            <w:vAlign w:val="center"/>
          </w:tcPr>
          <w:p w14:paraId="562CC23E">
            <w:pPr>
              <w:pStyle w:val="55"/>
              <w:rPr>
                <w:color w:val="auto"/>
              </w:rPr>
            </w:pPr>
            <w:r>
              <w:rPr>
                <w:rFonts w:hint="eastAsia"/>
                <w:color w:val="auto"/>
              </w:rPr>
              <w:t>0.038</w:t>
            </w:r>
          </w:p>
        </w:tc>
      </w:tr>
      <w:tr w14:paraId="70DF62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cantSplit/>
          <w:trHeight w:val="57" w:hRule="atLeast"/>
          <w:jc w:val="center"/>
        </w:trPr>
        <w:tc>
          <w:tcPr>
            <w:tcW w:w="514" w:type="pct"/>
            <w:tcBorders>
              <w:tl2br w:val="nil"/>
              <w:tr2bl w:val="nil"/>
            </w:tcBorders>
            <w:vAlign w:val="center"/>
          </w:tcPr>
          <w:p w14:paraId="2FDBD070">
            <w:pPr>
              <w:pStyle w:val="55"/>
              <w:rPr>
                <w:color w:val="auto"/>
              </w:rPr>
            </w:pPr>
            <w:r>
              <w:rPr>
                <w:rFonts w:hint="eastAsia"/>
                <w:color w:val="auto"/>
              </w:rPr>
              <w:t>2</w:t>
            </w:r>
          </w:p>
        </w:tc>
        <w:tc>
          <w:tcPr>
            <w:tcW w:w="2831" w:type="pct"/>
            <w:tcBorders>
              <w:tl2br w:val="nil"/>
              <w:tr2bl w:val="nil"/>
            </w:tcBorders>
            <w:vAlign w:val="center"/>
          </w:tcPr>
          <w:p w14:paraId="1ED82D6F">
            <w:pPr>
              <w:pStyle w:val="55"/>
              <w:rPr>
                <w:color w:val="auto"/>
              </w:rPr>
            </w:pPr>
            <w:r>
              <w:rPr>
                <w:rFonts w:hint="eastAsia"/>
                <w:color w:val="auto"/>
              </w:rPr>
              <w:t>拟建升压站南站界</w:t>
            </w:r>
          </w:p>
        </w:tc>
        <w:tc>
          <w:tcPr>
            <w:tcW w:w="842" w:type="pct"/>
            <w:tcBorders>
              <w:tl2br w:val="nil"/>
              <w:tr2bl w:val="nil"/>
            </w:tcBorders>
            <w:vAlign w:val="center"/>
          </w:tcPr>
          <w:p w14:paraId="6653BF82">
            <w:pPr>
              <w:pStyle w:val="55"/>
              <w:rPr>
                <w:color w:val="auto"/>
              </w:rPr>
            </w:pPr>
            <w:r>
              <w:rPr>
                <w:rFonts w:hint="eastAsia"/>
                <w:color w:val="auto"/>
              </w:rPr>
              <w:t>2.2</w:t>
            </w:r>
          </w:p>
        </w:tc>
        <w:tc>
          <w:tcPr>
            <w:tcW w:w="811" w:type="pct"/>
            <w:tcBorders>
              <w:tl2br w:val="nil"/>
              <w:tr2bl w:val="nil"/>
            </w:tcBorders>
            <w:vAlign w:val="center"/>
          </w:tcPr>
          <w:p w14:paraId="35E6C34E">
            <w:pPr>
              <w:pStyle w:val="55"/>
              <w:rPr>
                <w:color w:val="auto"/>
              </w:rPr>
            </w:pPr>
            <w:r>
              <w:rPr>
                <w:rFonts w:hint="eastAsia"/>
                <w:color w:val="auto"/>
              </w:rPr>
              <w:t>0.029</w:t>
            </w:r>
          </w:p>
        </w:tc>
      </w:tr>
      <w:tr w14:paraId="3332B9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cantSplit/>
          <w:trHeight w:val="57" w:hRule="atLeast"/>
          <w:jc w:val="center"/>
        </w:trPr>
        <w:tc>
          <w:tcPr>
            <w:tcW w:w="514" w:type="pct"/>
            <w:tcBorders>
              <w:tl2br w:val="nil"/>
              <w:tr2bl w:val="nil"/>
            </w:tcBorders>
            <w:vAlign w:val="center"/>
          </w:tcPr>
          <w:p w14:paraId="44D0AAD2">
            <w:pPr>
              <w:pStyle w:val="55"/>
              <w:rPr>
                <w:color w:val="auto"/>
              </w:rPr>
            </w:pPr>
            <w:r>
              <w:rPr>
                <w:rFonts w:hint="eastAsia"/>
                <w:color w:val="auto"/>
              </w:rPr>
              <w:t>3</w:t>
            </w:r>
          </w:p>
        </w:tc>
        <w:tc>
          <w:tcPr>
            <w:tcW w:w="2831" w:type="pct"/>
            <w:tcBorders>
              <w:tl2br w:val="nil"/>
              <w:tr2bl w:val="nil"/>
            </w:tcBorders>
            <w:vAlign w:val="center"/>
          </w:tcPr>
          <w:p w14:paraId="14361A6D">
            <w:pPr>
              <w:pStyle w:val="55"/>
              <w:rPr>
                <w:color w:val="auto"/>
              </w:rPr>
            </w:pPr>
            <w:r>
              <w:rPr>
                <w:rFonts w:hint="eastAsia"/>
                <w:color w:val="auto"/>
              </w:rPr>
              <w:t>拟建升压站西站界</w:t>
            </w:r>
          </w:p>
        </w:tc>
        <w:tc>
          <w:tcPr>
            <w:tcW w:w="842" w:type="pct"/>
            <w:tcBorders>
              <w:tl2br w:val="nil"/>
              <w:tr2bl w:val="nil"/>
            </w:tcBorders>
            <w:vAlign w:val="center"/>
          </w:tcPr>
          <w:p w14:paraId="7AA07CCB">
            <w:pPr>
              <w:pStyle w:val="55"/>
              <w:rPr>
                <w:color w:val="auto"/>
              </w:rPr>
            </w:pPr>
            <w:r>
              <w:rPr>
                <w:rFonts w:hint="eastAsia"/>
                <w:color w:val="auto"/>
              </w:rPr>
              <w:t>1.8</w:t>
            </w:r>
          </w:p>
        </w:tc>
        <w:tc>
          <w:tcPr>
            <w:tcW w:w="811" w:type="pct"/>
            <w:tcBorders>
              <w:tl2br w:val="nil"/>
              <w:tr2bl w:val="nil"/>
            </w:tcBorders>
            <w:vAlign w:val="center"/>
          </w:tcPr>
          <w:p w14:paraId="79E07699">
            <w:pPr>
              <w:pStyle w:val="55"/>
              <w:rPr>
                <w:color w:val="auto"/>
              </w:rPr>
            </w:pPr>
            <w:r>
              <w:rPr>
                <w:rFonts w:hint="eastAsia"/>
                <w:color w:val="auto"/>
              </w:rPr>
              <w:t>0.031</w:t>
            </w:r>
          </w:p>
        </w:tc>
      </w:tr>
      <w:tr w14:paraId="1104C6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cantSplit/>
          <w:trHeight w:val="57" w:hRule="atLeast"/>
          <w:jc w:val="center"/>
        </w:trPr>
        <w:tc>
          <w:tcPr>
            <w:tcW w:w="514" w:type="pct"/>
            <w:tcBorders>
              <w:tl2br w:val="nil"/>
              <w:tr2bl w:val="nil"/>
            </w:tcBorders>
            <w:vAlign w:val="center"/>
          </w:tcPr>
          <w:p w14:paraId="3BFD8F95">
            <w:pPr>
              <w:pStyle w:val="55"/>
              <w:rPr>
                <w:color w:val="auto"/>
              </w:rPr>
            </w:pPr>
            <w:r>
              <w:rPr>
                <w:rFonts w:hint="eastAsia"/>
                <w:color w:val="auto"/>
              </w:rPr>
              <w:t>4</w:t>
            </w:r>
          </w:p>
        </w:tc>
        <w:tc>
          <w:tcPr>
            <w:tcW w:w="2831" w:type="pct"/>
            <w:tcBorders>
              <w:tl2br w:val="nil"/>
              <w:tr2bl w:val="nil"/>
            </w:tcBorders>
            <w:vAlign w:val="center"/>
          </w:tcPr>
          <w:p w14:paraId="097A1176">
            <w:pPr>
              <w:pStyle w:val="55"/>
              <w:rPr>
                <w:color w:val="auto"/>
              </w:rPr>
            </w:pPr>
            <w:r>
              <w:rPr>
                <w:rFonts w:hint="eastAsia"/>
                <w:color w:val="auto"/>
              </w:rPr>
              <w:t>拟建升压站北站界</w:t>
            </w:r>
          </w:p>
        </w:tc>
        <w:tc>
          <w:tcPr>
            <w:tcW w:w="842" w:type="pct"/>
            <w:tcBorders>
              <w:tl2br w:val="nil"/>
              <w:tr2bl w:val="nil"/>
            </w:tcBorders>
            <w:vAlign w:val="center"/>
          </w:tcPr>
          <w:p w14:paraId="2AFC968A">
            <w:pPr>
              <w:pStyle w:val="55"/>
              <w:rPr>
                <w:color w:val="auto"/>
              </w:rPr>
            </w:pPr>
            <w:r>
              <w:rPr>
                <w:rFonts w:hint="eastAsia"/>
                <w:color w:val="auto"/>
              </w:rPr>
              <w:t>5.2</w:t>
            </w:r>
          </w:p>
        </w:tc>
        <w:tc>
          <w:tcPr>
            <w:tcW w:w="811" w:type="pct"/>
            <w:tcBorders>
              <w:tl2br w:val="nil"/>
              <w:tr2bl w:val="nil"/>
            </w:tcBorders>
            <w:vAlign w:val="center"/>
          </w:tcPr>
          <w:p w14:paraId="3727E83A">
            <w:pPr>
              <w:pStyle w:val="55"/>
              <w:rPr>
                <w:color w:val="auto"/>
              </w:rPr>
            </w:pPr>
            <w:r>
              <w:rPr>
                <w:rFonts w:hint="eastAsia"/>
                <w:color w:val="auto"/>
              </w:rPr>
              <w:t>0.073</w:t>
            </w:r>
          </w:p>
        </w:tc>
      </w:tr>
      <w:tr w14:paraId="290B5A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cantSplit/>
          <w:trHeight w:val="57" w:hRule="atLeast"/>
          <w:jc w:val="center"/>
        </w:trPr>
        <w:tc>
          <w:tcPr>
            <w:tcW w:w="514" w:type="pct"/>
            <w:tcBorders>
              <w:tl2br w:val="nil"/>
              <w:tr2bl w:val="nil"/>
            </w:tcBorders>
            <w:vAlign w:val="center"/>
          </w:tcPr>
          <w:p w14:paraId="7F3EDBC8">
            <w:pPr>
              <w:pStyle w:val="55"/>
              <w:rPr>
                <w:color w:val="auto"/>
              </w:rPr>
            </w:pPr>
            <w:r>
              <w:rPr>
                <w:rFonts w:hint="eastAsia"/>
                <w:color w:val="auto"/>
              </w:rPr>
              <w:t>5</w:t>
            </w:r>
          </w:p>
        </w:tc>
        <w:tc>
          <w:tcPr>
            <w:tcW w:w="2831" w:type="pct"/>
            <w:tcBorders>
              <w:tl2br w:val="nil"/>
              <w:tr2bl w:val="nil"/>
            </w:tcBorders>
            <w:vAlign w:val="center"/>
          </w:tcPr>
          <w:p w14:paraId="298280F8">
            <w:pPr>
              <w:pStyle w:val="55"/>
              <w:rPr>
                <w:color w:val="auto"/>
              </w:rPr>
            </w:pPr>
            <w:r>
              <w:rPr>
                <w:rFonts w:hint="eastAsia"/>
                <w:color w:val="auto"/>
              </w:rPr>
              <w:t>凤台县桂集镇水质净化站南侧1m处</w:t>
            </w:r>
          </w:p>
        </w:tc>
        <w:tc>
          <w:tcPr>
            <w:tcW w:w="842" w:type="pct"/>
            <w:tcBorders>
              <w:tl2br w:val="nil"/>
              <w:tr2bl w:val="nil"/>
            </w:tcBorders>
            <w:vAlign w:val="center"/>
          </w:tcPr>
          <w:p w14:paraId="0E9A6092">
            <w:pPr>
              <w:pStyle w:val="55"/>
              <w:rPr>
                <w:color w:val="auto"/>
              </w:rPr>
            </w:pPr>
            <w:r>
              <w:rPr>
                <w:rFonts w:hint="eastAsia"/>
                <w:color w:val="auto"/>
              </w:rPr>
              <w:t>8.2</w:t>
            </w:r>
          </w:p>
        </w:tc>
        <w:tc>
          <w:tcPr>
            <w:tcW w:w="811" w:type="pct"/>
            <w:tcBorders>
              <w:tl2br w:val="nil"/>
              <w:tr2bl w:val="nil"/>
            </w:tcBorders>
            <w:vAlign w:val="center"/>
          </w:tcPr>
          <w:p w14:paraId="53777689">
            <w:pPr>
              <w:pStyle w:val="55"/>
              <w:rPr>
                <w:color w:val="auto"/>
              </w:rPr>
            </w:pPr>
            <w:r>
              <w:rPr>
                <w:rFonts w:hint="eastAsia"/>
                <w:color w:val="auto"/>
              </w:rPr>
              <w:t>0.123</w:t>
            </w:r>
          </w:p>
        </w:tc>
      </w:tr>
      <w:tr w14:paraId="14ECED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cantSplit/>
          <w:trHeight w:val="57" w:hRule="atLeast"/>
          <w:jc w:val="center"/>
        </w:trPr>
        <w:tc>
          <w:tcPr>
            <w:tcW w:w="514" w:type="pct"/>
            <w:tcBorders>
              <w:tl2br w:val="nil"/>
              <w:tr2bl w:val="nil"/>
            </w:tcBorders>
            <w:vAlign w:val="center"/>
          </w:tcPr>
          <w:p w14:paraId="338DA790">
            <w:pPr>
              <w:pStyle w:val="55"/>
              <w:rPr>
                <w:color w:val="auto"/>
              </w:rPr>
            </w:pPr>
            <w:r>
              <w:rPr>
                <w:rFonts w:hint="eastAsia"/>
                <w:color w:val="auto"/>
              </w:rPr>
              <w:t>6</w:t>
            </w:r>
          </w:p>
        </w:tc>
        <w:tc>
          <w:tcPr>
            <w:tcW w:w="2831" w:type="pct"/>
            <w:tcBorders>
              <w:tl2br w:val="nil"/>
              <w:tr2bl w:val="nil"/>
            </w:tcBorders>
            <w:vAlign w:val="center"/>
          </w:tcPr>
          <w:p w14:paraId="5C6217A7">
            <w:pPr>
              <w:pStyle w:val="55"/>
              <w:rPr>
                <w:color w:val="auto"/>
              </w:rPr>
            </w:pPr>
            <w:r>
              <w:rPr>
                <w:rFonts w:hint="eastAsia"/>
                <w:color w:val="auto"/>
              </w:rPr>
              <w:t>拟建升压站位置东侧活动板房西侧1m处</w:t>
            </w:r>
          </w:p>
        </w:tc>
        <w:tc>
          <w:tcPr>
            <w:tcW w:w="842" w:type="pct"/>
            <w:tcBorders>
              <w:tl2br w:val="nil"/>
              <w:tr2bl w:val="nil"/>
            </w:tcBorders>
            <w:vAlign w:val="center"/>
          </w:tcPr>
          <w:p w14:paraId="3A32416D">
            <w:pPr>
              <w:pStyle w:val="55"/>
              <w:rPr>
                <w:color w:val="auto"/>
              </w:rPr>
            </w:pPr>
            <w:r>
              <w:rPr>
                <w:rFonts w:hint="eastAsia"/>
                <w:color w:val="auto"/>
              </w:rPr>
              <w:t>2.4</w:t>
            </w:r>
          </w:p>
        </w:tc>
        <w:tc>
          <w:tcPr>
            <w:tcW w:w="811" w:type="pct"/>
            <w:tcBorders>
              <w:tl2br w:val="nil"/>
              <w:tr2bl w:val="nil"/>
            </w:tcBorders>
            <w:vAlign w:val="center"/>
          </w:tcPr>
          <w:p w14:paraId="3504D1AF">
            <w:pPr>
              <w:pStyle w:val="55"/>
              <w:rPr>
                <w:color w:val="auto"/>
              </w:rPr>
            </w:pPr>
            <w:r>
              <w:rPr>
                <w:rFonts w:hint="eastAsia"/>
                <w:color w:val="auto"/>
              </w:rPr>
              <w:t>0.039</w:t>
            </w:r>
          </w:p>
        </w:tc>
      </w:tr>
      <w:tr w14:paraId="5D4289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cantSplit/>
          <w:trHeight w:val="57" w:hRule="atLeast"/>
          <w:jc w:val="center"/>
        </w:trPr>
        <w:tc>
          <w:tcPr>
            <w:tcW w:w="514" w:type="pct"/>
            <w:tcBorders>
              <w:tl2br w:val="nil"/>
              <w:tr2bl w:val="nil"/>
            </w:tcBorders>
            <w:vAlign w:val="center"/>
          </w:tcPr>
          <w:p w14:paraId="6058B528">
            <w:pPr>
              <w:pStyle w:val="55"/>
              <w:rPr>
                <w:color w:val="auto"/>
              </w:rPr>
            </w:pPr>
            <w:r>
              <w:rPr>
                <w:rFonts w:hint="eastAsia"/>
                <w:color w:val="auto"/>
              </w:rPr>
              <w:t>7</w:t>
            </w:r>
          </w:p>
        </w:tc>
        <w:tc>
          <w:tcPr>
            <w:tcW w:w="2831" w:type="pct"/>
            <w:tcBorders>
              <w:tl2br w:val="nil"/>
              <w:tr2bl w:val="nil"/>
            </w:tcBorders>
            <w:vAlign w:val="center"/>
          </w:tcPr>
          <w:p w14:paraId="462AA7FB">
            <w:pPr>
              <w:pStyle w:val="55"/>
              <w:rPr>
                <w:color w:val="auto"/>
              </w:rPr>
            </w:pPr>
            <w:r>
              <w:rPr>
                <w:rFonts w:hint="eastAsia"/>
                <w:color w:val="auto"/>
              </w:rPr>
              <w:t>拟建升压站位置东南侧活动板房西侧1m处</w:t>
            </w:r>
          </w:p>
        </w:tc>
        <w:tc>
          <w:tcPr>
            <w:tcW w:w="842" w:type="pct"/>
            <w:tcBorders>
              <w:tl2br w:val="nil"/>
              <w:tr2bl w:val="nil"/>
            </w:tcBorders>
            <w:vAlign w:val="center"/>
          </w:tcPr>
          <w:p w14:paraId="6D7B29F6">
            <w:pPr>
              <w:pStyle w:val="55"/>
              <w:rPr>
                <w:color w:val="auto"/>
              </w:rPr>
            </w:pPr>
            <w:r>
              <w:rPr>
                <w:rFonts w:hint="eastAsia"/>
                <w:color w:val="auto"/>
              </w:rPr>
              <w:t>1.8</w:t>
            </w:r>
          </w:p>
        </w:tc>
        <w:tc>
          <w:tcPr>
            <w:tcW w:w="811" w:type="pct"/>
            <w:tcBorders>
              <w:tl2br w:val="nil"/>
              <w:tr2bl w:val="nil"/>
            </w:tcBorders>
            <w:vAlign w:val="center"/>
          </w:tcPr>
          <w:p w14:paraId="2905C425">
            <w:pPr>
              <w:pStyle w:val="55"/>
              <w:rPr>
                <w:color w:val="auto"/>
              </w:rPr>
            </w:pPr>
            <w:r>
              <w:rPr>
                <w:rFonts w:hint="eastAsia"/>
                <w:color w:val="auto"/>
              </w:rPr>
              <w:t>0.025</w:t>
            </w:r>
          </w:p>
        </w:tc>
      </w:tr>
    </w:tbl>
    <w:p w14:paraId="5CB4CB36">
      <w:pPr>
        <w:tabs>
          <w:tab w:val="left" w:pos="5670"/>
        </w:tabs>
        <w:spacing w:line="440" w:lineRule="exact"/>
        <w:ind w:firstLine="540" w:firstLineChars="225"/>
        <w:rPr>
          <w:sz w:val="24"/>
        </w:rPr>
      </w:pPr>
      <w:r>
        <w:rPr>
          <w:rFonts w:hint="eastAsia"/>
          <w:sz w:val="24"/>
        </w:rPr>
        <w:t>本次环评的升压站四周现状监测点处工频电场强度为1.8~8.2</w:t>
      </w:r>
      <w:r>
        <w:rPr>
          <w:sz w:val="24"/>
        </w:rPr>
        <w:t>V/m</w:t>
      </w:r>
      <w:r>
        <w:rPr>
          <w:rFonts w:hint="eastAsia"/>
          <w:sz w:val="24"/>
        </w:rPr>
        <w:t>，工频磁感应强度为0.025~</w:t>
      </w:r>
      <w:r>
        <w:rPr>
          <w:sz w:val="24"/>
        </w:rPr>
        <w:t>0.</w:t>
      </w:r>
      <w:r>
        <w:rPr>
          <w:rFonts w:hint="eastAsia"/>
          <w:sz w:val="24"/>
        </w:rPr>
        <w:t>123</w:t>
      </w:r>
      <w:r>
        <w:rPr>
          <w:sz w:val="24"/>
        </w:rPr>
        <w:t>μT</w:t>
      </w:r>
      <w:r>
        <w:rPr>
          <w:rFonts w:hint="eastAsia"/>
          <w:sz w:val="24"/>
        </w:rPr>
        <w:t>，均满足工频电场强度4000V/m，工频磁感应强度100μT的评价标准要求。</w:t>
      </w:r>
    </w:p>
    <w:p w14:paraId="1EE4ACB6">
      <w:pPr>
        <w:pStyle w:val="3"/>
        <w:rPr>
          <w:color w:val="auto"/>
        </w:rPr>
      </w:pPr>
      <w:bookmarkStart w:id="73" w:name="_Toc85662706"/>
      <w:bookmarkStart w:id="74" w:name="_Toc85633928"/>
      <w:bookmarkStart w:id="75" w:name="_Toc85662758"/>
      <w:r>
        <w:rPr>
          <w:rFonts w:hint="eastAsia"/>
          <w:color w:val="auto"/>
        </w:rPr>
        <w:t>3</w:t>
      </w:r>
      <w:r>
        <w:rPr>
          <w:color w:val="auto"/>
        </w:rPr>
        <w:t xml:space="preserve">.2 </w:t>
      </w:r>
      <w:r>
        <w:rPr>
          <w:rFonts w:hint="eastAsia"/>
          <w:color w:val="auto"/>
        </w:rPr>
        <w:t>送出线路工程电磁现状监测与评价</w:t>
      </w:r>
      <w:bookmarkEnd w:id="73"/>
      <w:bookmarkEnd w:id="74"/>
      <w:bookmarkEnd w:id="75"/>
    </w:p>
    <w:p w14:paraId="45C290A4">
      <w:pPr>
        <w:pStyle w:val="4"/>
      </w:pPr>
      <w:bookmarkStart w:id="76" w:name="_Toc85633929"/>
      <w:r>
        <w:rPr>
          <w:rFonts w:hint="eastAsia"/>
        </w:rPr>
        <w:t>3</w:t>
      </w:r>
      <w:r>
        <w:t xml:space="preserve">.2.1 </w:t>
      </w:r>
      <w:r>
        <w:rPr>
          <w:rFonts w:hint="eastAsia"/>
        </w:rPr>
        <w:t>监测项目</w:t>
      </w:r>
      <w:bookmarkEnd w:id="76"/>
    </w:p>
    <w:p w14:paraId="5433CB34">
      <w:pPr>
        <w:pStyle w:val="51"/>
        <w:rPr>
          <w:color w:val="auto"/>
        </w:rPr>
      </w:pPr>
      <w:r>
        <w:rPr>
          <w:rFonts w:hint="eastAsia"/>
          <w:color w:val="auto"/>
        </w:rPr>
        <w:t>工频电场强度、工频磁感应强度；</w:t>
      </w:r>
    </w:p>
    <w:p w14:paraId="62076BBF">
      <w:pPr>
        <w:pStyle w:val="4"/>
      </w:pPr>
      <w:bookmarkStart w:id="77" w:name="_Toc85633930"/>
      <w:r>
        <w:rPr>
          <w:rFonts w:hint="eastAsia"/>
        </w:rPr>
        <w:t>3</w:t>
      </w:r>
      <w:r>
        <w:t xml:space="preserve">.2.2 </w:t>
      </w:r>
      <w:r>
        <w:rPr>
          <w:rFonts w:hint="eastAsia"/>
        </w:rPr>
        <w:t>监测方法</w:t>
      </w:r>
      <w:bookmarkEnd w:id="77"/>
    </w:p>
    <w:p w14:paraId="51BD60C4">
      <w:pPr>
        <w:pStyle w:val="51"/>
        <w:rPr>
          <w:color w:val="auto"/>
        </w:rPr>
      </w:pPr>
      <w:r>
        <w:rPr>
          <w:rFonts w:hint="eastAsia"/>
          <w:color w:val="auto"/>
        </w:rPr>
        <w:t>工频电场强度、工频磁感应强度监测方法执行《交流输变电工程电磁环境监测方法》</w:t>
      </w:r>
      <w:bookmarkStart w:id="78" w:name="_Hlk85622678"/>
      <w:r>
        <w:rPr>
          <w:rFonts w:hint="eastAsia"/>
          <w:color w:val="auto"/>
        </w:rPr>
        <w:t>（试行）</w:t>
      </w:r>
      <w:bookmarkEnd w:id="78"/>
      <w:r>
        <w:rPr>
          <w:rFonts w:hint="eastAsia"/>
          <w:color w:val="auto"/>
        </w:rPr>
        <w:t>（</w:t>
      </w:r>
      <w:r>
        <w:rPr>
          <w:color w:val="auto"/>
        </w:rPr>
        <w:t>HJ681-2013</w:t>
      </w:r>
      <w:r>
        <w:rPr>
          <w:rFonts w:hint="eastAsia"/>
          <w:color w:val="auto"/>
        </w:rPr>
        <w:t>）。</w:t>
      </w:r>
    </w:p>
    <w:p w14:paraId="69362BFF">
      <w:pPr>
        <w:pStyle w:val="4"/>
      </w:pPr>
      <w:bookmarkStart w:id="79" w:name="_Toc85633931"/>
      <w:r>
        <w:rPr>
          <w:rFonts w:hint="eastAsia"/>
        </w:rPr>
        <w:t>3</w:t>
      </w:r>
      <w:r>
        <w:t xml:space="preserve">.2.3 </w:t>
      </w:r>
      <w:r>
        <w:rPr>
          <w:rFonts w:hint="eastAsia"/>
        </w:rPr>
        <w:t>监测布点</w:t>
      </w:r>
      <w:bookmarkEnd w:id="79"/>
    </w:p>
    <w:p w14:paraId="5E42CBF2">
      <w:pPr>
        <w:pStyle w:val="51"/>
        <w:rPr>
          <w:color w:val="auto"/>
        </w:rPr>
      </w:pPr>
      <w:r>
        <w:rPr>
          <w:rFonts w:hint="eastAsia"/>
          <w:color w:val="auto"/>
        </w:rPr>
        <w:t>线路路径监测点位11个。</w:t>
      </w:r>
    </w:p>
    <w:p w14:paraId="4396FBD9">
      <w:pPr>
        <w:pStyle w:val="4"/>
        <w:sectPr>
          <w:pgSz w:w="11906" w:h="16838"/>
          <w:pgMar w:top="1418" w:right="1440" w:bottom="1418" w:left="1440" w:header="851" w:footer="850" w:gutter="0"/>
          <w:cols w:space="720" w:num="1"/>
          <w:docGrid w:type="lines" w:linePitch="312" w:charSpace="0"/>
        </w:sectPr>
      </w:pPr>
      <w:bookmarkStart w:id="80" w:name="_Toc85633932"/>
    </w:p>
    <w:p w14:paraId="1248941E">
      <w:pPr>
        <w:pStyle w:val="87"/>
      </w:pPr>
      <w:r>
        <w:rPr>
          <w:rFonts w:hint="eastAsia"/>
        </w:rPr>
        <w:drawing>
          <wp:inline distT="0" distB="0" distL="114300" distR="114300">
            <wp:extent cx="8632190" cy="6004560"/>
            <wp:effectExtent l="0" t="0" r="16510" b="15240"/>
            <wp:docPr id="13" name="图片 13" descr="输电线路电磁环境检测点位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输电线路电磁环境检测点位图"/>
                    <pic:cNvPicPr>
                      <a:picLocks noChangeAspect="1"/>
                    </pic:cNvPicPr>
                  </pic:nvPicPr>
                  <pic:blipFill>
                    <a:blip r:embed="rId24"/>
                    <a:srcRect b="1613"/>
                    <a:stretch>
                      <a:fillRect/>
                    </a:stretch>
                  </pic:blipFill>
                  <pic:spPr>
                    <a:xfrm>
                      <a:off x="0" y="0"/>
                      <a:ext cx="8632190" cy="6004560"/>
                    </a:xfrm>
                    <a:prstGeom prst="rect">
                      <a:avLst/>
                    </a:prstGeom>
                  </pic:spPr>
                </pic:pic>
              </a:graphicData>
            </a:graphic>
          </wp:inline>
        </w:drawing>
      </w:r>
    </w:p>
    <w:p w14:paraId="0567060A">
      <w:pPr>
        <w:pStyle w:val="83"/>
        <w:rPr>
          <w:lang w:val="en-US"/>
        </w:rPr>
      </w:pPr>
      <w:r>
        <w:rPr>
          <w:rFonts w:hint="eastAsia"/>
          <w:lang w:val="en-US"/>
        </w:rPr>
        <w:t>图3-2  输电线路电磁环境监测点位图</w:t>
      </w:r>
    </w:p>
    <w:p w14:paraId="5C5F5784">
      <w:pPr>
        <w:pStyle w:val="83"/>
        <w:rPr>
          <w:lang w:val="en-US"/>
        </w:rPr>
        <w:sectPr>
          <w:pgSz w:w="16838" w:h="11906" w:orient="landscape"/>
          <w:pgMar w:top="720" w:right="720" w:bottom="720" w:left="720" w:header="567" w:footer="567" w:gutter="0"/>
          <w:cols w:space="720" w:num="1"/>
          <w:docGrid w:type="lines" w:linePitch="312" w:charSpace="0"/>
        </w:sectPr>
      </w:pPr>
    </w:p>
    <w:p w14:paraId="50AD5166">
      <w:pPr>
        <w:pStyle w:val="4"/>
      </w:pPr>
      <w:r>
        <w:rPr>
          <w:rFonts w:hint="eastAsia"/>
        </w:rPr>
        <w:t>3</w:t>
      </w:r>
      <w:r>
        <w:t xml:space="preserve">.1.4 </w:t>
      </w:r>
      <w:r>
        <w:rPr>
          <w:rFonts w:hint="eastAsia"/>
        </w:rPr>
        <w:t>监测结果</w:t>
      </w:r>
      <w:bookmarkEnd w:id="80"/>
    </w:p>
    <w:p w14:paraId="241885DB">
      <w:pPr>
        <w:pStyle w:val="51"/>
        <w:rPr>
          <w:color w:val="auto"/>
        </w:rPr>
      </w:pPr>
      <w:r>
        <w:rPr>
          <w:rFonts w:hint="eastAsia"/>
          <w:color w:val="auto"/>
        </w:rPr>
        <w:t>监测仪器和监测环境条件如下表3</w:t>
      </w:r>
      <w:r>
        <w:rPr>
          <w:color w:val="auto"/>
        </w:rPr>
        <w:t>-4</w:t>
      </w:r>
      <w:r>
        <w:rPr>
          <w:rFonts w:hint="eastAsia"/>
          <w:color w:val="auto"/>
        </w:rPr>
        <w:t>和3</w:t>
      </w:r>
      <w:r>
        <w:rPr>
          <w:color w:val="auto"/>
        </w:rPr>
        <w:t>-5</w:t>
      </w:r>
      <w:r>
        <w:rPr>
          <w:rFonts w:hint="eastAsia"/>
          <w:color w:val="auto"/>
        </w:rPr>
        <w:t>，监测结果见表</w:t>
      </w:r>
      <w:r>
        <w:rPr>
          <w:color w:val="auto"/>
        </w:rPr>
        <w:t>3-6</w:t>
      </w:r>
      <w:r>
        <w:rPr>
          <w:rFonts w:hint="eastAsia"/>
          <w:color w:val="auto"/>
        </w:rPr>
        <w:t>。</w:t>
      </w:r>
    </w:p>
    <w:p w14:paraId="5BD3E731">
      <w:pPr>
        <w:pStyle w:val="82"/>
      </w:pPr>
      <w:r>
        <w:rPr>
          <w:rFonts w:hint="eastAsia"/>
        </w:rPr>
        <w:t>表3-4  监测环境条件如下表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7"/>
        <w:gridCol w:w="1217"/>
        <w:gridCol w:w="1217"/>
        <w:gridCol w:w="1758"/>
        <w:gridCol w:w="1368"/>
        <w:gridCol w:w="1655"/>
      </w:tblGrid>
      <w:tr w14:paraId="6924E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1097" w:type="pct"/>
            <w:tcBorders>
              <w:top w:val="single" w:color="auto" w:sz="4" w:space="0"/>
              <w:left w:val="single" w:color="auto" w:sz="4" w:space="0"/>
              <w:bottom w:val="single" w:color="auto" w:sz="4" w:space="0"/>
              <w:right w:val="single" w:color="auto" w:sz="4" w:space="0"/>
              <w:tl2br w:val="nil"/>
              <w:tr2bl w:val="nil"/>
            </w:tcBorders>
            <w:vAlign w:val="center"/>
          </w:tcPr>
          <w:p w14:paraId="6B592B53">
            <w:pPr>
              <w:pStyle w:val="55"/>
              <w:rPr>
                <w:color w:val="auto"/>
                <w:lang w:val="zh-CN"/>
              </w:rPr>
            </w:pPr>
            <w:r>
              <w:rPr>
                <w:color w:val="auto"/>
                <w:lang w:val="zh-CN"/>
              </w:rPr>
              <w:t>日期</w:t>
            </w:r>
          </w:p>
        </w:tc>
        <w:tc>
          <w:tcPr>
            <w:tcW w:w="658" w:type="pct"/>
            <w:tcBorders>
              <w:top w:val="single" w:color="auto" w:sz="4" w:space="0"/>
              <w:left w:val="single" w:color="auto" w:sz="4" w:space="0"/>
              <w:bottom w:val="single" w:color="auto" w:sz="4" w:space="0"/>
              <w:right w:val="single" w:color="auto" w:sz="4" w:space="0"/>
              <w:tl2br w:val="nil"/>
              <w:tr2bl w:val="nil"/>
            </w:tcBorders>
            <w:vAlign w:val="center"/>
          </w:tcPr>
          <w:p w14:paraId="56DFF7E7">
            <w:pPr>
              <w:pStyle w:val="55"/>
              <w:rPr>
                <w:color w:val="auto"/>
                <w:lang w:val="zh-CN"/>
              </w:rPr>
            </w:pPr>
            <w:r>
              <w:rPr>
                <w:color w:val="auto"/>
                <w:lang w:val="zh-CN"/>
              </w:rPr>
              <w:t>时间</w:t>
            </w:r>
          </w:p>
        </w:tc>
        <w:tc>
          <w:tcPr>
            <w:tcW w:w="658" w:type="pct"/>
            <w:tcBorders>
              <w:top w:val="single" w:color="auto" w:sz="4" w:space="0"/>
              <w:left w:val="single" w:color="auto" w:sz="4" w:space="0"/>
              <w:bottom w:val="single" w:color="auto" w:sz="4" w:space="0"/>
              <w:right w:val="single" w:color="auto" w:sz="4" w:space="0"/>
              <w:tl2br w:val="nil"/>
              <w:tr2bl w:val="nil"/>
            </w:tcBorders>
            <w:vAlign w:val="center"/>
          </w:tcPr>
          <w:p w14:paraId="6936305B">
            <w:pPr>
              <w:pStyle w:val="55"/>
              <w:rPr>
                <w:color w:val="auto"/>
                <w:lang w:val="zh-CN"/>
              </w:rPr>
            </w:pPr>
            <w:r>
              <w:rPr>
                <w:color w:val="auto"/>
                <w:lang w:val="zh-CN"/>
              </w:rPr>
              <w:t>天气状况</w:t>
            </w:r>
          </w:p>
        </w:tc>
        <w:tc>
          <w:tcPr>
            <w:tcW w:w="951" w:type="pct"/>
            <w:tcBorders>
              <w:top w:val="single" w:color="auto" w:sz="4" w:space="0"/>
              <w:left w:val="single" w:color="auto" w:sz="4" w:space="0"/>
              <w:bottom w:val="single" w:color="auto" w:sz="4" w:space="0"/>
              <w:right w:val="single" w:color="auto" w:sz="4" w:space="0"/>
              <w:tl2br w:val="nil"/>
              <w:tr2bl w:val="nil"/>
            </w:tcBorders>
            <w:vAlign w:val="center"/>
          </w:tcPr>
          <w:p w14:paraId="5EEA1249">
            <w:pPr>
              <w:pStyle w:val="55"/>
              <w:rPr>
                <w:color w:val="auto"/>
                <w:lang w:val="zh-CN"/>
              </w:rPr>
            </w:pPr>
            <w:r>
              <w:rPr>
                <w:color w:val="auto"/>
                <w:lang w:val="zh-CN"/>
              </w:rPr>
              <w:t>风速风向（m/s）</w:t>
            </w:r>
          </w:p>
        </w:tc>
        <w:tc>
          <w:tcPr>
            <w:tcW w:w="740" w:type="pct"/>
            <w:tcBorders>
              <w:top w:val="single" w:color="auto" w:sz="4" w:space="0"/>
              <w:left w:val="single" w:color="auto" w:sz="4" w:space="0"/>
              <w:bottom w:val="single" w:color="auto" w:sz="4" w:space="0"/>
              <w:right w:val="single" w:color="auto" w:sz="4" w:space="0"/>
              <w:tl2br w:val="nil"/>
              <w:tr2bl w:val="nil"/>
            </w:tcBorders>
            <w:vAlign w:val="center"/>
          </w:tcPr>
          <w:p w14:paraId="54CC64B1">
            <w:pPr>
              <w:pStyle w:val="55"/>
              <w:rPr>
                <w:color w:val="auto"/>
                <w:lang w:val="zh-CN"/>
              </w:rPr>
            </w:pPr>
            <w:r>
              <w:rPr>
                <w:color w:val="auto"/>
                <w:lang w:val="zh-CN"/>
              </w:rPr>
              <w:t>温度（℃）</w:t>
            </w:r>
          </w:p>
        </w:tc>
        <w:tc>
          <w:tcPr>
            <w:tcW w:w="895" w:type="pct"/>
            <w:tcBorders>
              <w:top w:val="single" w:color="auto" w:sz="4" w:space="0"/>
              <w:left w:val="single" w:color="auto" w:sz="4" w:space="0"/>
              <w:bottom w:val="single" w:color="auto" w:sz="4" w:space="0"/>
              <w:right w:val="single" w:color="auto" w:sz="4" w:space="0"/>
              <w:tl2br w:val="nil"/>
              <w:tr2bl w:val="nil"/>
            </w:tcBorders>
            <w:vAlign w:val="center"/>
          </w:tcPr>
          <w:p w14:paraId="403FC2E7">
            <w:pPr>
              <w:pStyle w:val="55"/>
              <w:rPr>
                <w:color w:val="auto"/>
              </w:rPr>
            </w:pPr>
            <w:r>
              <w:rPr>
                <w:color w:val="auto"/>
              </w:rPr>
              <w:t>环境湿度</w:t>
            </w:r>
          </w:p>
        </w:tc>
      </w:tr>
      <w:tr w14:paraId="52200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097" w:type="pct"/>
            <w:vMerge w:val="restart"/>
            <w:tcBorders>
              <w:top w:val="single" w:color="auto" w:sz="4" w:space="0"/>
              <w:left w:val="single" w:color="auto" w:sz="4" w:space="0"/>
              <w:bottom w:val="single" w:color="auto" w:sz="4" w:space="0"/>
              <w:right w:val="single" w:color="auto" w:sz="4" w:space="0"/>
              <w:tl2br w:val="nil"/>
              <w:tr2bl w:val="nil"/>
            </w:tcBorders>
            <w:vAlign w:val="center"/>
          </w:tcPr>
          <w:p w14:paraId="46E30D9A">
            <w:pPr>
              <w:pStyle w:val="55"/>
              <w:rPr>
                <w:color w:val="auto"/>
              </w:rPr>
            </w:pPr>
            <w:r>
              <w:rPr>
                <w:color w:val="auto"/>
              </w:rPr>
              <w:t>2025年1月20日</w:t>
            </w:r>
          </w:p>
        </w:tc>
        <w:tc>
          <w:tcPr>
            <w:tcW w:w="658" w:type="pct"/>
            <w:tcBorders>
              <w:top w:val="single" w:color="auto" w:sz="4" w:space="0"/>
              <w:left w:val="single" w:color="auto" w:sz="4" w:space="0"/>
              <w:bottom w:val="single" w:color="auto" w:sz="4" w:space="0"/>
              <w:right w:val="single" w:color="auto" w:sz="4" w:space="0"/>
              <w:tl2br w:val="nil"/>
              <w:tr2bl w:val="nil"/>
            </w:tcBorders>
            <w:vAlign w:val="center"/>
          </w:tcPr>
          <w:p w14:paraId="0F8D9840">
            <w:pPr>
              <w:pStyle w:val="55"/>
              <w:rPr>
                <w:color w:val="auto"/>
              </w:rPr>
            </w:pPr>
            <w:r>
              <w:rPr>
                <w:color w:val="auto"/>
              </w:rPr>
              <w:t>昼间</w:t>
            </w:r>
          </w:p>
        </w:tc>
        <w:tc>
          <w:tcPr>
            <w:tcW w:w="658" w:type="pct"/>
            <w:tcBorders>
              <w:top w:val="single" w:color="auto" w:sz="4" w:space="0"/>
              <w:left w:val="single" w:color="auto" w:sz="4" w:space="0"/>
              <w:bottom w:val="single" w:color="auto" w:sz="4" w:space="0"/>
              <w:right w:val="single" w:color="auto" w:sz="4" w:space="0"/>
              <w:tl2br w:val="nil"/>
              <w:tr2bl w:val="nil"/>
            </w:tcBorders>
            <w:vAlign w:val="center"/>
          </w:tcPr>
          <w:p w14:paraId="461697C8">
            <w:pPr>
              <w:pStyle w:val="55"/>
              <w:rPr>
                <w:color w:val="auto"/>
              </w:rPr>
            </w:pPr>
            <w:r>
              <w:rPr>
                <w:color w:val="auto"/>
              </w:rPr>
              <w:t>晴</w:t>
            </w:r>
          </w:p>
        </w:tc>
        <w:tc>
          <w:tcPr>
            <w:tcW w:w="951" w:type="pct"/>
            <w:tcBorders>
              <w:top w:val="single" w:color="auto" w:sz="4" w:space="0"/>
              <w:left w:val="single" w:color="auto" w:sz="4" w:space="0"/>
              <w:bottom w:val="single" w:color="auto" w:sz="4" w:space="0"/>
              <w:right w:val="single" w:color="auto" w:sz="4" w:space="0"/>
              <w:tl2br w:val="nil"/>
              <w:tr2bl w:val="nil"/>
            </w:tcBorders>
            <w:vAlign w:val="center"/>
          </w:tcPr>
          <w:p w14:paraId="6BC9A6E6">
            <w:pPr>
              <w:pStyle w:val="55"/>
              <w:rPr>
                <w:color w:val="auto"/>
              </w:rPr>
            </w:pPr>
            <w:r>
              <w:rPr>
                <w:color w:val="auto"/>
              </w:rPr>
              <w:t>1.0-1.5</w:t>
            </w:r>
          </w:p>
        </w:tc>
        <w:tc>
          <w:tcPr>
            <w:tcW w:w="740" w:type="pct"/>
            <w:tcBorders>
              <w:top w:val="single" w:color="auto" w:sz="4" w:space="0"/>
              <w:left w:val="single" w:color="auto" w:sz="4" w:space="0"/>
              <w:bottom w:val="single" w:color="auto" w:sz="4" w:space="0"/>
              <w:right w:val="single" w:color="auto" w:sz="4" w:space="0"/>
              <w:tl2br w:val="nil"/>
              <w:tr2bl w:val="nil"/>
            </w:tcBorders>
            <w:vAlign w:val="center"/>
          </w:tcPr>
          <w:p w14:paraId="3214BE31">
            <w:pPr>
              <w:pStyle w:val="55"/>
              <w:rPr>
                <w:color w:val="auto"/>
              </w:rPr>
            </w:pPr>
            <w:r>
              <w:rPr>
                <w:color w:val="auto"/>
              </w:rPr>
              <w:t>9-14</w:t>
            </w:r>
          </w:p>
        </w:tc>
        <w:tc>
          <w:tcPr>
            <w:tcW w:w="895" w:type="pct"/>
            <w:tcBorders>
              <w:top w:val="single" w:color="auto" w:sz="4" w:space="0"/>
              <w:left w:val="single" w:color="auto" w:sz="4" w:space="0"/>
              <w:bottom w:val="single" w:color="auto" w:sz="4" w:space="0"/>
              <w:right w:val="single" w:color="auto" w:sz="4" w:space="0"/>
              <w:tl2br w:val="nil"/>
              <w:tr2bl w:val="nil"/>
            </w:tcBorders>
            <w:vAlign w:val="center"/>
          </w:tcPr>
          <w:p w14:paraId="60D1225C">
            <w:pPr>
              <w:pStyle w:val="55"/>
              <w:rPr>
                <w:color w:val="auto"/>
              </w:rPr>
            </w:pPr>
            <w:r>
              <w:rPr>
                <w:color w:val="auto"/>
              </w:rPr>
              <w:t>31-40</w:t>
            </w:r>
          </w:p>
        </w:tc>
      </w:tr>
      <w:tr w14:paraId="05863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097" w:type="pct"/>
            <w:vMerge w:val="continue"/>
            <w:tcBorders>
              <w:top w:val="single" w:color="auto" w:sz="4" w:space="0"/>
              <w:left w:val="single" w:color="auto" w:sz="4" w:space="0"/>
              <w:bottom w:val="single" w:color="auto" w:sz="4" w:space="0"/>
              <w:right w:val="single" w:color="auto" w:sz="4" w:space="0"/>
              <w:tl2br w:val="nil"/>
              <w:tr2bl w:val="nil"/>
            </w:tcBorders>
            <w:vAlign w:val="center"/>
          </w:tcPr>
          <w:p w14:paraId="316BD7B1">
            <w:pPr>
              <w:pStyle w:val="55"/>
              <w:rPr>
                <w:color w:val="auto"/>
              </w:rPr>
            </w:pPr>
          </w:p>
        </w:tc>
        <w:tc>
          <w:tcPr>
            <w:tcW w:w="658" w:type="pct"/>
            <w:tcBorders>
              <w:top w:val="single" w:color="auto" w:sz="4" w:space="0"/>
              <w:left w:val="single" w:color="auto" w:sz="4" w:space="0"/>
              <w:bottom w:val="single" w:color="auto" w:sz="4" w:space="0"/>
              <w:right w:val="single" w:color="auto" w:sz="4" w:space="0"/>
              <w:tl2br w:val="nil"/>
              <w:tr2bl w:val="nil"/>
            </w:tcBorders>
            <w:vAlign w:val="center"/>
          </w:tcPr>
          <w:p w14:paraId="113E7839">
            <w:pPr>
              <w:pStyle w:val="55"/>
              <w:rPr>
                <w:color w:val="auto"/>
              </w:rPr>
            </w:pPr>
            <w:r>
              <w:rPr>
                <w:color w:val="auto"/>
              </w:rPr>
              <w:t>夜间</w:t>
            </w:r>
          </w:p>
        </w:tc>
        <w:tc>
          <w:tcPr>
            <w:tcW w:w="658" w:type="pct"/>
            <w:tcBorders>
              <w:top w:val="single" w:color="auto" w:sz="4" w:space="0"/>
              <w:left w:val="single" w:color="auto" w:sz="4" w:space="0"/>
              <w:bottom w:val="single" w:color="auto" w:sz="4" w:space="0"/>
              <w:right w:val="single" w:color="auto" w:sz="4" w:space="0"/>
              <w:tl2br w:val="nil"/>
              <w:tr2bl w:val="nil"/>
            </w:tcBorders>
            <w:vAlign w:val="center"/>
          </w:tcPr>
          <w:p w14:paraId="2496CACC">
            <w:pPr>
              <w:pStyle w:val="55"/>
              <w:rPr>
                <w:color w:val="auto"/>
              </w:rPr>
            </w:pPr>
            <w:r>
              <w:rPr>
                <w:color w:val="auto"/>
              </w:rPr>
              <w:t>晴</w:t>
            </w:r>
          </w:p>
        </w:tc>
        <w:tc>
          <w:tcPr>
            <w:tcW w:w="951" w:type="pct"/>
            <w:tcBorders>
              <w:top w:val="single" w:color="auto" w:sz="4" w:space="0"/>
              <w:left w:val="single" w:color="auto" w:sz="4" w:space="0"/>
              <w:bottom w:val="single" w:color="auto" w:sz="4" w:space="0"/>
              <w:right w:val="single" w:color="auto" w:sz="4" w:space="0"/>
              <w:tl2br w:val="nil"/>
              <w:tr2bl w:val="nil"/>
            </w:tcBorders>
            <w:vAlign w:val="center"/>
          </w:tcPr>
          <w:p w14:paraId="47EEAE67">
            <w:pPr>
              <w:pStyle w:val="55"/>
              <w:rPr>
                <w:color w:val="auto"/>
              </w:rPr>
            </w:pPr>
            <w:r>
              <w:rPr>
                <w:color w:val="auto"/>
              </w:rPr>
              <w:t>0.5-1.0</w:t>
            </w:r>
          </w:p>
        </w:tc>
        <w:tc>
          <w:tcPr>
            <w:tcW w:w="740" w:type="pct"/>
            <w:tcBorders>
              <w:top w:val="single" w:color="auto" w:sz="4" w:space="0"/>
              <w:left w:val="single" w:color="auto" w:sz="4" w:space="0"/>
              <w:bottom w:val="single" w:color="auto" w:sz="4" w:space="0"/>
              <w:right w:val="single" w:color="auto" w:sz="4" w:space="0"/>
              <w:tl2br w:val="nil"/>
              <w:tr2bl w:val="nil"/>
            </w:tcBorders>
            <w:vAlign w:val="center"/>
          </w:tcPr>
          <w:p w14:paraId="2AA58B66">
            <w:pPr>
              <w:pStyle w:val="55"/>
              <w:rPr>
                <w:color w:val="auto"/>
              </w:rPr>
            </w:pPr>
            <w:r>
              <w:rPr>
                <w:color w:val="auto"/>
              </w:rPr>
              <w:t>2-3</w:t>
            </w:r>
          </w:p>
        </w:tc>
        <w:tc>
          <w:tcPr>
            <w:tcW w:w="895" w:type="pct"/>
            <w:tcBorders>
              <w:top w:val="single" w:color="auto" w:sz="4" w:space="0"/>
              <w:left w:val="single" w:color="auto" w:sz="4" w:space="0"/>
              <w:bottom w:val="single" w:color="auto" w:sz="4" w:space="0"/>
              <w:right w:val="single" w:color="auto" w:sz="4" w:space="0"/>
              <w:tl2br w:val="nil"/>
              <w:tr2bl w:val="nil"/>
            </w:tcBorders>
            <w:vAlign w:val="center"/>
          </w:tcPr>
          <w:p w14:paraId="2BE183B3">
            <w:pPr>
              <w:pStyle w:val="55"/>
              <w:rPr>
                <w:color w:val="auto"/>
              </w:rPr>
            </w:pPr>
            <w:r>
              <w:rPr>
                <w:color w:val="auto"/>
              </w:rPr>
              <w:t>68-73</w:t>
            </w:r>
          </w:p>
        </w:tc>
      </w:tr>
    </w:tbl>
    <w:p w14:paraId="088508BE">
      <w:pPr>
        <w:tabs>
          <w:tab w:val="left" w:pos="7920"/>
        </w:tabs>
        <w:ind w:firstLine="420" w:firstLineChars="199"/>
        <w:jc w:val="center"/>
        <w:rPr>
          <w:b/>
        </w:rPr>
      </w:pPr>
    </w:p>
    <w:p w14:paraId="72AD0B5B">
      <w:pPr>
        <w:pStyle w:val="82"/>
      </w:pPr>
      <w:r>
        <w:rPr>
          <w:rFonts w:hint="eastAsia"/>
        </w:rPr>
        <w:t>表3-5  本工程现状检测仪器一览表</w:t>
      </w:r>
    </w:p>
    <w:tbl>
      <w:tblPr>
        <w:tblStyle w:val="2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9"/>
        <w:gridCol w:w="1440"/>
        <w:gridCol w:w="1468"/>
        <w:gridCol w:w="2575"/>
        <w:gridCol w:w="2316"/>
      </w:tblGrid>
      <w:tr w14:paraId="62D16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779" w:type="pct"/>
            <w:vAlign w:val="center"/>
          </w:tcPr>
          <w:p w14:paraId="739993F2">
            <w:pPr>
              <w:pStyle w:val="55"/>
              <w:rPr>
                <w:color w:val="auto"/>
              </w:rPr>
            </w:pPr>
            <w:r>
              <w:rPr>
                <w:rFonts w:hint="eastAsia"/>
                <w:color w:val="auto"/>
              </w:rPr>
              <w:t>仪器名称</w:t>
            </w:r>
          </w:p>
        </w:tc>
        <w:tc>
          <w:tcPr>
            <w:tcW w:w="779" w:type="pct"/>
            <w:vAlign w:val="center"/>
          </w:tcPr>
          <w:p w14:paraId="65CDAEB6">
            <w:pPr>
              <w:pStyle w:val="55"/>
              <w:rPr>
                <w:color w:val="auto"/>
              </w:rPr>
            </w:pPr>
            <w:r>
              <w:rPr>
                <w:rFonts w:hint="eastAsia"/>
                <w:color w:val="auto"/>
              </w:rPr>
              <w:t>型号</w:t>
            </w:r>
          </w:p>
        </w:tc>
        <w:tc>
          <w:tcPr>
            <w:tcW w:w="794" w:type="pct"/>
            <w:vAlign w:val="center"/>
          </w:tcPr>
          <w:p w14:paraId="1EB46971">
            <w:pPr>
              <w:pStyle w:val="55"/>
              <w:rPr>
                <w:color w:val="auto"/>
              </w:rPr>
            </w:pPr>
            <w:r>
              <w:rPr>
                <w:rFonts w:hint="eastAsia"/>
                <w:color w:val="auto"/>
              </w:rPr>
              <w:t>出厂</w:t>
            </w:r>
          </w:p>
          <w:p w14:paraId="0A3DC80E">
            <w:pPr>
              <w:pStyle w:val="55"/>
              <w:rPr>
                <w:color w:val="auto"/>
              </w:rPr>
            </w:pPr>
            <w:r>
              <w:rPr>
                <w:rFonts w:hint="eastAsia"/>
                <w:color w:val="auto"/>
              </w:rPr>
              <w:t>编号</w:t>
            </w:r>
          </w:p>
        </w:tc>
        <w:tc>
          <w:tcPr>
            <w:tcW w:w="1393" w:type="pct"/>
            <w:vAlign w:val="center"/>
          </w:tcPr>
          <w:p w14:paraId="7F3076CE">
            <w:pPr>
              <w:pStyle w:val="55"/>
              <w:rPr>
                <w:color w:val="auto"/>
              </w:rPr>
            </w:pPr>
            <w:r>
              <w:rPr>
                <w:rFonts w:hint="eastAsia"/>
                <w:color w:val="auto"/>
              </w:rPr>
              <w:t>技术指标</w:t>
            </w:r>
          </w:p>
        </w:tc>
        <w:tc>
          <w:tcPr>
            <w:tcW w:w="1253" w:type="pct"/>
            <w:vAlign w:val="center"/>
          </w:tcPr>
          <w:p w14:paraId="014AC61C">
            <w:pPr>
              <w:pStyle w:val="55"/>
              <w:rPr>
                <w:color w:val="auto"/>
              </w:rPr>
            </w:pPr>
            <w:r>
              <w:rPr>
                <w:rFonts w:hint="eastAsia"/>
                <w:color w:val="auto"/>
              </w:rPr>
              <w:t>校准/检定</w:t>
            </w:r>
          </w:p>
          <w:p w14:paraId="2C9ECAA8">
            <w:pPr>
              <w:pStyle w:val="55"/>
              <w:rPr>
                <w:color w:val="auto"/>
              </w:rPr>
            </w:pPr>
            <w:r>
              <w:rPr>
                <w:rFonts w:hint="eastAsia"/>
                <w:color w:val="auto"/>
              </w:rPr>
              <w:t>证书号及有效期</w:t>
            </w:r>
          </w:p>
        </w:tc>
      </w:tr>
      <w:tr w14:paraId="4EFB3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779" w:type="pct"/>
            <w:vAlign w:val="center"/>
          </w:tcPr>
          <w:p w14:paraId="16A2B0D6">
            <w:pPr>
              <w:pStyle w:val="55"/>
              <w:rPr>
                <w:color w:val="auto"/>
              </w:rPr>
            </w:pPr>
            <w:r>
              <w:rPr>
                <w:rFonts w:hint="eastAsia"/>
                <w:color w:val="auto"/>
              </w:rPr>
              <w:t>电磁辐射分析仪</w:t>
            </w:r>
          </w:p>
        </w:tc>
        <w:tc>
          <w:tcPr>
            <w:tcW w:w="779" w:type="pct"/>
            <w:vAlign w:val="center"/>
          </w:tcPr>
          <w:p w14:paraId="7A66B1B1">
            <w:pPr>
              <w:pStyle w:val="55"/>
              <w:rPr>
                <w:color w:val="auto"/>
              </w:rPr>
            </w:pPr>
            <w:r>
              <w:rPr>
                <w:rFonts w:hint="eastAsia"/>
                <w:color w:val="auto"/>
              </w:rPr>
              <w:t>SEM600/</w:t>
            </w:r>
          </w:p>
          <w:p w14:paraId="50BBDD18">
            <w:pPr>
              <w:pStyle w:val="55"/>
              <w:rPr>
                <w:color w:val="auto"/>
              </w:rPr>
            </w:pPr>
            <w:r>
              <w:rPr>
                <w:rFonts w:hint="eastAsia"/>
                <w:color w:val="auto"/>
              </w:rPr>
              <w:t>LF-01D</w:t>
            </w:r>
          </w:p>
        </w:tc>
        <w:tc>
          <w:tcPr>
            <w:tcW w:w="794" w:type="pct"/>
            <w:vAlign w:val="center"/>
          </w:tcPr>
          <w:p w14:paraId="521DBD0E">
            <w:pPr>
              <w:pStyle w:val="55"/>
              <w:rPr>
                <w:color w:val="auto"/>
              </w:rPr>
            </w:pPr>
            <w:r>
              <w:rPr>
                <w:rFonts w:hint="eastAsia"/>
                <w:color w:val="auto"/>
              </w:rPr>
              <w:t>D-1586/</w:t>
            </w:r>
          </w:p>
          <w:p w14:paraId="59EAAC09">
            <w:pPr>
              <w:pStyle w:val="55"/>
              <w:rPr>
                <w:color w:val="auto"/>
              </w:rPr>
            </w:pPr>
            <w:r>
              <w:rPr>
                <w:rFonts w:hint="eastAsia"/>
                <w:color w:val="auto"/>
              </w:rPr>
              <w:t>G-1586</w:t>
            </w:r>
          </w:p>
        </w:tc>
        <w:tc>
          <w:tcPr>
            <w:tcW w:w="1393" w:type="pct"/>
            <w:vAlign w:val="center"/>
          </w:tcPr>
          <w:p w14:paraId="1AD6A8F8">
            <w:pPr>
              <w:pStyle w:val="55"/>
              <w:rPr>
                <w:color w:val="auto"/>
              </w:rPr>
            </w:pPr>
            <w:r>
              <w:rPr>
                <w:rFonts w:hint="eastAsia"/>
                <w:color w:val="auto"/>
              </w:rPr>
              <w:t>探头频率响应范围：1Hz～100kHz</w:t>
            </w:r>
          </w:p>
          <w:p w14:paraId="381CE173">
            <w:pPr>
              <w:pStyle w:val="55"/>
              <w:rPr>
                <w:color w:val="auto"/>
              </w:rPr>
            </w:pPr>
            <w:r>
              <w:rPr>
                <w:rFonts w:hint="eastAsia"/>
                <w:color w:val="auto"/>
              </w:rPr>
              <w:t>探头量程：</w:t>
            </w:r>
          </w:p>
          <w:p w14:paraId="4701CAD3">
            <w:pPr>
              <w:pStyle w:val="55"/>
              <w:rPr>
                <w:color w:val="auto"/>
              </w:rPr>
            </w:pPr>
            <w:r>
              <w:rPr>
                <w:rFonts w:hint="eastAsia"/>
                <w:color w:val="auto"/>
              </w:rPr>
              <w:t>工频电场强度：0.01V/m～100kV/m</w:t>
            </w:r>
          </w:p>
          <w:p w14:paraId="2ACED686">
            <w:pPr>
              <w:pStyle w:val="55"/>
              <w:rPr>
                <w:color w:val="auto"/>
              </w:rPr>
            </w:pPr>
            <w:r>
              <w:rPr>
                <w:rFonts w:hint="eastAsia"/>
                <w:color w:val="auto"/>
              </w:rPr>
              <w:t>工频磁感应强度：1nT～10mT</w:t>
            </w:r>
          </w:p>
        </w:tc>
        <w:tc>
          <w:tcPr>
            <w:tcW w:w="1253" w:type="pct"/>
            <w:vAlign w:val="center"/>
          </w:tcPr>
          <w:p w14:paraId="5C088C4C">
            <w:pPr>
              <w:pStyle w:val="55"/>
              <w:rPr>
                <w:color w:val="auto"/>
              </w:rPr>
            </w:pPr>
            <w:r>
              <w:rPr>
                <w:rFonts w:hint="eastAsia"/>
                <w:color w:val="auto"/>
              </w:rPr>
              <w:t>24J02X004804有效期至2025年5月29日</w:t>
            </w:r>
          </w:p>
        </w:tc>
      </w:tr>
    </w:tbl>
    <w:p w14:paraId="15F75551">
      <w:pPr>
        <w:spacing w:line="440" w:lineRule="exact"/>
        <w:ind w:firstLine="480" w:firstLineChars="200"/>
        <w:rPr>
          <w:sz w:val="24"/>
        </w:rPr>
      </w:pPr>
    </w:p>
    <w:p w14:paraId="4C90CB02">
      <w:pPr>
        <w:pStyle w:val="82"/>
      </w:pPr>
      <w:r>
        <w:rPr>
          <w:rFonts w:hint="eastAsia"/>
          <w:kern w:val="0"/>
        </w:rPr>
        <w:t>表</w:t>
      </w:r>
      <w:r>
        <w:t xml:space="preserve">3-6  </w:t>
      </w:r>
      <w:r>
        <w:rPr>
          <w:rFonts w:hint="eastAsia"/>
        </w:rPr>
        <w:t>本项目工频电场、工频磁感应强度监测结果</w:t>
      </w:r>
    </w:p>
    <w:tbl>
      <w:tblPr>
        <w:tblStyle w:val="25"/>
        <w:tblW w:w="4997"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881"/>
        <w:gridCol w:w="6069"/>
        <w:gridCol w:w="1010"/>
        <w:gridCol w:w="1276"/>
      </w:tblGrid>
      <w:tr w14:paraId="4A427F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7" w:hRule="atLeast"/>
          <w:tblHeader/>
          <w:jc w:val="center"/>
        </w:trPr>
        <w:tc>
          <w:tcPr>
            <w:tcW w:w="482" w:type="pct"/>
            <w:vAlign w:val="center"/>
          </w:tcPr>
          <w:p w14:paraId="69C8E99C">
            <w:pPr>
              <w:pStyle w:val="55"/>
              <w:rPr>
                <w:color w:val="auto"/>
              </w:rPr>
            </w:pPr>
            <w:r>
              <w:rPr>
                <w:rFonts w:hint="eastAsia"/>
                <w:color w:val="auto"/>
              </w:rPr>
              <w:t>检测点位序号</w:t>
            </w:r>
          </w:p>
        </w:tc>
        <w:tc>
          <w:tcPr>
            <w:tcW w:w="3290" w:type="pct"/>
            <w:vAlign w:val="center"/>
          </w:tcPr>
          <w:p w14:paraId="5BB6F65D">
            <w:pPr>
              <w:pStyle w:val="55"/>
              <w:rPr>
                <w:color w:val="auto"/>
              </w:rPr>
            </w:pPr>
            <w:r>
              <w:rPr>
                <w:rFonts w:hint="eastAsia"/>
                <w:color w:val="auto"/>
              </w:rPr>
              <w:t>检测点位置</w:t>
            </w:r>
          </w:p>
        </w:tc>
        <w:tc>
          <w:tcPr>
            <w:tcW w:w="533" w:type="pct"/>
            <w:vAlign w:val="center"/>
          </w:tcPr>
          <w:p w14:paraId="15162ED2">
            <w:pPr>
              <w:pStyle w:val="55"/>
              <w:rPr>
                <w:color w:val="auto"/>
              </w:rPr>
            </w:pPr>
            <w:r>
              <w:rPr>
                <w:rFonts w:hint="eastAsia"/>
                <w:color w:val="auto"/>
              </w:rPr>
              <w:t>工频电场强度（V/m）</w:t>
            </w:r>
          </w:p>
        </w:tc>
        <w:tc>
          <w:tcPr>
            <w:tcW w:w="695" w:type="pct"/>
            <w:vAlign w:val="center"/>
          </w:tcPr>
          <w:p w14:paraId="0F0EEA63">
            <w:pPr>
              <w:pStyle w:val="55"/>
              <w:rPr>
                <w:color w:val="auto"/>
              </w:rPr>
            </w:pPr>
            <w:r>
              <w:rPr>
                <w:rFonts w:hint="eastAsia"/>
                <w:color w:val="auto"/>
              </w:rPr>
              <w:t>工频磁感应强度（μT）</w:t>
            </w:r>
          </w:p>
        </w:tc>
      </w:tr>
      <w:tr w14:paraId="6F2327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cantSplit/>
          <w:trHeight w:val="57" w:hRule="atLeast"/>
          <w:jc w:val="center"/>
        </w:trPr>
        <w:tc>
          <w:tcPr>
            <w:tcW w:w="482" w:type="pct"/>
            <w:vAlign w:val="center"/>
          </w:tcPr>
          <w:p w14:paraId="740F1530">
            <w:pPr>
              <w:pStyle w:val="55"/>
              <w:rPr>
                <w:color w:val="auto"/>
              </w:rPr>
            </w:pPr>
            <w:r>
              <w:rPr>
                <w:rFonts w:hint="eastAsia"/>
                <w:color w:val="auto"/>
              </w:rPr>
              <w:t>1</w:t>
            </w:r>
          </w:p>
        </w:tc>
        <w:tc>
          <w:tcPr>
            <w:tcW w:w="3290" w:type="pct"/>
            <w:vAlign w:val="center"/>
          </w:tcPr>
          <w:p w14:paraId="01ACCBC0">
            <w:pPr>
              <w:pStyle w:val="55"/>
              <w:rPr>
                <w:color w:val="auto"/>
              </w:rPr>
            </w:pPr>
            <w:r>
              <w:rPr>
                <w:rFonts w:hint="eastAsia"/>
                <w:color w:val="auto"/>
              </w:rPr>
              <w:t>凤台县桂集镇勇敢村后乡组袁纪鑫家1层平顶民房南侧1m处</w:t>
            </w:r>
          </w:p>
        </w:tc>
        <w:tc>
          <w:tcPr>
            <w:tcW w:w="533" w:type="pct"/>
            <w:vAlign w:val="center"/>
          </w:tcPr>
          <w:p w14:paraId="5D113B39">
            <w:pPr>
              <w:pStyle w:val="55"/>
              <w:rPr>
                <w:color w:val="auto"/>
              </w:rPr>
            </w:pPr>
            <w:r>
              <w:rPr>
                <w:rFonts w:hint="eastAsia"/>
                <w:color w:val="auto"/>
              </w:rPr>
              <w:t>0.8</w:t>
            </w:r>
          </w:p>
        </w:tc>
        <w:tc>
          <w:tcPr>
            <w:tcW w:w="695" w:type="pct"/>
            <w:vAlign w:val="center"/>
          </w:tcPr>
          <w:p w14:paraId="7919D591">
            <w:pPr>
              <w:pStyle w:val="55"/>
              <w:rPr>
                <w:color w:val="auto"/>
              </w:rPr>
            </w:pPr>
            <w:r>
              <w:rPr>
                <w:rFonts w:hint="eastAsia"/>
                <w:color w:val="auto"/>
              </w:rPr>
              <w:t>0.013</w:t>
            </w:r>
          </w:p>
        </w:tc>
      </w:tr>
      <w:tr w14:paraId="441541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cantSplit/>
          <w:trHeight w:val="57" w:hRule="atLeast"/>
          <w:jc w:val="center"/>
        </w:trPr>
        <w:tc>
          <w:tcPr>
            <w:tcW w:w="482" w:type="pct"/>
            <w:vAlign w:val="center"/>
          </w:tcPr>
          <w:p w14:paraId="329DA524">
            <w:pPr>
              <w:pStyle w:val="55"/>
              <w:rPr>
                <w:color w:val="auto"/>
              </w:rPr>
            </w:pPr>
            <w:r>
              <w:rPr>
                <w:rFonts w:hint="eastAsia"/>
                <w:color w:val="auto"/>
              </w:rPr>
              <w:t>2</w:t>
            </w:r>
          </w:p>
        </w:tc>
        <w:tc>
          <w:tcPr>
            <w:tcW w:w="3290" w:type="pct"/>
            <w:vAlign w:val="center"/>
          </w:tcPr>
          <w:p w14:paraId="64D52F51">
            <w:pPr>
              <w:pStyle w:val="55"/>
              <w:rPr>
                <w:color w:val="auto"/>
              </w:rPr>
            </w:pPr>
            <w:r>
              <w:rPr>
                <w:rFonts w:hint="eastAsia"/>
                <w:color w:val="auto"/>
              </w:rPr>
              <w:t>凤台县桂集镇勇敢村桥王组王某家养殖场北侧1m处</w:t>
            </w:r>
          </w:p>
        </w:tc>
        <w:tc>
          <w:tcPr>
            <w:tcW w:w="533" w:type="pct"/>
            <w:vAlign w:val="center"/>
          </w:tcPr>
          <w:p w14:paraId="61851D13">
            <w:pPr>
              <w:pStyle w:val="55"/>
              <w:rPr>
                <w:color w:val="auto"/>
              </w:rPr>
            </w:pPr>
            <w:r>
              <w:rPr>
                <w:rFonts w:hint="eastAsia"/>
                <w:color w:val="auto"/>
              </w:rPr>
              <w:t>3.1</w:t>
            </w:r>
          </w:p>
        </w:tc>
        <w:tc>
          <w:tcPr>
            <w:tcW w:w="695" w:type="pct"/>
            <w:vAlign w:val="center"/>
          </w:tcPr>
          <w:p w14:paraId="4AB95C43">
            <w:pPr>
              <w:pStyle w:val="55"/>
              <w:rPr>
                <w:color w:val="auto"/>
              </w:rPr>
            </w:pPr>
            <w:r>
              <w:rPr>
                <w:rFonts w:hint="eastAsia"/>
                <w:color w:val="auto"/>
              </w:rPr>
              <w:t>0.018</w:t>
            </w:r>
          </w:p>
        </w:tc>
      </w:tr>
      <w:tr w14:paraId="6FE4D4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cantSplit/>
          <w:trHeight w:val="57" w:hRule="atLeast"/>
          <w:jc w:val="center"/>
        </w:trPr>
        <w:tc>
          <w:tcPr>
            <w:tcW w:w="482" w:type="pct"/>
            <w:vAlign w:val="center"/>
          </w:tcPr>
          <w:p w14:paraId="7E813F99">
            <w:pPr>
              <w:pStyle w:val="55"/>
              <w:rPr>
                <w:color w:val="auto"/>
              </w:rPr>
            </w:pPr>
            <w:r>
              <w:rPr>
                <w:rFonts w:hint="eastAsia"/>
                <w:color w:val="auto"/>
              </w:rPr>
              <w:t>3</w:t>
            </w:r>
          </w:p>
        </w:tc>
        <w:tc>
          <w:tcPr>
            <w:tcW w:w="3290" w:type="pct"/>
            <w:vAlign w:val="center"/>
          </w:tcPr>
          <w:p w14:paraId="3F71CE50">
            <w:pPr>
              <w:pStyle w:val="55"/>
              <w:rPr>
                <w:color w:val="auto"/>
              </w:rPr>
            </w:pPr>
            <w:r>
              <w:rPr>
                <w:rFonts w:hint="eastAsia"/>
                <w:color w:val="auto"/>
              </w:rPr>
              <w:t>凤台县桂集镇勇敢村桥王组王某家1层坡顶民房东侧1m处</w:t>
            </w:r>
          </w:p>
        </w:tc>
        <w:tc>
          <w:tcPr>
            <w:tcW w:w="533" w:type="pct"/>
            <w:vAlign w:val="center"/>
          </w:tcPr>
          <w:p w14:paraId="0C04A51D">
            <w:pPr>
              <w:pStyle w:val="55"/>
              <w:rPr>
                <w:color w:val="auto"/>
              </w:rPr>
            </w:pPr>
            <w:r>
              <w:rPr>
                <w:rFonts w:hint="eastAsia"/>
                <w:color w:val="auto"/>
              </w:rPr>
              <w:t>1.2</w:t>
            </w:r>
          </w:p>
        </w:tc>
        <w:tc>
          <w:tcPr>
            <w:tcW w:w="695" w:type="pct"/>
            <w:vAlign w:val="center"/>
          </w:tcPr>
          <w:p w14:paraId="293EF90B">
            <w:pPr>
              <w:pStyle w:val="55"/>
              <w:rPr>
                <w:color w:val="auto"/>
              </w:rPr>
            </w:pPr>
            <w:r>
              <w:rPr>
                <w:rFonts w:hint="eastAsia"/>
                <w:color w:val="auto"/>
              </w:rPr>
              <w:t>0.017</w:t>
            </w:r>
          </w:p>
        </w:tc>
      </w:tr>
      <w:tr w14:paraId="3BCF65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cantSplit/>
          <w:trHeight w:val="57" w:hRule="atLeast"/>
          <w:jc w:val="center"/>
        </w:trPr>
        <w:tc>
          <w:tcPr>
            <w:tcW w:w="482" w:type="pct"/>
            <w:vAlign w:val="center"/>
          </w:tcPr>
          <w:p w14:paraId="38BD7F06">
            <w:pPr>
              <w:pStyle w:val="55"/>
              <w:rPr>
                <w:color w:val="auto"/>
              </w:rPr>
            </w:pPr>
            <w:r>
              <w:rPr>
                <w:rFonts w:hint="eastAsia"/>
                <w:color w:val="auto"/>
              </w:rPr>
              <w:t>4</w:t>
            </w:r>
          </w:p>
        </w:tc>
        <w:tc>
          <w:tcPr>
            <w:tcW w:w="3290" w:type="pct"/>
            <w:vAlign w:val="center"/>
          </w:tcPr>
          <w:p w14:paraId="58BEE9E9">
            <w:pPr>
              <w:pStyle w:val="55"/>
              <w:rPr>
                <w:color w:val="auto"/>
              </w:rPr>
            </w:pPr>
            <w:r>
              <w:rPr>
                <w:rFonts w:hint="eastAsia"/>
                <w:color w:val="auto"/>
              </w:rPr>
              <w:t>凤台县桂集镇中郢村拐王组养殖大棚南侧1m处</w:t>
            </w:r>
          </w:p>
        </w:tc>
        <w:tc>
          <w:tcPr>
            <w:tcW w:w="533" w:type="pct"/>
            <w:vAlign w:val="center"/>
          </w:tcPr>
          <w:p w14:paraId="2F207C97">
            <w:pPr>
              <w:pStyle w:val="55"/>
              <w:rPr>
                <w:color w:val="auto"/>
              </w:rPr>
            </w:pPr>
            <w:r>
              <w:rPr>
                <w:rFonts w:hint="eastAsia"/>
                <w:color w:val="auto"/>
              </w:rPr>
              <w:t>0.9</w:t>
            </w:r>
          </w:p>
        </w:tc>
        <w:tc>
          <w:tcPr>
            <w:tcW w:w="695" w:type="pct"/>
            <w:vAlign w:val="center"/>
          </w:tcPr>
          <w:p w14:paraId="0C588ABE">
            <w:pPr>
              <w:pStyle w:val="55"/>
              <w:rPr>
                <w:color w:val="auto"/>
              </w:rPr>
            </w:pPr>
            <w:r>
              <w:rPr>
                <w:rFonts w:hint="eastAsia"/>
                <w:color w:val="auto"/>
              </w:rPr>
              <w:t>0.014</w:t>
            </w:r>
          </w:p>
        </w:tc>
      </w:tr>
      <w:tr w14:paraId="16C357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cantSplit/>
          <w:trHeight w:val="57" w:hRule="atLeast"/>
          <w:jc w:val="center"/>
        </w:trPr>
        <w:tc>
          <w:tcPr>
            <w:tcW w:w="482" w:type="pct"/>
            <w:vAlign w:val="center"/>
          </w:tcPr>
          <w:p w14:paraId="1E700EBB">
            <w:pPr>
              <w:pStyle w:val="55"/>
              <w:rPr>
                <w:color w:val="auto"/>
              </w:rPr>
            </w:pPr>
            <w:r>
              <w:rPr>
                <w:rFonts w:hint="eastAsia"/>
                <w:color w:val="auto"/>
              </w:rPr>
              <w:t>5</w:t>
            </w:r>
          </w:p>
        </w:tc>
        <w:tc>
          <w:tcPr>
            <w:tcW w:w="3290" w:type="pct"/>
            <w:vAlign w:val="center"/>
          </w:tcPr>
          <w:p w14:paraId="4BF1D807">
            <w:pPr>
              <w:pStyle w:val="55"/>
              <w:rPr>
                <w:color w:val="auto"/>
              </w:rPr>
            </w:pPr>
            <w:r>
              <w:rPr>
                <w:rFonts w:hint="eastAsia"/>
                <w:color w:val="auto"/>
              </w:rPr>
              <w:t>凤台县桂集镇中郢村拐王组王学明家1层坡顶板房西侧1m处</w:t>
            </w:r>
          </w:p>
        </w:tc>
        <w:tc>
          <w:tcPr>
            <w:tcW w:w="533" w:type="pct"/>
            <w:vAlign w:val="center"/>
          </w:tcPr>
          <w:p w14:paraId="17F951F2">
            <w:pPr>
              <w:pStyle w:val="55"/>
              <w:rPr>
                <w:color w:val="auto"/>
              </w:rPr>
            </w:pPr>
            <w:r>
              <w:rPr>
                <w:rFonts w:hint="eastAsia"/>
                <w:color w:val="auto"/>
              </w:rPr>
              <w:t>0.8</w:t>
            </w:r>
          </w:p>
        </w:tc>
        <w:tc>
          <w:tcPr>
            <w:tcW w:w="695" w:type="pct"/>
            <w:vAlign w:val="center"/>
          </w:tcPr>
          <w:p w14:paraId="52C97CBE">
            <w:pPr>
              <w:pStyle w:val="55"/>
              <w:rPr>
                <w:color w:val="auto"/>
              </w:rPr>
            </w:pPr>
            <w:r>
              <w:rPr>
                <w:rFonts w:hint="eastAsia"/>
                <w:color w:val="auto"/>
              </w:rPr>
              <w:t>0.012</w:t>
            </w:r>
          </w:p>
        </w:tc>
      </w:tr>
      <w:tr w14:paraId="7C5B08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cantSplit/>
          <w:trHeight w:val="57" w:hRule="atLeast"/>
          <w:jc w:val="center"/>
        </w:trPr>
        <w:tc>
          <w:tcPr>
            <w:tcW w:w="482" w:type="pct"/>
            <w:vAlign w:val="center"/>
          </w:tcPr>
          <w:p w14:paraId="5F12A1DA">
            <w:pPr>
              <w:pStyle w:val="55"/>
              <w:rPr>
                <w:color w:val="auto"/>
              </w:rPr>
            </w:pPr>
            <w:r>
              <w:rPr>
                <w:rFonts w:hint="eastAsia"/>
                <w:color w:val="auto"/>
              </w:rPr>
              <w:t>6</w:t>
            </w:r>
          </w:p>
        </w:tc>
        <w:tc>
          <w:tcPr>
            <w:tcW w:w="3290" w:type="pct"/>
            <w:vAlign w:val="center"/>
          </w:tcPr>
          <w:p w14:paraId="68D82373">
            <w:pPr>
              <w:pStyle w:val="55"/>
              <w:rPr>
                <w:color w:val="auto"/>
              </w:rPr>
            </w:pPr>
            <w:r>
              <w:rPr>
                <w:rFonts w:hint="eastAsia"/>
                <w:color w:val="auto"/>
              </w:rPr>
              <w:t>凤台县桂集镇中郢村凤大路南端门面房南侧1m处</w:t>
            </w:r>
          </w:p>
        </w:tc>
        <w:tc>
          <w:tcPr>
            <w:tcW w:w="533" w:type="pct"/>
            <w:vAlign w:val="center"/>
          </w:tcPr>
          <w:p w14:paraId="46D4EB43">
            <w:pPr>
              <w:pStyle w:val="55"/>
              <w:rPr>
                <w:color w:val="auto"/>
              </w:rPr>
            </w:pPr>
            <w:r>
              <w:rPr>
                <w:rFonts w:hint="eastAsia"/>
                <w:color w:val="auto"/>
              </w:rPr>
              <w:t>1.2</w:t>
            </w:r>
          </w:p>
        </w:tc>
        <w:tc>
          <w:tcPr>
            <w:tcW w:w="695" w:type="pct"/>
            <w:vAlign w:val="center"/>
          </w:tcPr>
          <w:p w14:paraId="7152462C">
            <w:pPr>
              <w:pStyle w:val="55"/>
              <w:rPr>
                <w:color w:val="auto"/>
              </w:rPr>
            </w:pPr>
            <w:r>
              <w:rPr>
                <w:rFonts w:hint="eastAsia"/>
                <w:color w:val="auto"/>
              </w:rPr>
              <w:t>0.015</w:t>
            </w:r>
          </w:p>
        </w:tc>
      </w:tr>
      <w:tr w14:paraId="6E22FC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cantSplit/>
          <w:trHeight w:val="57" w:hRule="atLeast"/>
          <w:jc w:val="center"/>
        </w:trPr>
        <w:tc>
          <w:tcPr>
            <w:tcW w:w="482" w:type="pct"/>
            <w:vAlign w:val="center"/>
          </w:tcPr>
          <w:p w14:paraId="4B56CDC4">
            <w:pPr>
              <w:pStyle w:val="55"/>
              <w:rPr>
                <w:color w:val="auto"/>
              </w:rPr>
            </w:pPr>
            <w:r>
              <w:rPr>
                <w:rFonts w:hint="eastAsia"/>
                <w:color w:val="auto"/>
              </w:rPr>
              <w:t>7</w:t>
            </w:r>
          </w:p>
        </w:tc>
        <w:tc>
          <w:tcPr>
            <w:tcW w:w="3290" w:type="pct"/>
            <w:vAlign w:val="center"/>
          </w:tcPr>
          <w:p w14:paraId="5C20C36D">
            <w:pPr>
              <w:pStyle w:val="55"/>
              <w:rPr>
                <w:color w:val="auto"/>
              </w:rPr>
            </w:pPr>
            <w:r>
              <w:rPr>
                <w:rFonts w:hint="eastAsia"/>
                <w:color w:val="auto"/>
              </w:rPr>
              <w:t>凤台县桂集镇西龚村西北园组1层坡顶民房南侧1m处</w:t>
            </w:r>
          </w:p>
        </w:tc>
        <w:tc>
          <w:tcPr>
            <w:tcW w:w="533" w:type="pct"/>
            <w:vAlign w:val="center"/>
          </w:tcPr>
          <w:p w14:paraId="6FF603A9">
            <w:pPr>
              <w:pStyle w:val="55"/>
              <w:rPr>
                <w:color w:val="auto"/>
              </w:rPr>
            </w:pPr>
            <w:r>
              <w:rPr>
                <w:rFonts w:hint="eastAsia"/>
                <w:color w:val="auto"/>
              </w:rPr>
              <w:t>0.7</w:t>
            </w:r>
          </w:p>
        </w:tc>
        <w:tc>
          <w:tcPr>
            <w:tcW w:w="695" w:type="pct"/>
            <w:vAlign w:val="center"/>
          </w:tcPr>
          <w:p w14:paraId="4BF76D25">
            <w:pPr>
              <w:pStyle w:val="55"/>
              <w:rPr>
                <w:color w:val="auto"/>
              </w:rPr>
            </w:pPr>
            <w:r>
              <w:rPr>
                <w:rFonts w:hint="eastAsia"/>
                <w:color w:val="auto"/>
              </w:rPr>
              <w:t>0.012</w:t>
            </w:r>
          </w:p>
        </w:tc>
      </w:tr>
      <w:tr w14:paraId="0C3D89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cantSplit/>
          <w:trHeight w:val="57" w:hRule="atLeast"/>
          <w:jc w:val="center"/>
        </w:trPr>
        <w:tc>
          <w:tcPr>
            <w:tcW w:w="482" w:type="pct"/>
            <w:vAlign w:val="center"/>
          </w:tcPr>
          <w:p w14:paraId="4F4E2428">
            <w:pPr>
              <w:pStyle w:val="55"/>
              <w:rPr>
                <w:color w:val="auto"/>
              </w:rPr>
            </w:pPr>
            <w:r>
              <w:rPr>
                <w:rFonts w:hint="eastAsia"/>
                <w:color w:val="auto"/>
              </w:rPr>
              <w:t>8</w:t>
            </w:r>
          </w:p>
        </w:tc>
        <w:tc>
          <w:tcPr>
            <w:tcW w:w="3290" w:type="pct"/>
            <w:vAlign w:val="center"/>
          </w:tcPr>
          <w:p w14:paraId="03CDE961">
            <w:pPr>
              <w:pStyle w:val="55"/>
              <w:rPr>
                <w:color w:val="auto"/>
              </w:rPr>
            </w:pPr>
            <w:r>
              <w:rPr>
                <w:rFonts w:hint="eastAsia"/>
                <w:color w:val="auto"/>
              </w:rPr>
              <w:t>凤台县桂集镇西龚村西北园组桂某家2层平顶民房西侧1m处</w:t>
            </w:r>
          </w:p>
        </w:tc>
        <w:tc>
          <w:tcPr>
            <w:tcW w:w="533" w:type="pct"/>
            <w:vAlign w:val="center"/>
          </w:tcPr>
          <w:p w14:paraId="0D7ECF5C">
            <w:pPr>
              <w:pStyle w:val="55"/>
              <w:rPr>
                <w:color w:val="auto"/>
              </w:rPr>
            </w:pPr>
            <w:r>
              <w:rPr>
                <w:rFonts w:hint="eastAsia"/>
                <w:color w:val="auto"/>
              </w:rPr>
              <w:t>1.0</w:t>
            </w:r>
          </w:p>
        </w:tc>
        <w:tc>
          <w:tcPr>
            <w:tcW w:w="695" w:type="pct"/>
            <w:vAlign w:val="center"/>
          </w:tcPr>
          <w:p w14:paraId="54E5BAD6">
            <w:pPr>
              <w:pStyle w:val="55"/>
              <w:rPr>
                <w:color w:val="auto"/>
              </w:rPr>
            </w:pPr>
            <w:r>
              <w:rPr>
                <w:rFonts w:hint="eastAsia"/>
                <w:color w:val="auto"/>
              </w:rPr>
              <w:t>0.015</w:t>
            </w:r>
          </w:p>
        </w:tc>
      </w:tr>
      <w:tr w14:paraId="717FAC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cantSplit/>
          <w:trHeight w:val="57" w:hRule="atLeast"/>
          <w:jc w:val="center"/>
        </w:trPr>
        <w:tc>
          <w:tcPr>
            <w:tcW w:w="482" w:type="pct"/>
            <w:vAlign w:val="center"/>
          </w:tcPr>
          <w:p w14:paraId="2FCADA7F">
            <w:pPr>
              <w:pStyle w:val="55"/>
              <w:rPr>
                <w:color w:val="auto"/>
              </w:rPr>
            </w:pPr>
            <w:r>
              <w:rPr>
                <w:rFonts w:hint="eastAsia"/>
                <w:color w:val="auto"/>
              </w:rPr>
              <w:t>9</w:t>
            </w:r>
          </w:p>
        </w:tc>
        <w:tc>
          <w:tcPr>
            <w:tcW w:w="3290" w:type="pct"/>
            <w:vAlign w:val="center"/>
          </w:tcPr>
          <w:p w14:paraId="142D18B3">
            <w:pPr>
              <w:pStyle w:val="55"/>
              <w:rPr>
                <w:color w:val="auto"/>
              </w:rPr>
            </w:pPr>
            <w:r>
              <w:rPr>
                <w:rFonts w:hint="eastAsia"/>
                <w:color w:val="auto"/>
              </w:rPr>
              <w:t>凤台县桂集镇西龚村西北园组桂某家3层平顶民房东侧1m处</w:t>
            </w:r>
          </w:p>
        </w:tc>
        <w:tc>
          <w:tcPr>
            <w:tcW w:w="533" w:type="pct"/>
            <w:vAlign w:val="center"/>
          </w:tcPr>
          <w:p w14:paraId="21194759">
            <w:pPr>
              <w:pStyle w:val="55"/>
              <w:rPr>
                <w:color w:val="auto"/>
              </w:rPr>
            </w:pPr>
            <w:r>
              <w:rPr>
                <w:rFonts w:hint="eastAsia"/>
                <w:color w:val="auto"/>
              </w:rPr>
              <w:t>1.2</w:t>
            </w:r>
          </w:p>
        </w:tc>
        <w:tc>
          <w:tcPr>
            <w:tcW w:w="695" w:type="pct"/>
            <w:vAlign w:val="center"/>
          </w:tcPr>
          <w:p w14:paraId="61D2DD46">
            <w:pPr>
              <w:pStyle w:val="55"/>
              <w:rPr>
                <w:color w:val="auto"/>
              </w:rPr>
            </w:pPr>
            <w:r>
              <w:rPr>
                <w:rFonts w:hint="eastAsia"/>
                <w:color w:val="auto"/>
              </w:rPr>
              <w:t>0.014</w:t>
            </w:r>
          </w:p>
        </w:tc>
      </w:tr>
      <w:tr w14:paraId="649E72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cantSplit/>
          <w:trHeight w:val="57" w:hRule="atLeast"/>
          <w:jc w:val="center"/>
        </w:trPr>
        <w:tc>
          <w:tcPr>
            <w:tcW w:w="482" w:type="pct"/>
            <w:vAlign w:val="center"/>
          </w:tcPr>
          <w:p w14:paraId="4A00340C">
            <w:pPr>
              <w:pStyle w:val="55"/>
              <w:rPr>
                <w:color w:val="auto"/>
              </w:rPr>
            </w:pPr>
            <w:r>
              <w:rPr>
                <w:rFonts w:hint="eastAsia"/>
                <w:color w:val="auto"/>
              </w:rPr>
              <w:t>10</w:t>
            </w:r>
          </w:p>
        </w:tc>
        <w:tc>
          <w:tcPr>
            <w:tcW w:w="3290" w:type="pct"/>
            <w:vAlign w:val="center"/>
          </w:tcPr>
          <w:p w14:paraId="04D982B6">
            <w:pPr>
              <w:pStyle w:val="55"/>
              <w:rPr>
                <w:color w:val="auto"/>
              </w:rPr>
            </w:pPr>
            <w:r>
              <w:rPr>
                <w:rFonts w:hint="eastAsia"/>
                <w:color w:val="auto"/>
              </w:rPr>
              <w:t>凤台县桂集镇西龚村西北园组桂某家1层坡顶民房东侧1m处</w:t>
            </w:r>
          </w:p>
        </w:tc>
        <w:tc>
          <w:tcPr>
            <w:tcW w:w="533" w:type="pct"/>
            <w:vAlign w:val="center"/>
          </w:tcPr>
          <w:p w14:paraId="27782522">
            <w:pPr>
              <w:pStyle w:val="55"/>
              <w:rPr>
                <w:color w:val="auto"/>
              </w:rPr>
            </w:pPr>
            <w:r>
              <w:rPr>
                <w:rFonts w:hint="eastAsia"/>
                <w:color w:val="auto"/>
              </w:rPr>
              <w:t>0.9</w:t>
            </w:r>
          </w:p>
        </w:tc>
        <w:tc>
          <w:tcPr>
            <w:tcW w:w="695" w:type="pct"/>
            <w:vAlign w:val="center"/>
          </w:tcPr>
          <w:p w14:paraId="473558DA">
            <w:pPr>
              <w:pStyle w:val="55"/>
              <w:rPr>
                <w:color w:val="auto"/>
              </w:rPr>
            </w:pPr>
            <w:r>
              <w:rPr>
                <w:rFonts w:hint="eastAsia"/>
                <w:color w:val="auto"/>
              </w:rPr>
              <w:t>0.013</w:t>
            </w:r>
          </w:p>
        </w:tc>
      </w:tr>
      <w:tr w14:paraId="3BE6F2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cantSplit/>
          <w:trHeight w:val="57" w:hRule="atLeast"/>
          <w:jc w:val="center"/>
        </w:trPr>
        <w:tc>
          <w:tcPr>
            <w:tcW w:w="482" w:type="pct"/>
            <w:vAlign w:val="center"/>
          </w:tcPr>
          <w:p w14:paraId="2D948670">
            <w:pPr>
              <w:pStyle w:val="55"/>
              <w:rPr>
                <w:color w:val="auto"/>
              </w:rPr>
            </w:pPr>
            <w:r>
              <w:rPr>
                <w:rFonts w:hint="eastAsia"/>
                <w:color w:val="auto"/>
              </w:rPr>
              <w:t>11</w:t>
            </w:r>
          </w:p>
        </w:tc>
        <w:tc>
          <w:tcPr>
            <w:tcW w:w="3290" w:type="pct"/>
            <w:vAlign w:val="center"/>
          </w:tcPr>
          <w:p w14:paraId="35F63794">
            <w:pPr>
              <w:pStyle w:val="55"/>
              <w:rPr>
                <w:color w:val="auto"/>
              </w:rPr>
            </w:pPr>
            <w:r>
              <w:rPr>
                <w:rFonts w:hint="eastAsia"/>
                <w:color w:val="auto"/>
              </w:rPr>
              <w:t>凤台县桂集镇西龚村西北园组桂某家2层平顶民房西侧1m处</w:t>
            </w:r>
          </w:p>
        </w:tc>
        <w:tc>
          <w:tcPr>
            <w:tcW w:w="533" w:type="pct"/>
            <w:vAlign w:val="center"/>
          </w:tcPr>
          <w:p w14:paraId="41BEE7C8">
            <w:pPr>
              <w:pStyle w:val="55"/>
              <w:rPr>
                <w:color w:val="auto"/>
              </w:rPr>
            </w:pPr>
            <w:r>
              <w:rPr>
                <w:rFonts w:hint="eastAsia"/>
                <w:color w:val="auto"/>
              </w:rPr>
              <w:t>0.7</w:t>
            </w:r>
          </w:p>
        </w:tc>
        <w:tc>
          <w:tcPr>
            <w:tcW w:w="695" w:type="pct"/>
            <w:vAlign w:val="center"/>
          </w:tcPr>
          <w:p w14:paraId="53CEB447">
            <w:pPr>
              <w:pStyle w:val="55"/>
              <w:rPr>
                <w:color w:val="auto"/>
              </w:rPr>
            </w:pPr>
            <w:r>
              <w:rPr>
                <w:rFonts w:hint="eastAsia"/>
                <w:color w:val="auto"/>
              </w:rPr>
              <w:t>0.016</w:t>
            </w:r>
          </w:p>
        </w:tc>
      </w:tr>
    </w:tbl>
    <w:p w14:paraId="25FA380A">
      <w:pPr>
        <w:tabs>
          <w:tab w:val="left" w:pos="5670"/>
        </w:tabs>
        <w:spacing w:line="440" w:lineRule="exact"/>
        <w:ind w:firstLine="540" w:firstLineChars="225"/>
        <w:rPr>
          <w:sz w:val="24"/>
        </w:rPr>
      </w:pPr>
      <w:r>
        <w:rPr>
          <w:rFonts w:hint="eastAsia"/>
          <w:sz w:val="24"/>
        </w:rPr>
        <w:t>本次环评的线路周边现状监测点处工频电场强度为0.7~3.1</w:t>
      </w:r>
      <w:r>
        <w:rPr>
          <w:sz w:val="24"/>
        </w:rPr>
        <w:t>8V/m</w:t>
      </w:r>
      <w:r>
        <w:rPr>
          <w:rFonts w:hint="eastAsia"/>
          <w:sz w:val="24"/>
        </w:rPr>
        <w:t>，工频磁感应强度为0.012~</w:t>
      </w:r>
      <w:r>
        <w:rPr>
          <w:sz w:val="24"/>
        </w:rPr>
        <w:t>0.0</w:t>
      </w:r>
      <w:r>
        <w:rPr>
          <w:rFonts w:hint="eastAsia"/>
          <w:sz w:val="24"/>
        </w:rPr>
        <w:t>18</w:t>
      </w:r>
      <w:r>
        <w:rPr>
          <w:sz w:val="24"/>
        </w:rPr>
        <w:t>μT</w:t>
      </w:r>
      <w:r>
        <w:rPr>
          <w:rFonts w:hint="eastAsia"/>
          <w:sz w:val="24"/>
        </w:rPr>
        <w:t>，均满足工频电场强度4000V/m，工频磁感应强度100μT的评价标准要求。</w:t>
      </w:r>
    </w:p>
    <w:p w14:paraId="0B449E25">
      <w:pPr>
        <w:pStyle w:val="51"/>
        <w:rPr>
          <w:color w:val="auto"/>
        </w:rPr>
      </w:pPr>
    </w:p>
    <w:p w14:paraId="6273A1FE">
      <w:pPr>
        <w:spacing w:line="360" w:lineRule="auto"/>
        <w:ind w:firstLine="480" w:firstLineChars="200"/>
        <w:rPr>
          <w:sz w:val="24"/>
        </w:rPr>
        <w:sectPr>
          <w:pgSz w:w="11906" w:h="16838"/>
          <w:pgMar w:top="1418" w:right="1440" w:bottom="1418" w:left="1440" w:header="851" w:footer="850" w:gutter="0"/>
          <w:cols w:space="720" w:num="1"/>
          <w:docGrid w:type="lines" w:linePitch="312" w:charSpace="0"/>
        </w:sectPr>
      </w:pPr>
    </w:p>
    <w:p w14:paraId="091A8217">
      <w:pPr>
        <w:pStyle w:val="2"/>
        <w:rPr>
          <w:sz w:val="40"/>
          <w:szCs w:val="24"/>
        </w:rPr>
      </w:pPr>
      <w:bookmarkStart w:id="81" w:name="_Toc85633933"/>
      <w:bookmarkStart w:id="82" w:name="_Toc85662759"/>
      <w:bookmarkStart w:id="83" w:name="_Toc189983138"/>
      <w:bookmarkStart w:id="84" w:name="_Toc421611340"/>
      <w:bookmarkStart w:id="85" w:name="_Toc421772756"/>
      <w:bookmarkStart w:id="86" w:name="_Toc430099640"/>
      <w:bookmarkStart w:id="87" w:name="_Toc85662707"/>
      <w:bookmarkStart w:id="88" w:name="_Toc428724443"/>
      <w:bookmarkStart w:id="89" w:name="_Toc443400155"/>
      <w:r>
        <w:rPr>
          <w:sz w:val="40"/>
          <w:szCs w:val="24"/>
        </w:rPr>
        <w:t xml:space="preserve">4 </w:t>
      </w:r>
      <w:r>
        <w:rPr>
          <w:rFonts w:hint="eastAsia"/>
          <w:sz w:val="40"/>
          <w:szCs w:val="24"/>
        </w:rPr>
        <w:t>环境影响预测评价</w:t>
      </w:r>
      <w:bookmarkEnd w:id="81"/>
      <w:bookmarkEnd w:id="82"/>
      <w:bookmarkEnd w:id="83"/>
      <w:bookmarkEnd w:id="84"/>
      <w:bookmarkEnd w:id="85"/>
      <w:bookmarkEnd w:id="86"/>
      <w:bookmarkEnd w:id="87"/>
      <w:bookmarkEnd w:id="88"/>
      <w:bookmarkEnd w:id="89"/>
    </w:p>
    <w:p w14:paraId="58FD66A6">
      <w:pPr>
        <w:pStyle w:val="51"/>
        <w:rPr>
          <w:color w:val="auto"/>
        </w:rPr>
      </w:pPr>
      <w:r>
        <w:rPr>
          <w:rFonts w:hint="eastAsia"/>
          <w:color w:val="auto"/>
        </w:rPr>
        <w:t>本次评价对新建升压站采取选用相似类型升压站进行类比监测的方法进行分析和评价工程投运后产生的电磁环境影响；对新建架空输电线路采用模式预测的方式分析和评价工程投运后产生的电磁环境影响。</w:t>
      </w:r>
    </w:p>
    <w:p w14:paraId="0C57D449">
      <w:pPr>
        <w:pStyle w:val="3"/>
        <w:rPr>
          <w:color w:val="auto"/>
        </w:rPr>
      </w:pPr>
      <w:bookmarkStart w:id="90" w:name="_Toc85633934"/>
      <w:bookmarkStart w:id="91" w:name="_Toc189983139"/>
      <w:bookmarkStart w:id="92" w:name="_Toc167019771"/>
      <w:bookmarkStart w:id="93" w:name="_Toc31498"/>
      <w:bookmarkStart w:id="94" w:name="_Toc85662760"/>
      <w:bookmarkStart w:id="95" w:name="_Toc1033"/>
      <w:bookmarkStart w:id="96" w:name="_Toc166418237"/>
      <w:bookmarkStart w:id="97" w:name="_Toc85662708"/>
      <w:r>
        <w:rPr>
          <w:color w:val="auto"/>
        </w:rPr>
        <w:t xml:space="preserve">4.1 </w:t>
      </w:r>
      <w:r>
        <w:rPr>
          <w:rFonts w:hint="eastAsia"/>
          <w:color w:val="auto"/>
        </w:rPr>
        <w:t>升压站电磁环境类比预测</w:t>
      </w:r>
      <w:bookmarkEnd w:id="90"/>
      <w:bookmarkEnd w:id="91"/>
      <w:bookmarkEnd w:id="92"/>
      <w:bookmarkEnd w:id="93"/>
      <w:bookmarkEnd w:id="94"/>
      <w:bookmarkEnd w:id="95"/>
      <w:bookmarkEnd w:id="96"/>
      <w:bookmarkEnd w:id="97"/>
    </w:p>
    <w:p w14:paraId="2077B02A">
      <w:pPr>
        <w:pStyle w:val="51"/>
        <w:rPr>
          <w:color w:val="auto"/>
        </w:rPr>
      </w:pPr>
      <w:r>
        <w:rPr>
          <w:rFonts w:hint="eastAsia"/>
          <w:color w:val="auto"/>
        </w:rPr>
        <w:t xml:space="preserve">根据《环境影响评价技术导则 </w:t>
      </w:r>
      <w:r>
        <w:rPr>
          <w:color w:val="auto"/>
        </w:rPr>
        <w:t xml:space="preserve"> </w:t>
      </w:r>
      <w:r>
        <w:rPr>
          <w:rFonts w:hint="eastAsia"/>
          <w:color w:val="auto"/>
        </w:rPr>
        <w:t>输变电》（</w:t>
      </w:r>
      <w:r>
        <w:rPr>
          <w:color w:val="auto"/>
        </w:rPr>
        <w:t>HJ24-2020</w:t>
      </w:r>
      <w:r>
        <w:rPr>
          <w:rFonts w:hint="eastAsia"/>
          <w:color w:val="auto"/>
        </w:rPr>
        <w:t>），本工程升压站为220kV交流电升压站，户外式布置，因此电磁环境影响评价等级为二级，采用类比监测的方式来分析升压站投运后的影响。</w:t>
      </w:r>
    </w:p>
    <w:p w14:paraId="2AAE0537">
      <w:pPr>
        <w:pStyle w:val="4"/>
      </w:pPr>
      <w:bookmarkStart w:id="98" w:name="_Toc85633935"/>
      <w:bookmarkStart w:id="99" w:name="_Toc166418238"/>
      <w:bookmarkStart w:id="100" w:name="_Toc167019772"/>
      <w:bookmarkStart w:id="101" w:name="_Toc189983140"/>
      <w:r>
        <w:t xml:space="preserve">4.1.1 </w:t>
      </w:r>
      <w:r>
        <w:rPr>
          <w:rFonts w:hint="eastAsia"/>
        </w:rPr>
        <w:t>类比对象的选择</w:t>
      </w:r>
      <w:bookmarkEnd w:id="98"/>
      <w:bookmarkEnd w:id="99"/>
      <w:bookmarkEnd w:id="100"/>
      <w:bookmarkEnd w:id="101"/>
    </w:p>
    <w:p w14:paraId="710ACD2B">
      <w:pPr>
        <w:pStyle w:val="51"/>
        <w:rPr>
          <w:color w:val="auto"/>
        </w:rPr>
      </w:pPr>
      <w:r>
        <w:rPr>
          <w:rFonts w:hint="eastAsia"/>
          <w:color w:val="auto"/>
        </w:rPr>
        <w:t>为预测本工程升压站运行后产生的工频电场和工频磁场对站址周围环境影响，需选取电压等级、容量和主接线形式、建设规模与本工程大致相同的220kV升压站作为类比测试对象。</w:t>
      </w:r>
    </w:p>
    <w:p w14:paraId="466DE1AF">
      <w:pPr>
        <w:pStyle w:val="51"/>
        <w:rPr>
          <w:color w:val="auto"/>
        </w:rPr>
      </w:pPr>
      <w:r>
        <w:rPr>
          <w:rFonts w:hint="eastAsia"/>
          <w:color w:val="auto"/>
        </w:rPr>
        <w:t>本次环评选择宁东1GW光伏基地330kV汇集站进行类比分析，工程建设参数见表4-1所示。</w:t>
      </w:r>
    </w:p>
    <w:p w14:paraId="0077C22E">
      <w:pPr>
        <w:pStyle w:val="82"/>
        <w:rPr>
          <w:lang w:val="zh-CN"/>
        </w:rPr>
      </w:pPr>
      <w:r>
        <w:rPr>
          <w:rFonts w:hint="eastAsia"/>
          <w:lang w:val="zh-CN"/>
        </w:rPr>
        <w:t>表</w:t>
      </w:r>
      <w:r>
        <w:rPr>
          <w:rFonts w:hint="eastAsia"/>
        </w:rPr>
        <w:t>4-1</w:t>
      </w:r>
      <w:r>
        <w:t xml:space="preserve">  </w:t>
      </w:r>
      <w:r>
        <w:rPr>
          <w:rFonts w:hint="eastAsia"/>
          <w:lang w:val="zh-CN"/>
        </w:rPr>
        <w:t>本工程类比调查的220kV变电站工程参数</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2"/>
        <w:gridCol w:w="2386"/>
        <w:gridCol w:w="2270"/>
        <w:gridCol w:w="2754"/>
      </w:tblGrid>
      <w:tr w14:paraId="79A6C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991" w:type="pct"/>
            <w:tcBorders>
              <w:top w:val="single" w:color="auto" w:sz="4" w:space="0"/>
              <w:left w:val="single" w:color="auto" w:sz="4" w:space="0"/>
              <w:bottom w:val="single" w:color="auto" w:sz="4" w:space="0"/>
              <w:right w:val="single" w:color="auto" w:sz="4" w:space="0"/>
              <w:tl2br w:val="nil"/>
              <w:tr2bl w:val="nil"/>
            </w:tcBorders>
            <w:vAlign w:val="center"/>
          </w:tcPr>
          <w:p w14:paraId="0D611CC1">
            <w:pPr>
              <w:pStyle w:val="84"/>
              <w:rPr>
                <w:b/>
                <w:color w:val="auto"/>
              </w:rPr>
            </w:pPr>
            <w:r>
              <w:rPr>
                <w:rFonts w:hint="eastAsia"/>
                <w:b/>
                <w:color w:val="auto"/>
              </w:rPr>
              <w:t>项目名称</w:t>
            </w:r>
          </w:p>
        </w:tc>
        <w:tc>
          <w:tcPr>
            <w:tcW w:w="1291" w:type="pct"/>
            <w:tcBorders>
              <w:top w:val="single" w:color="auto" w:sz="4" w:space="0"/>
              <w:left w:val="single" w:color="auto" w:sz="4" w:space="0"/>
              <w:bottom w:val="single" w:color="auto" w:sz="4" w:space="0"/>
              <w:right w:val="single" w:color="auto" w:sz="4" w:space="0"/>
              <w:tl2br w:val="nil"/>
              <w:tr2bl w:val="nil"/>
            </w:tcBorders>
            <w:vAlign w:val="center"/>
          </w:tcPr>
          <w:p w14:paraId="6198DAE0">
            <w:pPr>
              <w:pStyle w:val="84"/>
              <w:rPr>
                <w:b/>
                <w:color w:val="auto"/>
              </w:rPr>
            </w:pPr>
            <w:r>
              <w:rPr>
                <w:rFonts w:hint="eastAsia"/>
                <w:b/>
                <w:color w:val="auto"/>
              </w:rPr>
              <w:t>宁东1GW光伏基地330kV汇集站</w:t>
            </w:r>
          </w:p>
          <w:p w14:paraId="4011A2A6">
            <w:pPr>
              <w:pStyle w:val="84"/>
              <w:rPr>
                <w:b/>
                <w:color w:val="auto"/>
              </w:rPr>
            </w:pPr>
            <w:r>
              <w:rPr>
                <w:rFonts w:hint="eastAsia"/>
                <w:b/>
                <w:color w:val="auto"/>
              </w:rPr>
              <w:t>（类比对象）</w:t>
            </w:r>
          </w:p>
        </w:tc>
        <w:tc>
          <w:tcPr>
            <w:tcW w:w="1228" w:type="pct"/>
            <w:tcBorders>
              <w:top w:val="single" w:color="auto" w:sz="4" w:space="0"/>
              <w:left w:val="single" w:color="auto" w:sz="4" w:space="0"/>
              <w:bottom w:val="single" w:color="auto" w:sz="4" w:space="0"/>
              <w:right w:val="single" w:color="auto" w:sz="4" w:space="0"/>
              <w:tl2br w:val="nil"/>
              <w:tr2bl w:val="nil"/>
            </w:tcBorders>
            <w:vAlign w:val="center"/>
          </w:tcPr>
          <w:p w14:paraId="3C3F1D4A">
            <w:pPr>
              <w:pStyle w:val="84"/>
              <w:rPr>
                <w:b/>
                <w:color w:val="auto"/>
              </w:rPr>
            </w:pPr>
            <w:r>
              <w:rPr>
                <w:rFonts w:hint="eastAsia"/>
                <w:b/>
                <w:color w:val="auto"/>
              </w:rPr>
              <w:t>华润州来凤台县张集光伏电站项目配套220kV升压站</w:t>
            </w:r>
          </w:p>
          <w:p w14:paraId="7F997F3C">
            <w:pPr>
              <w:pStyle w:val="84"/>
              <w:rPr>
                <w:b/>
                <w:color w:val="auto"/>
              </w:rPr>
            </w:pPr>
            <w:r>
              <w:rPr>
                <w:rFonts w:hint="eastAsia"/>
                <w:b/>
                <w:color w:val="auto"/>
              </w:rPr>
              <w:t>（本项目）</w:t>
            </w:r>
          </w:p>
        </w:tc>
        <w:tc>
          <w:tcPr>
            <w:tcW w:w="1490" w:type="pct"/>
            <w:tcBorders>
              <w:top w:val="single" w:color="auto" w:sz="4" w:space="0"/>
              <w:left w:val="single" w:color="auto" w:sz="4" w:space="0"/>
              <w:bottom w:val="single" w:color="auto" w:sz="4" w:space="0"/>
              <w:right w:val="single" w:color="auto" w:sz="4" w:space="0"/>
              <w:tl2br w:val="nil"/>
              <w:tr2bl w:val="nil"/>
            </w:tcBorders>
            <w:vAlign w:val="center"/>
          </w:tcPr>
          <w:p w14:paraId="3EB32532">
            <w:pPr>
              <w:pStyle w:val="84"/>
              <w:rPr>
                <w:b/>
                <w:color w:val="auto"/>
              </w:rPr>
            </w:pPr>
            <w:r>
              <w:rPr>
                <w:rFonts w:hint="eastAsia"/>
                <w:b/>
                <w:color w:val="auto"/>
              </w:rPr>
              <w:t>可比性分析</w:t>
            </w:r>
          </w:p>
        </w:tc>
      </w:tr>
      <w:tr w14:paraId="39980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991" w:type="pct"/>
            <w:tcBorders>
              <w:top w:val="single" w:color="auto" w:sz="4" w:space="0"/>
              <w:left w:val="single" w:color="auto" w:sz="4" w:space="0"/>
              <w:bottom w:val="single" w:color="auto" w:sz="4" w:space="0"/>
              <w:right w:val="single" w:color="auto" w:sz="4" w:space="0"/>
              <w:tl2br w:val="nil"/>
              <w:tr2bl w:val="nil"/>
            </w:tcBorders>
            <w:vAlign w:val="center"/>
          </w:tcPr>
          <w:p w14:paraId="0E407FA0">
            <w:pPr>
              <w:pStyle w:val="84"/>
              <w:rPr>
                <w:color w:val="auto"/>
              </w:rPr>
            </w:pPr>
            <w:r>
              <w:rPr>
                <w:rFonts w:hint="eastAsia"/>
                <w:color w:val="auto"/>
              </w:rPr>
              <w:t>电压等级</w:t>
            </w:r>
          </w:p>
        </w:tc>
        <w:tc>
          <w:tcPr>
            <w:tcW w:w="1291" w:type="pct"/>
            <w:tcBorders>
              <w:top w:val="single" w:color="auto" w:sz="4" w:space="0"/>
              <w:left w:val="single" w:color="auto" w:sz="4" w:space="0"/>
              <w:bottom w:val="single" w:color="auto" w:sz="4" w:space="0"/>
              <w:right w:val="single" w:color="auto" w:sz="4" w:space="0"/>
              <w:tl2br w:val="nil"/>
              <w:tr2bl w:val="nil"/>
            </w:tcBorders>
            <w:vAlign w:val="center"/>
          </w:tcPr>
          <w:p w14:paraId="5B6CD5FF">
            <w:pPr>
              <w:pStyle w:val="84"/>
              <w:rPr>
                <w:color w:val="auto"/>
              </w:rPr>
            </w:pPr>
            <w:r>
              <w:rPr>
                <w:rFonts w:hint="eastAsia"/>
                <w:color w:val="auto"/>
              </w:rPr>
              <w:t>330kV</w:t>
            </w:r>
          </w:p>
        </w:tc>
        <w:tc>
          <w:tcPr>
            <w:tcW w:w="1228" w:type="pct"/>
            <w:tcBorders>
              <w:top w:val="single" w:color="auto" w:sz="4" w:space="0"/>
              <w:left w:val="single" w:color="auto" w:sz="4" w:space="0"/>
              <w:bottom w:val="single" w:color="auto" w:sz="4" w:space="0"/>
              <w:right w:val="single" w:color="auto" w:sz="4" w:space="0"/>
              <w:tl2br w:val="nil"/>
              <w:tr2bl w:val="nil"/>
            </w:tcBorders>
            <w:vAlign w:val="center"/>
          </w:tcPr>
          <w:p w14:paraId="795A6C4D">
            <w:pPr>
              <w:pStyle w:val="84"/>
              <w:rPr>
                <w:color w:val="auto"/>
              </w:rPr>
            </w:pPr>
            <w:r>
              <w:rPr>
                <w:rFonts w:hint="eastAsia"/>
                <w:color w:val="auto"/>
              </w:rPr>
              <w:t>220kV</w:t>
            </w:r>
          </w:p>
        </w:tc>
        <w:tc>
          <w:tcPr>
            <w:tcW w:w="1490" w:type="pct"/>
            <w:tcBorders>
              <w:top w:val="single" w:color="auto" w:sz="4" w:space="0"/>
              <w:left w:val="single" w:color="auto" w:sz="4" w:space="0"/>
              <w:bottom w:val="single" w:color="auto" w:sz="4" w:space="0"/>
              <w:right w:val="single" w:color="auto" w:sz="4" w:space="0"/>
              <w:tl2br w:val="nil"/>
              <w:tr2bl w:val="nil"/>
            </w:tcBorders>
            <w:vAlign w:val="center"/>
          </w:tcPr>
          <w:p w14:paraId="36AA2D48">
            <w:pPr>
              <w:pStyle w:val="84"/>
              <w:rPr>
                <w:color w:val="auto"/>
              </w:rPr>
            </w:pPr>
            <w:r>
              <w:rPr>
                <w:rFonts w:hint="eastAsia" w:hAnsi="宋体"/>
                <w:color w:val="auto"/>
              </w:rPr>
              <w:t>电压等级高于本项目，具有可比性（电压等级是影响电磁环境的首要因素）</w:t>
            </w:r>
          </w:p>
        </w:tc>
      </w:tr>
      <w:tr w14:paraId="331FE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91" w:type="pct"/>
            <w:tcBorders>
              <w:top w:val="single" w:color="auto" w:sz="4" w:space="0"/>
              <w:left w:val="single" w:color="auto" w:sz="4" w:space="0"/>
              <w:bottom w:val="single" w:color="auto" w:sz="4" w:space="0"/>
              <w:right w:val="single" w:color="auto" w:sz="4" w:space="0"/>
              <w:tl2br w:val="nil"/>
              <w:tr2bl w:val="nil"/>
            </w:tcBorders>
            <w:vAlign w:val="center"/>
          </w:tcPr>
          <w:p w14:paraId="17FF66BB">
            <w:pPr>
              <w:pStyle w:val="84"/>
              <w:rPr>
                <w:color w:val="auto"/>
              </w:rPr>
            </w:pPr>
            <w:r>
              <w:rPr>
                <w:rFonts w:hint="eastAsia" w:hAnsi="宋体"/>
                <w:color w:val="auto"/>
              </w:rPr>
              <w:t>主变布置方式</w:t>
            </w:r>
          </w:p>
        </w:tc>
        <w:tc>
          <w:tcPr>
            <w:tcW w:w="1291" w:type="pct"/>
            <w:tcBorders>
              <w:top w:val="single" w:color="auto" w:sz="4" w:space="0"/>
              <w:left w:val="single" w:color="auto" w:sz="4" w:space="0"/>
              <w:bottom w:val="single" w:color="auto" w:sz="4" w:space="0"/>
              <w:right w:val="single" w:color="auto" w:sz="4" w:space="0"/>
              <w:tl2br w:val="nil"/>
              <w:tr2bl w:val="nil"/>
            </w:tcBorders>
            <w:vAlign w:val="center"/>
          </w:tcPr>
          <w:p w14:paraId="3C14E29C">
            <w:pPr>
              <w:pStyle w:val="84"/>
              <w:rPr>
                <w:color w:val="auto"/>
              </w:rPr>
            </w:pPr>
            <w:r>
              <w:rPr>
                <w:rFonts w:hint="eastAsia" w:hAnsi="宋体"/>
                <w:color w:val="auto"/>
              </w:rPr>
              <w:t>户外布置</w:t>
            </w:r>
          </w:p>
        </w:tc>
        <w:tc>
          <w:tcPr>
            <w:tcW w:w="1228" w:type="pct"/>
            <w:tcBorders>
              <w:top w:val="single" w:color="auto" w:sz="4" w:space="0"/>
              <w:left w:val="single" w:color="auto" w:sz="4" w:space="0"/>
              <w:bottom w:val="single" w:color="auto" w:sz="4" w:space="0"/>
              <w:right w:val="single" w:color="auto" w:sz="4" w:space="0"/>
              <w:tl2br w:val="nil"/>
              <w:tr2bl w:val="nil"/>
            </w:tcBorders>
            <w:vAlign w:val="center"/>
          </w:tcPr>
          <w:p w14:paraId="084649E0">
            <w:pPr>
              <w:pStyle w:val="84"/>
              <w:rPr>
                <w:color w:val="auto"/>
              </w:rPr>
            </w:pPr>
            <w:r>
              <w:rPr>
                <w:rFonts w:hint="eastAsia" w:hAnsi="宋体"/>
                <w:color w:val="auto"/>
              </w:rPr>
              <w:t>户外布置</w:t>
            </w:r>
          </w:p>
        </w:tc>
        <w:tc>
          <w:tcPr>
            <w:tcW w:w="1490" w:type="pct"/>
            <w:tcBorders>
              <w:top w:val="single" w:color="auto" w:sz="4" w:space="0"/>
              <w:left w:val="single" w:color="auto" w:sz="4" w:space="0"/>
              <w:bottom w:val="single" w:color="auto" w:sz="4" w:space="0"/>
              <w:right w:val="single" w:color="auto" w:sz="4" w:space="0"/>
              <w:tl2br w:val="nil"/>
              <w:tr2bl w:val="nil"/>
            </w:tcBorders>
            <w:vAlign w:val="center"/>
          </w:tcPr>
          <w:p w14:paraId="0B8CC9A1">
            <w:pPr>
              <w:pStyle w:val="84"/>
              <w:rPr>
                <w:rFonts w:hint="eastAsia" w:hAnsi="宋体"/>
                <w:color w:val="auto"/>
              </w:rPr>
            </w:pPr>
            <w:r>
              <w:rPr>
                <w:rFonts w:hint="eastAsia" w:hAnsi="宋体"/>
                <w:color w:val="auto"/>
              </w:rPr>
              <w:t>布置方式相同，具有可比性</w:t>
            </w:r>
          </w:p>
        </w:tc>
      </w:tr>
      <w:tr w14:paraId="55979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91" w:type="pct"/>
            <w:tcBorders>
              <w:top w:val="single" w:color="auto" w:sz="4" w:space="0"/>
              <w:left w:val="single" w:color="auto" w:sz="4" w:space="0"/>
              <w:bottom w:val="single" w:color="auto" w:sz="4" w:space="0"/>
              <w:right w:val="single" w:color="auto" w:sz="4" w:space="0"/>
              <w:tl2br w:val="nil"/>
              <w:tr2bl w:val="nil"/>
            </w:tcBorders>
            <w:vAlign w:val="center"/>
          </w:tcPr>
          <w:p w14:paraId="6937BD5D">
            <w:pPr>
              <w:pStyle w:val="84"/>
              <w:rPr>
                <w:color w:val="auto"/>
              </w:rPr>
            </w:pPr>
            <w:r>
              <w:rPr>
                <w:rFonts w:hint="eastAsia"/>
                <w:color w:val="auto"/>
              </w:rPr>
              <w:t>220kV</w:t>
            </w:r>
            <w:r>
              <w:rPr>
                <w:rFonts w:hint="eastAsia" w:hAnsi="宋体"/>
                <w:color w:val="auto"/>
              </w:rPr>
              <w:t>主变容量</w:t>
            </w:r>
          </w:p>
        </w:tc>
        <w:tc>
          <w:tcPr>
            <w:tcW w:w="1291" w:type="pct"/>
            <w:tcBorders>
              <w:top w:val="single" w:color="auto" w:sz="4" w:space="0"/>
              <w:left w:val="single" w:color="auto" w:sz="4" w:space="0"/>
              <w:bottom w:val="single" w:color="auto" w:sz="4" w:space="0"/>
              <w:right w:val="single" w:color="auto" w:sz="4" w:space="0"/>
              <w:tl2br w:val="nil"/>
              <w:tr2bl w:val="nil"/>
            </w:tcBorders>
            <w:vAlign w:val="center"/>
          </w:tcPr>
          <w:p w14:paraId="1A688C41">
            <w:pPr>
              <w:pStyle w:val="84"/>
              <w:rPr>
                <w:color w:val="auto"/>
              </w:rPr>
            </w:pPr>
            <w:r>
              <w:rPr>
                <w:color w:val="auto"/>
              </w:rPr>
              <w:t>3×3</w:t>
            </w:r>
            <w:r>
              <w:rPr>
                <w:rFonts w:hint="eastAsia"/>
                <w:color w:val="auto"/>
              </w:rPr>
              <w:t>60</w:t>
            </w:r>
            <w:r>
              <w:rPr>
                <w:color w:val="auto"/>
              </w:rPr>
              <w:t>MVA</w:t>
            </w:r>
          </w:p>
        </w:tc>
        <w:tc>
          <w:tcPr>
            <w:tcW w:w="1228" w:type="pct"/>
            <w:tcBorders>
              <w:top w:val="single" w:color="auto" w:sz="4" w:space="0"/>
              <w:left w:val="single" w:color="auto" w:sz="4" w:space="0"/>
              <w:bottom w:val="single" w:color="auto" w:sz="4" w:space="0"/>
              <w:right w:val="single" w:color="auto" w:sz="4" w:space="0"/>
              <w:tl2br w:val="nil"/>
              <w:tr2bl w:val="nil"/>
            </w:tcBorders>
            <w:vAlign w:val="center"/>
          </w:tcPr>
          <w:p w14:paraId="37D94991">
            <w:pPr>
              <w:pStyle w:val="84"/>
              <w:rPr>
                <w:color w:val="auto"/>
              </w:rPr>
            </w:pPr>
            <w:r>
              <w:rPr>
                <w:rFonts w:hint="eastAsia"/>
                <w:color w:val="auto"/>
              </w:rPr>
              <w:t>终期3</w:t>
            </w:r>
            <w:r>
              <w:rPr>
                <w:color w:val="auto"/>
              </w:rPr>
              <w:t>×</w:t>
            </w:r>
            <w:r>
              <w:rPr>
                <w:rFonts w:hint="eastAsia"/>
                <w:color w:val="auto"/>
              </w:rPr>
              <w:t>335</w:t>
            </w:r>
            <w:r>
              <w:rPr>
                <w:color w:val="auto"/>
              </w:rPr>
              <w:t>MVA</w:t>
            </w:r>
          </w:p>
        </w:tc>
        <w:tc>
          <w:tcPr>
            <w:tcW w:w="1490" w:type="pct"/>
            <w:tcBorders>
              <w:top w:val="single" w:color="auto" w:sz="4" w:space="0"/>
              <w:left w:val="single" w:color="auto" w:sz="4" w:space="0"/>
              <w:bottom w:val="single" w:color="auto" w:sz="4" w:space="0"/>
              <w:right w:val="single" w:color="auto" w:sz="4" w:space="0"/>
              <w:tl2br w:val="nil"/>
              <w:tr2bl w:val="nil"/>
            </w:tcBorders>
            <w:vAlign w:val="center"/>
          </w:tcPr>
          <w:p w14:paraId="25E8231C">
            <w:pPr>
              <w:pStyle w:val="84"/>
              <w:rPr>
                <w:color w:val="auto"/>
              </w:rPr>
            </w:pPr>
            <w:r>
              <w:rPr>
                <w:rFonts w:hint="eastAsia"/>
                <w:color w:val="auto"/>
              </w:rPr>
              <w:t>主变容量小于类比对象，具有可比性</w:t>
            </w:r>
          </w:p>
        </w:tc>
      </w:tr>
      <w:tr w14:paraId="702CD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91" w:type="pct"/>
            <w:tcBorders>
              <w:top w:val="single" w:color="auto" w:sz="4" w:space="0"/>
              <w:left w:val="single" w:color="auto" w:sz="4" w:space="0"/>
              <w:bottom w:val="single" w:color="auto" w:sz="4" w:space="0"/>
              <w:right w:val="single" w:color="auto" w:sz="4" w:space="0"/>
              <w:tl2br w:val="nil"/>
              <w:tr2bl w:val="nil"/>
            </w:tcBorders>
            <w:vAlign w:val="center"/>
          </w:tcPr>
          <w:p w14:paraId="3497FB85">
            <w:pPr>
              <w:pStyle w:val="84"/>
              <w:rPr>
                <w:color w:val="auto"/>
              </w:rPr>
            </w:pPr>
            <w:r>
              <w:rPr>
                <w:rFonts w:hint="eastAsia"/>
                <w:color w:val="auto"/>
              </w:rPr>
              <w:t>220kV</w:t>
            </w:r>
            <w:r>
              <w:rPr>
                <w:rFonts w:hint="eastAsia" w:hAnsi="宋体"/>
                <w:color w:val="auto"/>
              </w:rPr>
              <w:t>出线数及出线</w:t>
            </w:r>
          </w:p>
        </w:tc>
        <w:tc>
          <w:tcPr>
            <w:tcW w:w="1291" w:type="pct"/>
            <w:tcBorders>
              <w:top w:val="single" w:color="auto" w:sz="4" w:space="0"/>
              <w:left w:val="single" w:color="auto" w:sz="4" w:space="0"/>
              <w:bottom w:val="single" w:color="auto" w:sz="4" w:space="0"/>
              <w:right w:val="single" w:color="auto" w:sz="4" w:space="0"/>
              <w:tl2br w:val="nil"/>
              <w:tr2bl w:val="nil"/>
            </w:tcBorders>
            <w:vAlign w:val="center"/>
          </w:tcPr>
          <w:p w14:paraId="4598F522">
            <w:pPr>
              <w:pStyle w:val="84"/>
              <w:rPr>
                <w:color w:val="auto"/>
              </w:rPr>
            </w:pPr>
            <w:r>
              <w:rPr>
                <w:rFonts w:hint="eastAsia"/>
                <w:color w:val="auto"/>
              </w:rPr>
              <w:t>330kV（1回）、110kV（6回）</w:t>
            </w:r>
          </w:p>
        </w:tc>
        <w:tc>
          <w:tcPr>
            <w:tcW w:w="1228" w:type="pct"/>
            <w:tcBorders>
              <w:top w:val="single" w:color="auto" w:sz="4" w:space="0"/>
              <w:left w:val="single" w:color="auto" w:sz="4" w:space="0"/>
              <w:bottom w:val="single" w:color="auto" w:sz="4" w:space="0"/>
              <w:right w:val="single" w:color="auto" w:sz="4" w:space="0"/>
              <w:tl2br w:val="nil"/>
              <w:tr2bl w:val="nil"/>
            </w:tcBorders>
            <w:vAlign w:val="center"/>
          </w:tcPr>
          <w:p w14:paraId="1800EEB3">
            <w:pPr>
              <w:pStyle w:val="84"/>
              <w:rPr>
                <w:rFonts w:hint="eastAsia"/>
                <w:color w:val="auto"/>
              </w:rPr>
            </w:pPr>
            <w:r>
              <w:rPr>
                <w:rFonts w:hint="eastAsia"/>
                <w:color w:val="auto"/>
              </w:rPr>
              <w:t>220kV（3回）</w:t>
            </w:r>
          </w:p>
        </w:tc>
        <w:tc>
          <w:tcPr>
            <w:tcW w:w="1490" w:type="pct"/>
            <w:tcBorders>
              <w:top w:val="single" w:color="auto" w:sz="4" w:space="0"/>
              <w:left w:val="single" w:color="auto" w:sz="4" w:space="0"/>
              <w:bottom w:val="single" w:color="auto" w:sz="4" w:space="0"/>
              <w:right w:val="single" w:color="auto" w:sz="4" w:space="0"/>
              <w:tl2br w:val="nil"/>
              <w:tr2bl w:val="nil"/>
            </w:tcBorders>
            <w:vAlign w:val="center"/>
          </w:tcPr>
          <w:p w14:paraId="76D1F83B">
            <w:pPr>
              <w:pStyle w:val="84"/>
              <w:rPr>
                <w:color w:val="auto"/>
              </w:rPr>
            </w:pPr>
            <w:r>
              <w:rPr>
                <w:rFonts w:hint="eastAsia"/>
                <w:color w:val="auto"/>
              </w:rPr>
              <w:t>出线回数相对较少，具有可比性</w:t>
            </w:r>
          </w:p>
        </w:tc>
      </w:tr>
      <w:tr w14:paraId="00D0D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91" w:type="pct"/>
            <w:tcBorders>
              <w:top w:val="single" w:color="auto" w:sz="4" w:space="0"/>
              <w:left w:val="single" w:color="auto" w:sz="4" w:space="0"/>
              <w:bottom w:val="single" w:color="auto" w:sz="4" w:space="0"/>
              <w:right w:val="single" w:color="auto" w:sz="4" w:space="0"/>
              <w:tl2br w:val="nil"/>
              <w:tr2bl w:val="nil"/>
            </w:tcBorders>
            <w:vAlign w:val="center"/>
          </w:tcPr>
          <w:p w14:paraId="03B07778">
            <w:pPr>
              <w:pStyle w:val="84"/>
              <w:rPr>
                <w:color w:val="auto"/>
              </w:rPr>
            </w:pPr>
            <w:r>
              <w:rPr>
                <w:rFonts w:hint="eastAsia"/>
                <w:color w:val="auto"/>
              </w:rPr>
              <w:t>220kV</w:t>
            </w:r>
            <w:r>
              <w:rPr>
                <w:rFonts w:hint="eastAsia" w:hAnsi="宋体"/>
                <w:color w:val="auto"/>
              </w:rPr>
              <w:t>配电装置</w:t>
            </w:r>
          </w:p>
        </w:tc>
        <w:tc>
          <w:tcPr>
            <w:tcW w:w="1291" w:type="pct"/>
            <w:tcBorders>
              <w:top w:val="single" w:color="auto" w:sz="4" w:space="0"/>
              <w:left w:val="single" w:color="auto" w:sz="4" w:space="0"/>
              <w:bottom w:val="single" w:color="auto" w:sz="4" w:space="0"/>
              <w:right w:val="single" w:color="auto" w:sz="4" w:space="0"/>
              <w:tl2br w:val="nil"/>
              <w:tr2bl w:val="nil"/>
            </w:tcBorders>
            <w:vAlign w:val="center"/>
          </w:tcPr>
          <w:p w14:paraId="23E3F682">
            <w:pPr>
              <w:pStyle w:val="84"/>
              <w:rPr>
                <w:color w:val="auto"/>
              </w:rPr>
            </w:pPr>
            <w:r>
              <w:rPr>
                <w:rFonts w:hint="eastAsia"/>
                <w:color w:val="auto"/>
              </w:rPr>
              <w:t>GIS布置</w:t>
            </w:r>
          </w:p>
        </w:tc>
        <w:tc>
          <w:tcPr>
            <w:tcW w:w="1228" w:type="pct"/>
            <w:tcBorders>
              <w:top w:val="single" w:color="auto" w:sz="4" w:space="0"/>
              <w:left w:val="single" w:color="auto" w:sz="4" w:space="0"/>
              <w:bottom w:val="single" w:color="auto" w:sz="4" w:space="0"/>
              <w:right w:val="single" w:color="auto" w:sz="4" w:space="0"/>
              <w:tl2br w:val="nil"/>
              <w:tr2bl w:val="nil"/>
            </w:tcBorders>
            <w:vAlign w:val="center"/>
          </w:tcPr>
          <w:p w14:paraId="7B74B0BD">
            <w:pPr>
              <w:pStyle w:val="84"/>
              <w:rPr>
                <w:color w:val="auto"/>
              </w:rPr>
            </w:pPr>
            <w:r>
              <w:rPr>
                <w:rFonts w:hint="eastAsia"/>
                <w:color w:val="auto"/>
              </w:rPr>
              <w:t>GIS布置</w:t>
            </w:r>
          </w:p>
        </w:tc>
        <w:tc>
          <w:tcPr>
            <w:tcW w:w="1490" w:type="pct"/>
            <w:tcBorders>
              <w:top w:val="single" w:color="auto" w:sz="4" w:space="0"/>
              <w:left w:val="single" w:color="auto" w:sz="4" w:space="0"/>
              <w:bottom w:val="single" w:color="auto" w:sz="4" w:space="0"/>
              <w:right w:val="single" w:color="auto" w:sz="4" w:space="0"/>
              <w:tl2br w:val="nil"/>
              <w:tr2bl w:val="nil"/>
            </w:tcBorders>
            <w:vAlign w:val="center"/>
          </w:tcPr>
          <w:p w14:paraId="46AD48DB">
            <w:pPr>
              <w:pStyle w:val="84"/>
              <w:rPr>
                <w:color w:val="auto"/>
              </w:rPr>
            </w:pPr>
            <w:r>
              <w:rPr>
                <w:rFonts w:hint="eastAsia"/>
                <w:color w:val="auto"/>
              </w:rPr>
              <w:t>配电装置相同，具有可比性</w:t>
            </w:r>
          </w:p>
        </w:tc>
      </w:tr>
      <w:tr w14:paraId="58DAC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91" w:type="pct"/>
            <w:tcBorders>
              <w:top w:val="single" w:color="auto" w:sz="4" w:space="0"/>
              <w:left w:val="single" w:color="auto" w:sz="4" w:space="0"/>
              <w:bottom w:val="single" w:color="auto" w:sz="4" w:space="0"/>
              <w:right w:val="single" w:color="auto" w:sz="4" w:space="0"/>
              <w:tl2br w:val="nil"/>
              <w:tr2bl w:val="nil"/>
            </w:tcBorders>
            <w:vAlign w:val="center"/>
          </w:tcPr>
          <w:p w14:paraId="68222C84">
            <w:pPr>
              <w:pStyle w:val="84"/>
              <w:rPr>
                <w:color w:val="auto"/>
              </w:rPr>
            </w:pPr>
            <w:r>
              <w:rPr>
                <w:rFonts w:hint="eastAsia" w:hAnsi="宋体"/>
                <w:color w:val="auto"/>
              </w:rPr>
              <w:t>占地面积</w:t>
            </w:r>
          </w:p>
        </w:tc>
        <w:tc>
          <w:tcPr>
            <w:tcW w:w="1291" w:type="pct"/>
            <w:tcBorders>
              <w:top w:val="single" w:color="auto" w:sz="4" w:space="0"/>
              <w:left w:val="single" w:color="auto" w:sz="4" w:space="0"/>
              <w:bottom w:val="single" w:color="auto" w:sz="4" w:space="0"/>
              <w:right w:val="single" w:color="auto" w:sz="4" w:space="0"/>
              <w:tl2br w:val="nil"/>
              <w:tr2bl w:val="nil"/>
            </w:tcBorders>
            <w:vAlign w:val="center"/>
          </w:tcPr>
          <w:p w14:paraId="0212AC09">
            <w:pPr>
              <w:pStyle w:val="84"/>
              <w:rPr>
                <w:color w:val="auto"/>
              </w:rPr>
            </w:pPr>
            <w:r>
              <w:rPr>
                <w:rFonts w:hint="eastAsia"/>
                <w:color w:val="auto"/>
              </w:rPr>
              <w:t>1.28h</w:t>
            </w:r>
            <w:r>
              <w:rPr>
                <w:color w:val="auto"/>
              </w:rPr>
              <w:t>m</w:t>
            </w:r>
            <w:r>
              <w:rPr>
                <w:color w:val="auto"/>
                <w:vertAlign w:val="superscript"/>
              </w:rPr>
              <w:t>2</w:t>
            </w:r>
          </w:p>
        </w:tc>
        <w:tc>
          <w:tcPr>
            <w:tcW w:w="1228" w:type="pct"/>
            <w:tcBorders>
              <w:top w:val="single" w:color="auto" w:sz="4" w:space="0"/>
              <w:left w:val="single" w:color="auto" w:sz="4" w:space="0"/>
              <w:bottom w:val="single" w:color="auto" w:sz="4" w:space="0"/>
              <w:right w:val="single" w:color="auto" w:sz="4" w:space="0"/>
              <w:tl2br w:val="nil"/>
              <w:tr2bl w:val="nil"/>
            </w:tcBorders>
            <w:vAlign w:val="center"/>
          </w:tcPr>
          <w:p w14:paraId="215E7950">
            <w:pPr>
              <w:pStyle w:val="84"/>
              <w:rPr>
                <w:color w:val="auto"/>
              </w:rPr>
            </w:pPr>
            <w:r>
              <w:rPr>
                <w:rFonts w:hint="eastAsia"/>
                <w:color w:val="auto"/>
              </w:rPr>
              <w:t>15469</w:t>
            </w:r>
            <w:r>
              <w:rPr>
                <w:color w:val="auto"/>
              </w:rPr>
              <w:t>m</w:t>
            </w:r>
            <w:r>
              <w:rPr>
                <w:color w:val="auto"/>
                <w:vertAlign w:val="superscript"/>
              </w:rPr>
              <w:t>2</w:t>
            </w:r>
            <w:r>
              <w:rPr>
                <w:rFonts w:hint="eastAsia"/>
                <w:color w:val="auto"/>
              </w:rPr>
              <w:t>（围墙内占地面积9701m</w:t>
            </w:r>
            <w:r>
              <w:rPr>
                <w:rFonts w:hint="eastAsia"/>
                <w:color w:val="auto"/>
                <w:vertAlign w:val="superscript"/>
              </w:rPr>
              <w:t>2</w:t>
            </w:r>
            <w:r>
              <w:rPr>
                <w:rFonts w:hint="eastAsia"/>
                <w:color w:val="auto"/>
              </w:rPr>
              <w:t>）</w:t>
            </w:r>
          </w:p>
        </w:tc>
        <w:tc>
          <w:tcPr>
            <w:tcW w:w="1490" w:type="pct"/>
            <w:tcBorders>
              <w:top w:val="single" w:color="auto" w:sz="4" w:space="0"/>
              <w:left w:val="single" w:color="auto" w:sz="4" w:space="0"/>
              <w:bottom w:val="single" w:color="auto" w:sz="4" w:space="0"/>
              <w:right w:val="single" w:color="auto" w:sz="4" w:space="0"/>
              <w:tl2br w:val="nil"/>
              <w:tr2bl w:val="nil"/>
            </w:tcBorders>
            <w:vAlign w:val="center"/>
          </w:tcPr>
          <w:p w14:paraId="4060B3B4">
            <w:pPr>
              <w:pStyle w:val="84"/>
              <w:rPr>
                <w:color w:val="auto"/>
              </w:rPr>
            </w:pPr>
            <w:r>
              <w:rPr>
                <w:rFonts w:hint="eastAsia"/>
                <w:color w:val="auto"/>
              </w:rPr>
              <w:t>占地面积大于类比项目，具有可比性</w:t>
            </w:r>
          </w:p>
        </w:tc>
      </w:tr>
      <w:tr w14:paraId="177F6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91" w:type="pct"/>
            <w:tcBorders>
              <w:top w:val="single" w:color="auto" w:sz="4" w:space="0"/>
              <w:left w:val="single" w:color="auto" w:sz="4" w:space="0"/>
              <w:bottom w:val="single" w:color="auto" w:sz="4" w:space="0"/>
              <w:right w:val="single" w:color="auto" w:sz="4" w:space="0"/>
              <w:tl2br w:val="nil"/>
              <w:tr2bl w:val="nil"/>
            </w:tcBorders>
            <w:vAlign w:val="center"/>
          </w:tcPr>
          <w:p w14:paraId="5868719C">
            <w:pPr>
              <w:pStyle w:val="84"/>
              <w:rPr>
                <w:rFonts w:hint="eastAsia" w:hAnsi="宋体"/>
                <w:color w:val="auto"/>
              </w:rPr>
            </w:pPr>
            <w:r>
              <w:rPr>
                <w:rFonts w:hint="eastAsia" w:hAnsi="宋体"/>
                <w:color w:val="auto"/>
              </w:rPr>
              <w:t>所属地区</w:t>
            </w:r>
          </w:p>
        </w:tc>
        <w:tc>
          <w:tcPr>
            <w:tcW w:w="1291" w:type="pct"/>
            <w:tcBorders>
              <w:top w:val="single" w:color="auto" w:sz="4" w:space="0"/>
              <w:left w:val="single" w:color="auto" w:sz="4" w:space="0"/>
              <w:bottom w:val="single" w:color="auto" w:sz="4" w:space="0"/>
              <w:right w:val="single" w:color="auto" w:sz="4" w:space="0"/>
              <w:tl2br w:val="nil"/>
              <w:tr2bl w:val="nil"/>
            </w:tcBorders>
            <w:vAlign w:val="center"/>
          </w:tcPr>
          <w:p w14:paraId="39DB5765">
            <w:pPr>
              <w:pStyle w:val="84"/>
              <w:rPr>
                <w:color w:val="auto"/>
              </w:rPr>
            </w:pPr>
            <w:r>
              <w:rPr>
                <w:rFonts w:hint="eastAsia"/>
                <w:color w:val="auto"/>
              </w:rPr>
              <w:t>宁东地区</w:t>
            </w:r>
          </w:p>
        </w:tc>
        <w:tc>
          <w:tcPr>
            <w:tcW w:w="1228" w:type="pct"/>
            <w:tcBorders>
              <w:top w:val="single" w:color="auto" w:sz="4" w:space="0"/>
              <w:left w:val="single" w:color="auto" w:sz="4" w:space="0"/>
              <w:bottom w:val="single" w:color="auto" w:sz="4" w:space="0"/>
              <w:right w:val="single" w:color="auto" w:sz="4" w:space="0"/>
              <w:tl2br w:val="nil"/>
              <w:tr2bl w:val="nil"/>
            </w:tcBorders>
            <w:vAlign w:val="center"/>
          </w:tcPr>
          <w:p w14:paraId="2EB4A2D9">
            <w:pPr>
              <w:pStyle w:val="84"/>
              <w:rPr>
                <w:color w:val="auto"/>
              </w:rPr>
            </w:pPr>
            <w:r>
              <w:rPr>
                <w:rFonts w:hint="eastAsia"/>
                <w:color w:val="auto"/>
              </w:rPr>
              <w:t>凤台县</w:t>
            </w:r>
          </w:p>
        </w:tc>
        <w:tc>
          <w:tcPr>
            <w:tcW w:w="1490" w:type="pct"/>
            <w:tcBorders>
              <w:top w:val="single" w:color="auto" w:sz="4" w:space="0"/>
              <w:left w:val="single" w:color="auto" w:sz="4" w:space="0"/>
              <w:bottom w:val="single" w:color="auto" w:sz="4" w:space="0"/>
              <w:right w:val="single" w:color="auto" w:sz="4" w:space="0"/>
              <w:tl2br w:val="nil"/>
              <w:tr2bl w:val="nil"/>
            </w:tcBorders>
            <w:vAlign w:val="center"/>
          </w:tcPr>
          <w:p w14:paraId="62D81A8C">
            <w:pPr>
              <w:pStyle w:val="84"/>
              <w:rPr>
                <w:color w:val="auto"/>
              </w:rPr>
            </w:pPr>
            <w:r>
              <w:rPr>
                <w:rFonts w:hint="eastAsia"/>
                <w:color w:val="auto"/>
              </w:rPr>
              <w:t>/</w:t>
            </w:r>
          </w:p>
        </w:tc>
      </w:tr>
    </w:tbl>
    <w:p w14:paraId="328C5C6E">
      <w:pPr>
        <w:pStyle w:val="51"/>
        <w:rPr>
          <w:color w:val="auto"/>
        </w:rPr>
      </w:pPr>
      <w:r>
        <w:rPr>
          <w:rFonts w:hint="eastAsia"/>
          <w:color w:val="auto"/>
        </w:rPr>
        <w:t>华润州来凤台县张集光伏电站项目配套220kV升压站为户外布置的升压站，最终建设主变压器3台，建成后终期升压站主变容量3×335</w:t>
      </w:r>
      <w:r>
        <w:rPr>
          <w:color w:val="auto"/>
        </w:rPr>
        <w:t>MVA</w:t>
      </w:r>
      <w:r>
        <w:rPr>
          <w:rFonts w:hint="eastAsia"/>
          <w:color w:val="auto"/>
        </w:rPr>
        <w:t>。用于类比的宁东1GW光伏基地330kV汇集站与本项目相比，布置方式、区域环境均基本一致，类比项目电压等级高于本项目，主变规模稍大于本项目，出线回数大于本项目，占地面积小于本项目。</w:t>
      </w:r>
    </w:p>
    <w:p w14:paraId="4DC2ADDE">
      <w:pPr>
        <w:pStyle w:val="51"/>
        <w:rPr>
          <w:color w:val="auto"/>
        </w:rPr>
      </w:pPr>
      <w:r>
        <w:rPr>
          <w:rFonts w:hint="eastAsia"/>
          <w:color w:val="auto"/>
        </w:rPr>
        <w:t>综上所述，用宁东1GW光伏基地330kV汇集站类比本工程拟建的220kV升压站是可行的。</w:t>
      </w:r>
    </w:p>
    <w:p w14:paraId="4095098C">
      <w:pPr>
        <w:pStyle w:val="4"/>
      </w:pPr>
      <w:bookmarkStart w:id="102" w:name="_Toc85633936"/>
      <w:r>
        <w:rPr>
          <w:rFonts w:hint="eastAsia"/>
        </w:rPr>
        <w:t>4</w:t>
      </w:r>
      <w:r>
        <w:t xml:space="preserve">.1.2 </w:t>
      </w:r>
      <w:r>
        <w:rPr>
          <w:rFonts w:hint="eastAsia"/>
        </w:rPr>
        <w:t>类比对象监测条件</w:t>
      </w:r>
      <w:bookmarkEnd w:id="102"/>
    </w:p>
    <w:p w14:paraId="309C08EA">
      <w:pPr>
        <w:pStyle w:val="51"/>
        <w:rPr>
          <w:color w:val="auto"/>
        </w:rPr>
      </w:pPr>
      <w:r>
        <w:rPr>
          <w:rFonts w:hint="eastAsia"/>
          <w:color w:val="auto"/>
        </w:rPr>
        <w:t>数据来源：类比监测数据引用《宁东1GW光伏基地330千伏输变电工程竣工环境保护验收调查报告》（检测单位：宁夏盛世蓝天环保技术有限公司）中330kV汇集站的验收监测数据；</w:t>
      </w:r>
    </w:p>
    <w:p w14:paraId="6D0ED6AA">
      <w:pPr>
        <w:pStyle w:val="51"/>
        <w:rPr>
          <w:color w:val="auto"/>
        </w:rPr>
      </w:pPr>
      <w:r>
        <w:rPr>
          <w:rFonts w:hint="eastAsia"/>
          <w:color w:val="auto"/>
        </w:rPr>
        <w:t>监测因子：工频电场强度、工频磁感应强度</w:t>
      </w:r>
    </w:p>
    <w:p w14:paraId="6D4E39E8">
      <w:pPr>
        <w:pStyle w:val="51"/>
        <w:rPr>
          <w:color w:val="auto"/>
        </w:rPr>
      </w:pPr>
      <w:r>
        <w:rPr>
          <w:rFonts w:hint="eastAsia"/>
          <w:color w:val="auto"/>
        </w:rPr>
        <w:t>监测方法：工频电场强度、工频磁感应强度监测方法执行《交流输变电工程电磁环境监测方法》（HJ</w:t>
      </w:r>
      <w:r>
        <w:rPr>
          <w:color w:val="auto"/>
        </w:rPr>
        <w:t>681-2013</w:t>
      </w:r>
      <w:r>
        <w:rPr>
          <w:rFonts w:hint="eastAsia"/>
          <w:color w:val="auto"/>
        </w:rPr>
        <w:t>）中规定的工频电场强度和磁感应强度的测量方法。</w:t>
      </w:r>
    </w:p>
    <w:p w14:paraId="7D0C05D7">
      <w:pPr>
        <w:pStyle w:val="51"/>
        <w:rPr>
          <w:color w:val="auto"/>
        </w:rPr>
      </w:pPr>
      <w:r>
        <w:rPr>
          <w:rFonts w:hint="eastAsia"/>
          <w:color w:val="auto"/>
        </w:rPr>
        <w:t>监测布点：根据《交流输变电工程电磁环境监测方法（试行）》（HJ/681-2013），在变电站无进出线或远离进出线的围墙外且距离围墙 5m、距地 1.5m 的地方布点测量，选择其中监测值最大值为测量方向；按该方向围墙的垂直线，作为测试路径；在测试路径上以围墙为起点，测点间距为 5m，依次测至 50m 处为止。类比变电站监测点位示意图见图4-1。</w:t>
      </w:r>
    </w:p>
    <w:p w14:paraId="588985E8">
      <w:pPr>
        <w:pStyle w:val="87"/>
      </w:pPr>
      <w:r>
        <w:drawing>
          <wp:inline distT="0" distB="0" distL="0" distR="0">
            <wp:extent cx="5731510" cy="4110990"/>
            <wp:effectExtent l="0" t="0" r="2540" b="3810"/>
            <wp:docPr id="20896238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623888" name="图片 1"/>
                    <pic:cNvPicPr>
                      <a:picLocks noChangeAspect="1"/>
                    </pic:cNvPicPr>
                  </pic:nvPicPr>
                  <pic:blipFill>
                    <a:blip r:embed="rId25"/>
                    <a:stretch>
                      <a:fillRect/>
                    </a:stretch>
                  </pic:blipFill>
                  <pic:spPr>
                    <a:xfrm>
                      <a:off x="0" y="0"/>
                      <a:ext cx="5731510" cy="4110990"/>
                    </a:xfrm>
                    <a:prstGeom prst="rect">
                      <a:avLst/>
                    </a:prstGeom>
                  </pic:spPr>
                </pic:pic>
              </a:graphicData>
            </a:graphic>
          </wp:inline>
        </w:drawing>
      </w:r>
    </w:p>
    <w:p w14:paraId="44AB626C">
      <w:pPr>
        <w:pStyle w:val="83"/>
        <w:rPr>
          <w:rFonts w:hint="eastAsia"/>
        </w:rPr>
      </w:pPr>
      <w:r>
        <w:rPr>
          <w:rFonts w:hint="eastAsia"/>
        </w:rPr>
        <w:t>图4-1  宁东 1GW 光伏基地 330kV 汇集站监测布点示意图</w:t>
      </w:r>
    </w:p>
    <w:p w14:paraId="6D1066C0">
      <w:pPr>
        <w:pStyle w:val="51"/>
        <w:rPr>
          <w:color w:val="auto"/>
        </w:rPr>
      </w:pPr>
      <w:r>
        <w:rPr>
          <w:rFonts w:hint="eastAsia"/>
          <w:color w:val="auto"/>
        </w:rPr>
        <w:t>检测单位：宁夏盛世蓝天环保技术有限公司</w:t>
      </w:r>
    </w:p>
    <w:p w14:paraId="2942BC20">
      <w:pPr>
        <w:pStyle w:val="51"/>
        <w:rPr>
          <w:color w:val="auto"/>
        </w:rPr>
      </w:pPr>
      <w:r>
        <w:rPr>
          <w:rFonts w:hint="eastAsia"/>
          <w:color w:val="auto"/>
        </w:rPr>
        <w:t>检测时间：2024年1月12日</w:t>
      </w:r>
    </w:p>
    <w:p w14:paraId="20793948">
      <w:pPr>
        <w:pStyle w:val="51"/>
        <w:rPr>
          <w:rFonts w:hint="eastAsia"/>
          <w:color w:val="auto"/>
        </w:rPr>
      </w:pPr>
      <w:r>
        <w:rPr>
          <w:rFonts w:hint="eastAsia"/>
          <w:color w:val="auto"/>
        </w:rPr>
        <w:t>仪器名称：电磁场探头和读出装置</w:t>
      </w:r>
    </w:p>
    <w:p w14:paraId="65973C4C">
      <w:pPr>
        <w:pStyle w:val="51"/>
        <w:rPr>
          <w:rFonts w:hint="eastAsia"/>
          <w:color w:val="auto"/>
        </w:rPr>
      </w:pPr>
      <w:r>
        <w:rPr>
          <w:rFonts w:hint="eastAsia"/>
          <w:color w:val="auto"/>
        </w:rPr>
        <w:t>型号规格：SEM-600/LF-01</w:t>
      </w:r>
    </w:p>
    <w:p w14:paraId="75F111D6">
      <w:pPr>
        <w:pStyle w:val="51"/>
        <w:rPr>
          <w:rFonts w:hint="eastAsia"/>
          <w:color w:val="auto"/>
        </w:rPr>
      </w:pPr>
      <w:r>
        <w:rPr>
          <w:rFonts w:hint="eastAsia"/>
          <w:color w:val="auto"/>
        </w:rPr>
        <w:t>出厂编号：G-2240/D-2238</w:t>
      </w:r>
    </w:p>
    <w:p w14:paraId="3C4643F7">
      <w:pPr>
        <w:pStyle w:val="51"/>
        <w:rPr>
          <w:rFonts w:hint="eastAsia"/>
          <w:color w:val="auto"/>
        </w:rPr>
      </w:pPr>
      <w:r>
        <w:rPr>
          <w:rFonts w:hint="eastAsia"/>
          <w:color w:val="auto"/>
        </w:rPr>
        <w:t>计量检定证书号：2023F33104837919002</w:t>
      </w:r>
    </w:p>
    <w:p w14:paraId="284720FB">
      <w:pPr>
        <w:pStyle w:val="51"/>
        <w:rPr>
          <w:rFonts w:hint="eastAsia"/>
          <w:color w:val="auto"/>
        </w:rPr>
      </w:pPr>
      <w:r>
        <w:rPr>
          <w:rFonts w:hint="eastAsia"/>
          <w:color w:val="auto"/>
        </w:rPr>
        <w:t>有效期至：2023.9.19-2024.9.18。</w:t>
      </w:r>
    </w:p>
    <w:p w14:paraId="0037F284">
      <w:pPr>
        <w:pStyle w:val="82"/>
      </w:pPr>
      <w:r>
        <w:rPr>
          <w:rFonts w:hint="eastAsia"/>
        </w:rPr>
        <w:t>表4</w:t>
      </w:r>
      <w:r>
        <w:t xml:space="preserve">-2  </w:t>
      </w:r>
      <w:r>
        <w:rPr>
          <w:rFonts w:hint="eastAsia"/>
        </w:rPr>
        <w:t>监测条件一览表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9"/>
        <w:gridCol w:w="1259"/>
        <w:gridCol w:w="3499"/>
        <w:gridCol w:w="2235"/>
      </w:tblGrid>
      <w:tr w14:paraId="15096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7" w:type="pct"/>
            <w:tcBorders>
              <w:top w:val="single" w:color="auto" w:sz="4" w:space="0"/>
              <w:left w:val="single" w:color="auto" w:sz="4" w:space="0"/>
              <w:bottom w:val="single" w:color="auto" w:sz="4" w:space="0"/>
              <w:right w:val="single" w:color="auto" w:sz="4" w:space="0"/>
              <w:tl2br w:val="nil"/>
              <w:tr2bl w:val="nil"/>
            </w:tcBorders>
            <w:vAlign w:val="center"/>
          </w:tcPr>
          <w:p w14:paraId="7D5F7217">
            <w:pPr>
              <w:pStyle w:val="84"/>
              <w:rPr>
                <w:color w:val="auto"/>
              </w:rPr>
            </w:pPr>
            <w:r>
              <w:rPr>
                <w:rFonts w:hint="eastAsia"/>
                <w:color w:val="auto"/>
              </w:rPr>
              <w:t>监测项目</w:t>
            </w:r>
          </w:p>
        </w:tc>
        <w:tc>
          <w:tcPr>
            <w:tcW w:w="681" w:type="pct"/>
            <w:tcBorders>
              <w:top w:val="single" w:color="auto" w:sz="4" w:space="0"/>
              <w:left w:val="single" w:color="auto" w:sz="4" w:space="0"/>
              <w:bottom w:val="single" w:color="auto" w:sz="4" w:space="0"/>
              <w:right w:val="single" w:color="auto" w:sz="4" w:space="0"/>
              <w:tl2br w:val="nil"/>
              <w:tr2bl w:val="nil"/>
            </w:tcBorders>
            <w:vAlign w:val="center"/>
          </w:tcPr>
          <w:p w14:paraId="51A8C8C7">
            <w:pPr>
              <w:pStyle w:val="84"/>
              <w:rPr>
                <w:color w:val="auto"/>
              </w:rPr>
            </w:pPr>
            <w:r>
              <w:rPr>
                <w:rFonts w:hint="eastAsia"/>
                <w:color w:val="auto"/>
              </w:rPr>
              <w:t>监测时间</w:t>
            </w:r>
          </w:p>
        </w:tc>
        <w:tc>
          <w:tcPr>
            <w:tcW w:w="1893" w:type="pct"/>
            <w:tcBorders>
              <w:top w:val="single" w:color="auto" w:sz="4" w:space="0"/>
              <w:left w:val="single" w:color="auto" w:sz="4" w:space="0"/>
              <w:bottom w:val="single" w:color="auto" w:sz="4" w:space="0"/>
              <w:right w:val="single" w:color="auto" w:sz="4" w:space="0"/>
              <w:tl2br w:val="nil"/>
              <w:tr2bl w:val="nil"/>
            </w:tcBorders>
            <w:vAlign w:val="center"/>
          </w:tcPr>
          <w:p w14:paraId="532B5C39">
            <w:pPr>
              <w:pStyle w:val="84"/>
              <w:rPr>
                <w:color w:val="auto"/>
              </w:rPr>
            </w:pPr>
            <w:r>
              <w:rPr>
                <w:rFonts w:hint="eastAsia"/>
                <w:color w:val="auto"/>
              </w:rPr>
              <w:t>气象条件</w:t>
            </w:r>
          </w:p>
        </w:tc>
        <w:tc>
          <w:tcPr>
            <w:tcW w:w="1209" w:type="pct"/>
            <w:tcBorders>
              <w:top w:val="single" w:color="auto" w:sz="4" w:space="0"/>
              <w:left w:val="single" w:color="auto" w:sz="4" w:space="0"/>
              <w:bottom w:val="single" w:color="auto" w:sz="4" w:space="0"/>
              <w:right w:val="single" w:color="auto" w:sz="4" w:space="0"/>
              <w:tl2br w:val="nil"/>
              <w:tr2bl w:val="nil"/>
            </w:tcBorders>
            <w:vAlign w:val="center"/>
          </w:tcPr>
          <w:p w14:paraId="417DE00E">
            <w:pPr>
              <w:pStyle w:val="84"/>
              <w:rPr>
                <w:color w:val="auto"/>
              </w:rPr>
            </w:pPr>
            <w:r>
              <w:rPr>
                <w:rFonts w:hint="eastAsia"/>
                <w:color w:val="auto"/>
              </w:rPr>
              <w:t>监测单位</w:t>
            </w:r>
          </w:p>
        </w:tc>
      </w:tr>
      <w:tr w14:paraId="39118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8" w:hRule="atLeast"/>
          <w:jc w:val="center"/>
        </w:trPr>
        <w:tc>
          <w:tcPr>
            <w:tcW w:w="1217" w:type="pct"/>
            <w:tcBorders>
              <w:top w:val="single" w:color="auto" w:sz="4" w:space="0"/>
              <w:left w:val="single" w:color="auto" w:sz="4" w:space="0"/>
              <w:bottom w:val="single" w:color="auto" w:sz="4" w:space="0"/>
              <w:right w:val="single" w:color="auto" w:sz="4" w:space="0"/>
              <w:tl2br w:val="nil"/>
              <w:tr2bl w:val="nil"/>
            </w:tcBorders>
            <w:vAlign w:val="center"/>
          </w:tcPr>
          <w:p w14:paraId="23F8462A">
            <w:pPr>
              <w:pStyle w:val="84"/>
              <w:rPr>
                <w:color w:val="auto"/>
              </w:rPr>
            </w:pPr>
            <w:r>
              <w:rPr>
                <w:rFonts w:hint="eastAsia"/>
                <w:color w:val="auto"/>
              </w:rPr>
              <w:t>宁东1GW光伏基地330kV汇集站</w:t>
            </w:r>
          </w:p>
        </w:tc>
        <w:tc>
          <w:tcPr>
            <w:tcW w:w="681" w:type="pct"/>
            <w:tcBorders>
              <w:top w:val="single" w:color="auto" w:sz="4" w:space="0"/>
              <w:left w:val="single" w:color="auto" w:sz="4" w:space="0"/>
              <w:bottom w:val="single" w:color="auto" w:sz="4" w:space="0"/>
              <w:right w:val="single" w:color="auto" w:sz="4" w:space="0"/>
              <w:tl2br w:val="nil"/>
              <w:tr2bl w:val="nil"/>
            </w:tcBorders>
            <w:vAlign w:val="center"/>
          </w:tcPr>
          <w:p w14:paraId="0EB715B9">
            <w:pPr>
              <w:pStyle w:val="84"/>
              <w:rPr>
                <w:rFonts w:hint="eastAsia"/>
                <w:color w:val="auto"/>
              </w:rPr>
            </w:pPr>
            <w:r>
              <w:rPr>
                <w:rFonts w:hint="eastAsia"/>
                <w:color w:val="auto"/>
              </w:rPr>
              <w:t>2024年1月12日</w:t>
            </w:r>
          </w:p>
          <w:p w14:paraId="06A88850">
            <w:pPr>
              <w:pStyle w:val="84"/>
              <w:rPr>
                <w:color w:val="auto"/>
              </w:rPr>
            </w:pPr>
            <w:r>
              <w:rPr>
                <w:rFonts w:hint="eastAsia"/>
                <w:color w:val="auto"/>
              </w:rPr>
              <w:t>昼间</w:t>
            </w:r>
          </w:p>
        </w:tc>
        <w:tc>
          <w:tcPr>
            <w:tcW w:w="1893" w:type="pct"/>
            <w:tcBorders>
              <w:top w:val="single" w:color="auto" w:sz="4" w:space="0"/>
              <w:left w:val="single" w:color="auto" w:sz="4" w:space="0"/>
              <w:bottom w:val="single" w:color="auto" w:sz="4" w:space="0"/>
              <w:right w:val="single" w:color="auto" w:sz="4" w:space="0"/>
              <w:tl2br w:val="nil"/>
              <w:tr2bl w:val="nil"/>
            </w:tcBorders>
            <w:vAlign w:val="center"/>
          </w:tcPr>
          <w:p w14:paraId="0A820A61">
            <w:pPr>
              <w:pStyle w:val="84"/>
              <w:rPr>
                <w:rFonts w:hint="eastAsia"/>
                <w:color w:val="auto"/>
              </w:rPr>
            </w:pPr>
            <w:r>
              <w:rPr>
                <w:rFonts w:hint="eastAsia"/>
                <w:color w:val="auto"/>
              </w:rPr>
              <w:t>天气晴，温度</w:t>
            </w:r>
            <w:r>
              <w:rPr>
                <w:color w:val="auto"/>
              </w:rPr>
              <w:t>1.5-6.1</w:t>
            </w:r>
            <w:r>
              <w:rPr>
                <w:rFonts w:hint="eastAsia"/>
                <w:color w:val="auto"/>
              </w:rPr>
              <w:t>℃，湿度</w:t>
            </w:r>
            <w:r>
              <w:rPr>
                <w:color w:val="auto"/>
              </w:rPr>
              <w:t>28.3-30.4</w:t>
            </w:r>
            <w:r>
              <w:rPr>
                <w:rFonts w:hint="eastAsia"/>
                <w:color w:val="auto"/>
              </w:rPr>
              <w:t>，静风、气压869.4-871.3hPa</w:t>
            </w:r>
          </w:p>
        </w:tc>
        <w:tc>
          <w:tcPr>
            <w:tcW w:w="1209" w:type="pct"/>
            <w:tcBorders>
              <w:top w:val="single" w:color="auto" w:sz="4" w:space="0"/>
              <w:left w:val="single" w:color="auto" w:sz="4" w:space="0"/>
              <w:bottom w:val="single" w:color="auto" w:sz="4" w:space="0"/>
              <w:right w:val="single" w:color="auto" w:sz="4" w:space="0"/>
              <w:tl2br w:val="nil"/>
              <w:tr2bl w:val="nil"/>
            </w:tcBorders>
            <w:vAlign w:val="center"/>
          </w:tcPr>
          <w:p w14:paraId="39D4F03F">
            <w:pPr>
              <w:pStyle w:val="84"/>
              <w:rPr>
                <w:color w:val="auto"/>
              </w:rPr>
            </w:pPr>
            <w:r>
              <w:rPr>
                <w:rFonts w:hint="eastAsia"/>
                <w:color w:val="auto"/>
              </w:rPr>
              <w:t>宁夏盛世蓝天环保技术有限公司</w:t>
            </w:r>
          </w:p>
        </w:tc>
      </w:tr>
    </w:tbl>
    <w:p w14:paraId="704A4FF8">
      <w:pPr>
        <w:pStyle w:val="4"/>
      </w:pPr>
      <w:bookmarkStart w:id="103" w:name="_Toc85633937"/>
      <w:r>
        <w:rPr>
          <w:rFonts w:hint="eastAsia"/>
        </w:rPr>
        <w:t>4</w:t>
      </w:r>
      <w:r>
        <w:t xml:space="preserve">.1.3 </w:t>
      </w:r>
      <w:r>
        <w:rPr>
          <w:rFonts w:hint="eastAsia"/>
        </w:rPr>
        <w:t>类比对象监测工况</w:t>
      </w:r>
      <w:bookmarkEnd w:id="103"/>
    </w:p>
    <w:p w14:paraId="6DEADC9F">
      <w:pPr>
        <w:pStyle w:val="82"/>
      </w:pPr>
      <w:r>
        <w:rPr>
          <w:rFonts w:hint="eastAsia"/>
        </w:rPr>
        <w:t>表</w:t>
      </w:r>
      <w:r>
        <w:t xml:space="preserve">4-3  </w:t>
      </w:r>
      <w:r>
        <w:rPr>
          <w:rFonts w:hint="eastAsia"/>
        </w:rPr>
        <w:t>监测期间运行工况一览表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9"/>
        <w:gridCol w:w="1736"/>
        <w:gridCol w:w="1414"/>
        <w:gridCol w:w="1506"/>
        <w:gridCol w:w="1307"/>
        <w:gridCol w:w="1200"/>
      </w:tblGrid>
      <w:tr w14:paraId="45817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5" w:type="pct"/>
            <w:tcBorders>
              <w:top w:val="single" w:color="auto" w:sz="4" w:space="0"/>
              <w:left w:val="single" w:color="auto" w:sz="4" w:space="0"/>
              <w:bottom w:val="single" w:color="auto" w:sz="4" w:space="0"/>
              <w:right w:val="single" w:color="auto" w:sz="4" w:space="0"/>
              <w:tl2br w:val="nil"/>
              <w:tr2bl w:val="nil"/>
            </w:tcBorders>
            <w:vAlign w:val="center"/>
          </w:tcPr>
          <w:p w14:paraId="661E9F98">
            <w:pPr>
              <w:pStyle w:val="84"/>
              <w:rPr>
                <w:color w:val="auto"/>
              </w:rPr>
            </w:pPr>
            <w:r>
              <w:rPr>
                <w:rFonts w:hint="eastAsia"/>
                <w:color w:val="auto"/>
              </w:rPr>
              <w:t>项目名称</w:t>
            </w:r>
          </w:p>
        </w:tc>
        <w:tc>
          <w:tcPr>
            <w:tcW w:w="939" w:type="pct"/>
            <w:tcBorders>
              <w:top w:val="single" w:color="auto" w:sz="4" w:space="0"/>
              <w:left w:val="single" w:color="auto" w:sz="4" w:space="0"/>
              <w:bottom w:val="single" w:color="auto" w:sz="4" w:space="0"/>
              <w:right w:val="single" w:color="auto" w:sz="4" w:space="0"/>
              <w:tl2br w:val="nil"/>
              <w:tr2bl w:val="nil"/>
            </w:tcBorders>
            <w:vAlign w:val="center"/>
          </w:tcPr>
          <w:p w14:paraId="3FDD7059">
            <w:pPr>
              <w:pStyle w:val="84"/>
              <w:rPr>
                <w:color w:val="auto"/>
              </w:rPr>
            </w:pPr>
            <w:r>
              <w:rPr>
                <w:rFonts w:hint="eastAsia"/>
                <w:color w:val="auto"/>
              </w:rPr>
              <w:t>监测时间</w:t>
            </w:r>
          </w:p>
        </w:tc>
        <w:tc>
          <w:tcPr>
            <w:tcW w:w="765" w:type="pct"/>
            <w:tcBorders>
              <w:top w:val="single" w:color="auto" w:sz="4" w:space="0"/>
              <w:left w:val="single" w:color="auto" w:sz="4" w:space="0"/>
              <w:bottom w:val="single" w:color="auto" w:sz="4" w:space="0"/>
              <w:right w:val="single" w:color="auto" w:sz="4" w:space="0"/>
              <w:tl2br w:val="nil"/>
              <w:tr2bl w:val="nil"/>
            </w:tcBorders>
            <w:vAlign w:val="center"/>
          </w:tcPr>
          <w:p w14:paraId="2D2BCFEA">
            <w:pPr>
              <w:pStyle w:val="84"/>
              <w:rPr>
                <w:color w:val="auto"/>
              </w:rPr>
            </w:pPr>
            <w:r>
              <w:rPr>
                <w:rFonts w:hint="eastAsia"/>
                <w:color w:val="auto"/>
              </w:rPr>
              <w:t>电流（A）</w:t>
            </w:r>
          </w:p>
        </w:tc>
        <w:tc>
          <w:tcPr>
            <w:tcW w:w="815" w:type="pct"/>
            <w:tcBorders>
              <w:top w:val="single" w:color="auto" w:sz="4" w:space="0"/>
              <w:left w:val="single" w:color="auto" w:sz="4" w:space="0"/>
              <w:bottom w:val="single" w:color="auto" w:sz="4" w:space="0"/>
              <w:right w:val="single" w:color="auto" w:sz="4" w:space="0"/>
              <w:tl2br w:val="nil"/>
              <w:tr2bl w:val="nil"/>
            </w:tcBorders>
            <w:vAlign w:val="center"/>
          </w:tcPr>
          <w:p w14:paraId="04D405B9">
            <w:pPr>
              <w:pStyle w:val="84"/>
              <w:rPr>
                <w:color w:val="auto"/>
              </w:rPr>
            </w:pPr>
            <w:r>
              <w:rPr>
                <w:rFonts w:hint="eastAsia"/>
                <w:color w:val="auto"/>
              </w:rPr>
              <w:t>电压（kV）</w:t>
            </w:r>
          </w:p>
        </w:tc>
        <w:tc>
          <w:tcPr>
            <w:tcW w:w="707" w:type="pct"/>
            <w:tcBorders>
              <w:top w:val="single" w:color="auto" w:sz="4" w:space="0"/>
              <w:left w:val="single" w:color="auto" w:sz="4" w:space="0"/>
              <w:bottom w:val="single" w:color="auto" w:sz="4" w:space="0"/>
              <w:right w:val="single" w:color="auto" w:sz="4" w:space="0"/>
              <w:tl2br w:val="nil"/>
              <w:tr2bl w:val="nil"/>
            </w:tcBorders>
            <w:vAlign w:val="center"/>
          </w:tcPr>
          <w:p w14:paraId="54EC4925">
            <w:pPr>
              <w:pStyle w:val="84"/>
              <w:rPr>
                <w:color w:val="auto"/>
              </w:rPr>
            </w:pPr>
            <w:r>
              <w:rPr>
                <w:rFonts w:hint="eastAsia"/>
                <w:color w:val="auto"/>
              </w:rPr>
              <w:t>有功功率（MW）</w:t>
            </w:r>
          </w:p>
        </w:tc>
        <w:tc>
          <w:tcPr>
            <w:tcW w:w="649" w:type="pct"/>
            <w:tcBorders>
              <w:top w:val="single" w:color="auto" w:sz="4" w:space="0"/>
              <w:left w:val="single" w:color="auto" w:sz="4" w:space="0"/>
              <w:bottom w:val="single" w:color="auto" w:sz="4" w:space="0"/>
              <w:right w:val="single" w:color="auto" w:sz="4" w:space="0"/>
              <w:tl2br w:val="nil"/>
              <w:tr2bl w:val="nil"/>
            </w:tcBorders>
            <w:vAlign w:val="center"/>
          </w:tcPr>
          <w:p w14:paraId="07BF0077">
            <w:pPr>
              <w:pStyle w:val="84"/>
              <w:rPr>
                <w:color w:val="auto"/>
              </w:rPr>
            </w:pPr>
            <w:r>
              <w:rPr>
                <w:rFonts w:hint="eastAsia"/>
                <w:color w:val="auto"/>
              </w:rPr>
              <w:t>无功功率（MW）</w:t>
            </w:r>
          </w:p>
        </w:tc>
      </w:tr>
      <w:tr w14:paraId="3C8C9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125" w:type="pct"/>
            <w:tcBorders>
              <w:top w:val="single" w:color="auto" w:sz="4" w:space="0"/>
              <w:left w:val="single" w:color="auto" w:sz="4" w:space="0"/>
              <w:bottom w:val="single" w:color="auto" w:sz="4" w:space="0"/>
              <w:right w:val="single" w:color="auto" w:sz="4" w:space="0"/>
              <w:tl2br w:val="nil"/>
              <w:tr2bl w:val="nil"/>
            </w:tcBorders>
            <w:vAlign w:val="center"/>
          </w:tcPr>
          <w:p w14:paraId="12D4170B">
            <w:pPr>
              <w:pStyle w:val="84"/>
              <w:rPr>
                <w:color w:val="auto"/>
              </w:rPr>
            </w:pPr>
            <w:r>
              <w:rPr>
                <w:rFonts w:hint="eastAsia"/>
                <w:color w:val="auto"/>
              </w:rPr>
              <w:t>1号主变</w:t>
            </w:r>
          </w:p>
        </w:tc>
        <w:tc>
          <w:tcPr>
            <w:tcW w:w="939" w:type="pct"/>
            <w:vMerge w:val="restart"/>
            <w:tcBorders>
              <w:top w:val="single" w:color="auto" w:sz="4" w:space="0"/>
              <w:left w:val="single" w:color="auto" w:sz="4" w:space="0"/>
              <w:right w:val="single" w:color="auto" w:sz="4" w:space="0"/>
              <w:tl2br w:val="nil"/>
              <w:tr2bl w:val="nil"/>
            </w:tcBorders>
            <w:vAlign w:val="center"/>
          </w:tcPr>
          <w:p w14:paraId="6D84CB06">
            <w:pPr>
              <w:pStyle w:val="84"/>
              <w:rPr>
                <w:color w:val="auto"/>
              </w:rPr>
            </w:pPr>
            <w:r>
              <w:rPr>
                <w:rFonts w:hint="eastAsia"/>
                <w:color w:val="auto"/>
              </w:rPr>
              <w:t>2024年1月12日</w:t>
            </w:r>
          </w:p>
        </w:tc>
        <w:tc>
          <w:tcPr>
            <w:tcW w:w="765" w:type="pct"/>
            <w:tcBorders>
              <w:top w:val="single" w:color="auto" w:sz="4" w:space="0"/>
              <w:left w:val="single" w:color="auto" w:sz="4" w:space="0"/>
              <w:bottom w:val="single" w:color="auto" w:sz="4" w:space="0"/>
              <w:right w:val="single" w:color="auto" w:sz="4" w:space="0"/>
              <w:tl2br w:val="nil"/>
              <w:tr2bl w:val="nil"/>
            </w:tcBorders>
            <w:vAlign w:val="center"/>
          </w:tcPr>
          <w:p w14:paraId="1A6D90B4">
            <w:pPr>
              <w:pStyle w:val="84"/>
              <w:rPr>
                <w:rFonts w:hint="eastAsia"/>
                <w:color w:val="auto"/>
              </w:rPr>
            </w:pPr>
            <w:r>
              <w:rPr>
                <w:rFonts w:hint="eastAsia"/>
                <w:color w:val="auto"/>
              </w:rPr>
              <w:t>352.12</w:t>
            </w:r>
          </w:p>
        </w:tc>
        <w:tc>
          <w:tcPr>
            <w:tcW w:w="815" w:type="pct"/>
            <w:tcBorders>
              <w:top w:val="single" w:color="auto" w:sz="4" w:space="0"/>
              <w:left w:val="single" w:color="auto" w:sz="4" w:space="0"/>
              <w:bottom w:val="single" w:color="auto" w:sz="4" w:space="0"/>
              <w:right w:val="single" w:color="auto" w:sz="4" w:space="0"/>
              <w:tl2br w:val="nil"/>
              <w:tr2bl w:val="nil"/>
            </w:tcBorders>
            <w:vAlign w:val="center"/>
          </w:tcPr>
          <w:p w14:paraId="7855160A">
            <w:pPr>
              <w:pStyle w:val="84"/>
              <w:rPr>
                <w:rFonts w:hint="eastAsia"/>
                <w:color w:val="auto"/>
              </w:rPr>
            </w:pPr>
            <w:r>
              <w:rPr>
                <w:rFonts w:hint="eastAsia"/>
                <w:color w:val="auto"/>
              </w:rPr>
              <w:t>331.87</w:t>
            </w:r>
          </w:p>
        </w:tc>
        <w:tc>
          <w:tcPr>
            <w:tcW w:w="707" w:type="pct"/>
            <w:tcBorders>
              <w:top w:val="single" w:color="auto" w:sz="4" w:space="0"/>
              <w:left w:val="single" w:color="auto" w:sz="4" w:space="0"/>
              <w:bottom w:val="single" w:color="auto" w:sz="4" w:space="0"/>
              <w:right w:val="single" w:color="auto" w:sz="4" w:space="0"/>
              <w:tl2br w:val="nil"/>
              <w:tr2bl w:val="nil"/>
            </w:tcBorders>
            <w:vAlign w:val="center"/>
          </w:tcPr>
          <w:p w14:paraId="733B76DD">
            <w:pPr>
              <w:pStyle w:val="84"/>
              <w:rPr>
                <w:rFonts w:hint="eastAsia"/>
                <w:color w:val="auto"/>
              </w:rPr>
            </w:pPr>
            <w:r>
              <w:rPr>
                <w:rFonts w:hint="eastAsia"/>
                <w:color w:val="auto"/>
              </w:rPr>
              <w:t>-197.54</w:t>
            </w:r>
          </w:p>
        </w:tc>
        <w:tc>
          <w:tcPr>
            <w:tcW w:w="649" w:type="pct"/>
            <w:tcBorders>
              <w:top w:val="single" w:color="auto" w:sz="4" w:space="0"/>
              <w:left w:val="single" w:color="auto" w:sz="4" w:space="0"/>
              <w:bottom w:val="single" w:color="auto" w:sz="4" w:space="0"/>
              <w:right w:val="single" w:color="auto" w:sz="4" w:space="0"/>
              <w:tl2br w:val="nil"/>
              <w:tr2bl w:val="nil"/>
            </w:tcBorders>
            <w:vAlign w:val="center"/>
          </w:tcPr>
          <w:p w14:paraId="4B4BF897">
            <w:pPr>
              <w:pStyle w:val="84"/>
              <w:rPr>
                <w:rFonts w:hint="eastAsia"/>
                <w:color w:val="auto"/>
              </w:rPr>
            </w:pPr>
            <w:r>
              <w:rPr>
                <w:rFonts w:hint="eastAsia"/>
                <w:color w:val="auto"/>
              </w:rPr>
              <w:t>-31.12</w:t>
            </w:r>
          </w:p>
        </w:tc>
      </w:tr>
      <w:tr w14:paraId="2F24D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5" w:type="pct"/>
            <w:tcBorders>
              <w:top w:val="single" w:color="auto" w:sz="4" w:space="0"/>
              <w:left w:val="single" w:color="auto" w:sz="4" w:space="0"/>
              <w:bottom w:val="single" w:color="auto" w:sz="4" w:space="0"/>
              <w:right w:val="single" w:color="auto" w:sz="4" w:space="0"/>
              <w:tl2br w:val="nil"/>
              <w:tr2bl w:val="nil"/>
            </w:tcBorders>
            <w:vAlign w:val="center"/>
          </w:tcPr>
          <w:p w14:paraId="79DE7192">
            <w:pPr>
              <w:pStyle w:val="84"/>
              <w:rPr>
                <w:color w:val="auto"/>
              </w:rPr>
            </w:pPr>
            <w:r>
              <w:rPr>
                <w:color w:val="auto"/>
              </w:rPr>
              <w:t>2</w:t>
            </w:r>
            <w:r>
              <w:rPr>
                <w:rFonts w:hint="eastAsia"/>
                <w:color w:val="auto"/>
              </w:rPr>
              <w:t>号主变</w:t>
            </w:r>
          </w:p>
        </w:tc>
        <w:tc>
          <w:tcPr>
            <w:tcW w:w="939" w:type="pct"/>
            <w:vMerge w:val="continue"/>
            <w:tcBorders>
              <w:left w:val="single" w:color="auto" w:sz="4" w:space="0"/>
              <w:right w:val="single" w:color="auto" w:sz="4" w:space="0"/>
              <w:tl2br w:val="nil"/>
              <w:tr2bl w:val="nil"/>
            </w:tcBorders>
            <w:vAlign w:val="center"/>
          </w:tcPr>
          <w:p w14:paraId="65B7F163">
            <w:pPr>
              <w:pStyle w:val="84"/>
              <w:rPr>
                <w:color w:val="auto"/>
              </w:rPr>
            </w:pPr>
          </w:p>
        </w:tc>
        <w:tc>
          <w:tcPr>
            <w:tcW w:w="765" w:type="pct"/>
            <w:tcBorders>
              <w:top w:val="single" w:color="auto" w:sz="4" w:space="0"/>
              <w:left w:val="single" w:color="auto" w:sz="4" w:space="0"/>
              <w:bottom w:val="single" w:color="auto" w:sz="4" w:space="0"/>
              <w:right w:val="single" w:color="auto" w:sz="4" w:space="0"/>
              <w:tl2br w:val="nil"/>
              <w:tr2bl w:val="nil"/>
            </w:tcBorders>
            <w:vAlign w:val="center"/>
          </w:tcPr>
          <w:p w14:paraId="5CB44CD6">
            <w:pPr>
              <w:pStyle w:val="84"/>
              <w:rPr>
                <w:rFonts w:hint="eastAsia"/>
                <w:color w:val="auto"/>
              </w:rPr>
            </w:pPr>
            <w:r>
              <w:rPr>
                <w:rFonts w:hint="eastAsia"/>
                <w:color w:val="auto"/>
              </w:rPr>
              <w:t>352.26</w:t>
            </w:r>
          </w:p>
        </w:tc>
        <w:tc>
          <w:tcPr>
            <w:tcW w:w="815" w:type="pct"/>
            <w:tcBorders>
              <w:top w:val="single" w:color="auto" w:sz="4" w:space="0"/>
              <w:left w:val="single" w:color="auto" w:sz="4" w:space="0"/>
              <w:bottom w:val="single" w:color="auto" w:sz="4" w:space="0"/>
              <w:right w:val="single" w:color="auto" w:sz="4" w:space="0"/>
              <w:tl2br w:val="nil"/>
              <w:tr2bl w:val="nil"/>
            </w:tcBorders>
            <w:vAlign w:val="center"/>
          </w:tcPr>
          <w:p w14:paraId="0BF4A0D6">
            <w:pPr>
              <w:pStyle w:val="84"/>
              <w:rPr>
                <w:rFonts w:hint="eastAsia"/>
                <w:color w:val="auto"/>
              </w:rPr>
            </w:pPr>
            <w:r>
              <w:rPr>
                <w:rFonts w:hint="eastAsia"/>
                <w:color w:val="auto"/>
              </w:rPr>
              <w:t>332.96</w:t>
            </w:r>
          </w:p>
        </w:tc>
        <w:tc>
          <w:tcPr>
            <w:tcW w:w="707" w:type="pct"/>
            <w:tcBorders>
              <w:top w:val="single" w:color="auto" w:sz="4" w:space="0"/>
              <w:left w:val="single" w:color="auto" w:sz="4" w:space="0"/>
              <w:bottom w:val="single" w:color="auto" w:sz="4" w:space="0"/>
              <w:right w:val="single" w:color="auto" w:sz="4" w:space="0"/>
              <w:tl2br w:val="nil"/>
              <w:tr2bl w:val="nil"/>
            </w:tcBorders>
            <w:vAlign w:val="center"/>
          </w:tcPr>
          <w:p w14:paraId="42CAE538">
            <w:pPr>
              <w:pStyle w:val="84"/>
              <w:rPr>
                <w:rFonts w:hint="eastAsia"/>
                <w:color w:val="auto"/>
              </w:rPr>
            </w:pPr>
            <w:r>
              <w:rPr>
                <w:rFonts w:hint="eastAsia"/>
                <w:color w:val="auto"/>
              </w:rPr>
              <w:t>-198.32</w:t>
            </w:r>
          </w:p>
        </w:tc>
        <w:tc>
          <w:tcPr>
            <w:tcW w:w="649" w:type="pct"/>
            <w:tcBorders>
              <w:top w:val="single" w:color="auto" w:sz="4" w:space="0"/>
              <w:left w:val="single" w:color="auto" w:sz="4" w:space="0"/>
              <w:bottom w:val="single" w:color="auto" w:sz="4" w:space="0"/>
              <w:right w:val="single" w:color="auto" w:sz="4" w:space="0"/>
              <w:tl2br w:val="nil"/>
              <w:tr2bl w:val="nil"/>
            </w:tcBorders>
            <w:vAlign w:val="center"/>
          </w:tcPr>
          <w:p w14:paraId="7CC86703">
            <w:pPr>
              <w:pStyle w:val="84"/>
              <w:rPr>
                <w:rFonts w:hint="eastAsia"/>
                <w:color w:val="auto"/>
              </w:rPr>
            </w:pPr>
            <w:r>
              <w:rPr>
                <w:rFonts w:hint="eastAsia"/>
                <w:color w:val="auto"/>
              </w:rPr>
              <w:t>-31.95</w:t>
            </w:r>
          </w:p>
        </w:tc>
      </w:tr>
      <w:tr w14:paraId="6B1F1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5" w:type="pct"/>
            <w:tcBorders>
              <w:top w:val="single" w:color="auto" w:sz="4" w:space="0"/>
              <w:left w:val="single" w:color="auto" w:sz="4" w:space="0"/>
              <w:bottom w:val="single" w:color="auto" w:sz="4" w:space="0"/>
              <w:right w:val="single" w:color="auto" w:sz="4" w:space="0"/>
              <w:tl2br w:val="nil"/>
              <w:tr2bl w:val="nil"/>
            </w:tcBorders>
            <w:vAlign w:val="center"/>
          </w:tcPr>
          <w:p w14:paraId="344DF7AC">
            <w:pPr>
              <w:pStyle w:val="84"/>
              <w:rPr>
                <w:rFonts w:hint="eastAsia"/>
                <w:color w:val="auto"/>
              </w:rPr>
            </w:pPr>
            <w:r>
              <w:rPr>
                <w:rFonts w:hint="eastAsia"/>
                <w:color w:val="auto"/>
              </w:rPr>
              <w:t>3号主变</w:t>
            </w:r>
          </w:p>
        </w:tc>
        <w:tc>
          <w:tcPr>
            <w:tcW w:w="939" w:type="pct"/>
            <w:vMerge w:val="continue"/>
            <w:tcBorders>
              <w:left w:val="single" w:color="auto" w:sz="4" w:space="0"/>
              <w:bottom w:val="single" w:color="auto" w:sz="4" w:space="0"/>
              <w:right w:val="single" w:color="auto" w:sz="4" w:space="0"/>
              <w:tl2br w:val="nil"/>
              <w:tr2bl w:val="nil"/>
            </w:tcBorders>
            <w:vAlign w:val="center"/>
          </w:tcPr>
          <w:p w14:paraId="2E235243">
            <w:pPr>
              <w:pStyle w:val="84"/>
              <w:rPr>
                <w:color w:val="auto"/>
              </w:rPr>
            </w:pPr>
          </w:p>
        </w:tc>
        <w:tc>
          <w:tcPr>
            <w:tcW w:w="765" w:type="pct"/>
            <w:tcBorders>
              <w:top w:val="single" w:color="auto" w:sz="4" w:space="0"/>
              <w:left w:val="single" w:color="auto" w:sz="4" w:space="0"/>
              <w:bottom w:val="single" w:color="auto" w:sz="4" w:space="0"/>
              <w:right w:val="single" w:color="auto" w:sz="4" w:space="0"/>
              <w:tl2br w:val="nil"/>
              <w:tr2bl w:val="nil"/>
            </w:tcBorders>
            <w:vAlign w:val="center"/>
          </w:tcPr>
          <w:p w14:paraId="1C17977A">
            <w:pPr>
              <w:pStyle w:val="84"/>
              <w:rPr>
                <w:rFonts w:hint="eastAsia"/>
                <w:color w:val="auto"/>
              </w:rPr>
            </w:pPr>
            <w:r>
              <w:rPr>
                <w:rFonts w:hint="eastAsia"/>
                <w:color w:val="auto"/>
              </w:rPr>
              <w:t>352.12</w:t>
            </w:r>
          </w:p>
        </w:tc>
        <w:tc>
          <w:tcPr>
            <w:tcW w:w="815" w:type="pct"/>
            <w:tcBorders>
              <w:top w:val="single" w:color="auto" w:sz="4" w:space="0"/>
              <w:left w:val="single" w:color="auto" w:sz="4" w:space="0"/>
              <w:bottom w:val="single" w:color="auto" w:sz="4" w:space="0"/>
              <w:right w:val="single" w:color="auto" w:sz="4" w:space="0"/>
              <w:tl2br w:val="nil"/>
              <w:tr2bl w:val="nil"/>
            </w:tcBorders>
            <w:vAlign w:val="center"/>
          </w:tcPr>
          <w:p w14:paraId="501AF391">
            <w:pPr>
              <w:pStyle w:val="84"/>
              <w:rPr>
                <w:rFonts w:hint="eastAsia"/>
                <w:color w:val="auto"/>
              </w:rPr>
            </w:pPr>
            <w:r>
              <w:rPr>
                <w:rFonts w:hint="eastAsia"/>
                <w:color w:val="auto"/>
              </w:rPr>
              <w:t>516.91</w:t>
            </w:r>
          </w:p>
        </w:tc>
        <w:tc>
          <w:tcPr>
            <w:tcW w:w="707" w:type="pct"/>
            <w:tcBorders>
              <w:top w:val="single" w:color="auto" w:sz="4" w:space="0"/>
              <w:left w:val="single" w:color="auto" w:sz="4" w:space="0"/>
              <w:bottom w:val="single" w:color="auto" w:sz="4" w:space="0"/>
              <w:right w:val="single" w:color="auto" w:sz="4" w:space="0"/>
              <w:tl2br w:val="nil"/>
              <w:tr2bl w:val="nil"/>
            </w:tcBorders>
            <w:vAlign w:val="center"/>
          </w:tcPr>
          <w:p w14:paraId="34FEF01F">
            <w:pPr>
              <w:pStyle w:val="84"/>
              <w:rPr>
                <w:rFonts w:hint="eastAsia"/>
                <w:color w:val="auto"/>
              </w:rPr>
            </w:pPr>
            <w:r>
              <w:rPr>
                <w:rFonts w:hint="eastAsia"/>
                <w:color w:val="auto"/>
              </w:rPr>
              <w:t>-308.65</w:t>
            </w:r>
          </w:p>
        </w:tc>
        <w:tc>
          <w:tcPr>
            <w:tcW w:w="649" w:type="pct"/>
            <w:tcBorders>
              <w:top w:val="single" w:color="auto" w:sz="4" w:space="0"/>
              <w:left w:val="single" w:color="auto" w:sz="4" w:space="0"/>
              <w:bottom w:val="single" w:color="auto" w:sz="4" w:space="0"/>
              <w:right w:val="single" w:color="auto" w:sz="4" w:space="0"/>
              <w:tl2br w:val="nil"/>
              <w:tr2bl w:val="nil"/>
            </w:tcBorders>
            <w:vAlign w:val="center"/>
          </w:tcPr>
          <w:p w14:paraId="334EA510">
            <w:pPr>
              <w:pStyle w:val="84"/>
              <w:rPr>
                <w:rFonts w:hint="eastAsia"/>
                <w:color w:val="auto"/>
              </w:rPr>
            </w:pPr>
            <w:r>
              <w:rPr>
                <w:rFonts w:hint="eastAsia"/>
                <w:color w:val="auto"/>
              </w:rPr>
              <w:t>-23.71</w:t>
            </w:r>
          </w:p>
        </w:tc>
      </w:tr>
    </w:tbl>
    <w:p w14:paraId="345F75C5">
      <w:pPr>
        <w:pStyle w:val="4"/>
      </w:pPr>
      <w:bookmarkStart w:id="104" w:name="_Toc85633938"/>
      <w:r>
        <w:rPr>
          <w:rFonts w:hint="eastAsia"/>
        </w:rPr>
        <w:t>4</w:t>
      </w:r>
      <w:r>
        <w:t xml:space="preserve">.1.4 </w:t>
      </w:r>
      <w:r>
        <w:rPr>
          <w:rFonts w:hint="eastAsia"/>
        </w:rPr>
        <w:t>类比监测结果</w:t>
      </w:r>
      <w:bookmarkEnd w:id="104"/>
    </w:p>
    <w:p w14:paraId="4D35D949">
      <w:pPr>
        <w:pStyle w:val="82"/>
        <w:rPr>
          <w:lang w:val="zh-CN"/>
        </w:rPr>
      </w:pPr>
      <w:r>
        <w:rPr>
          <w:rFonts w:hint="eastAsia"/>
          <w:lang w:val="zh-CN"/>
        </w:rPr>
        <w:t>表</w:t>
      </w:r>
      <w:r>
        <w:t>4-4</w:t>
      </w:r>
      <w:r>
        <w:rPr>
          <w:rFonts w:hint="eastAsia"/>
        </w:rPr>
        <w:t xml:space="preserve"> </w:t>
      </w:r>
      <w:r>
        <w:rPr>
          <w:lang w:val="zh-CN"/>
        </w:rPr>
        <w:t xml:space="preserve"> </w:t>
      </w:r>
      <w:r>
        <w:rPr>
          <w:rFonts w:hint="eastAsia"/>
          <w:lang w:val="zh-CN"/>
        </w:rPr>
        <w:t>宁东1GW光伏基地330kV汇集站工频电场、工频磁场监测结果</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59"/>
        <w:gridCol w:w="3262"/>
        <w:gridCol w:w="1823"/>
        <w:gridCol w:w="2098"/>
      </w:tblGrid>
      <w:tr w14:paraId="61EA6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4" w:hRule="atLeast"/>
          <w:jc w:val="center"/>
        </w:trPr>
        <w:tc>
          <w:tcPr>
            <w:tcW w:w="2879" w:type="pct"/>
            <w:gridSpan w:val="2"/>
            <w:tcBorders>
              <w:top w:val="single" w:color="auto" w:sz="4" w:space="0"/>
              <w:left w:val="single" w:color="auto" w:sz="4" w:space="0"/>
              <w:bottom w:val="single" w:color="auto" w:sz="4" w:space="0"/>
              <w:right w:val="single" w:color="auto" w:sz="4" w:space="0"/>
              <w:tl2br w:val="nil"/>
              <w:tr2bl w:val="nil"/>
            </w:tcBorders>
            <w:vAlign w:val="center"/>
          </w:tcPr>
          <w:p w14:paraId="25DDB3BE">
            <w:pPr>
              <w:pStyle w:val="84"/>
              <w:rPr>
                <w:color w:val="auto"/>
              </w:rPr>
            </w:pPr>
            <w:r>
              <w:rPr>
                <w:rFonts w:hint="eastAsia"/>
                <w:color w:val="auto"/>
              </w:rPr>
              <w:t>测点位置</w:t>
            </w:r>
          </w:p>
        </w:tc>
        <w:tc>
          <w:tcPr>
            <w:tcW w:w="986" w:type="pct"/>
            <w:tcBorders>
              <w:top w:val="single" w:color="auto" w:sz="4" w:space="0"/>
              <w:left w:val="single" w:color="auto" w:sz="4" w:space="0"/>
              <w:bottom w:val="single" w:color="auto" w:sz="4" w:space="0"/>
              <w:right w:val="single" w:color="auto" w:sz="4" w:space="0"/>
              <w:tl2br w:val="nil"/>
              <w:tr2bl w:val="nil"/>
            </w:tcBorders>
            <w:vAlign w:val="center"/>
          </w:tcPr>
          <w:p w14:paraId="45453AEB">
            <w:pPr>
              <w:pStyle w:val="84"/>
              <w:rPr>
                <w:color w:val="auto"/>
              </w:rPr>
            </w:pPr>
            <w:r>
              <w:rPr>
                <w:rFonts w:hint="eastAsia"/>
                <w:color w:val="auto"/>
              </w:rPr>
              <w:t>工频电场强度（V/m）</w:t>
            </w:r>
          </w:p>
        </w:tc>
        <w:tc>
          <w:tcPr>
            <w:tcW w:w="1135" w:type="pct"/>
            <w:tcBorders>
              <w:top w:val="single" w:color="auto" w:sz="4" w:space="0"/>
              <w:left w:val="single" w:color="auto" w:sz="4" w:space="0"/>
              <w:bottom w:val="single" w:color="auto" w:sz="4" w:space="0"/>
              <w:right w:val="single" w:color="auto" w:sz="4" w:space="0"/>
              <w:tl2br w:val="nil"/>
              <w:tr2bl w:val="nil"/>
            </w:tcBorders>
            <w:vAlign w:val="center"/>
          </w:tcPr>
          <w:p w14:paraId="0BF21A5F">
            <w:pPr>
              <w:pStyle w:val="84"/>
              <w:rPr>
                <w:color w:val="auto"/>
              </w:rPr>
            </w:pPr>
            <w:r>
              <w:rPr>
                <w:rFonts w:hint="eastAsia"/>
                <w:color w:val="auto"/>
              </w:rPr>
              <w:t>工频磁感应强度（μT）</w:t>
            </w:r>
          </w:p>
        </w:tc>
      </w:tr>
      <w:tr w14:paraId="071E9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114" w:type="pct"/>
            <w:vMerge w:val="restart"/>
            <w:tcBorders>
              <w:top w:val="single" w:color="auto" w:sz="4" w:space="0"/>
              <w:left w:val="single" w:color="auto" w:sz="4" w:space="0"/>
              <w:bottom w:val="single" w:color="auto" w:sz="4" w:space="0"/>
              <w:right w:val="single" w:color="auto" w:sz="4" w:space="0"/>
              <w:tl2br w:val="nil"/>
              <w:tr2bl w:val="nil"/>
            </w:tcBorders>
            <w:vAlign w:val="center"/>
          </w:tcPr>
          <w:p w14:paraId="79C6412C">
            <w:pPr>
              <w:pStyle w:val="84"/>
              <w:rPr>
                <w:color w:val="auto"/>
              </w:rPr>
            </w:pPr>
            <w:r>
              <w:rPr>
                <w:rFonts w:hint="eastAsia"/>
                <w:color w:val="auto"/>
              </w:rPr>
              <w:t>宁东1GW光伏基地330kV汇集站</w:t>
            </w:r>
          </w:p>
        </w:tc>
        <w:tc>
          <w:tcPr>
            <w:tcW w:w="1765" w:type="pct"/>
            <w:tcBorders>
              <w:top w:val="single" w:color="auto" w:sz="4" w:space="0"/>
              <w:left w:val="single" w:color="auto" w:sz="4" w:space="0"/>
              <w:bottom w:val="single" w:color="auto" w:sz="4" w:space="0"/>
              <w:right w:val="single" w:color="auto" w:sz="4" w:space="0"/>
              <w:tl2br w:val="nil"/>
              <w:tr2bl w:val="nil"/>
            </w:tcBorders>
            <w:vAlign w:val="center"/>
          </w:tcPr>
          <w:p w14:paraId="45BF23BA">
            <w:pPr>
              <w:pStyle w:val="84"/>
              <w:rPr>
                <w:color w:val="auto"/>
              </w:rPr>
            </w:pPr>
            <w:r>
              <w:rPr>
                <w:rFonts w:hint="eastAsia"/>
                <w:color w:val="auto"/>
              </w:rPr>
              <w:t>站东侧围墙外5m</w:t>
            </w:r>
          </w:p>
        </w:tc>
        <w:tc>
          <w:tcPr>
            <w:tcW w:w="986" w:type="pct"/>
            <w:tcBorders>
              <w:top w:val="single" w:color="auto" w:sz="4" w:space="0"/>
              <w:left w:val="single" w:color="auto" w:sz="4" w:space="0"/>
              <w:bottom w:val="single" w:color="auto" w:sz="4" w:space="0"/>
              <w:right w:val="single" w:color="auto" w:sz="4" w:space="0"/>
              <w:tl2br w:val="nil"/>
              <w:tr2bl w:val="nil"/>
            </w:tcBorders>
            <w:vAlign w:val="center"/>
          </w:tcPr>
          <w:p w14:paraId="50CA8264">
            <w:pPr>
              <w:pStyle w:val="84"/>
              <w:rPr>
                <w:rFonts w:hint="eastAsia"/>
                <w:color w:val="auto"/>
              </w:rPr>
            </w:pPr>
            <w:r>
              <w:rPr>
                <w:rFonts w:hint="eastAsia"/>
                <w:color w:val="auto"/>
              </w:rPr>
              <w:t>116.96</w:t>
            </w:r>
          </w:p>
        </w:tc>
        <w:tc>
          <w:tcPr>
            <w:tcW w:w="1135" w:type="pct"/>
            <w:tcBorders>
              <w:top w:val="single" w:color="000000" w:sz="6" w:space="0"/>
              <w:left w:val="nil"/>
              <w:bottom w:val="single" w:color="000000" w:sz="6" w:space="0"/>
              <w:right w:val="single" w:color="000000" w:sz="6" w:space="0"/>
              <w:tl2br w:val="nil"/>
              <w:tr2bl w:val="nil"/>
            </w:tcBorders>
            <w:vAlign w:val="center"/>
          </w:tcPr>
          <w:p w14:paraId="03F91EC8">
            <w:pPr>
              <w:pStyle w:val="84"/>
              <w:rPr>
                <w:rFonts w:hint="eastAsia"/>
                <w:color w:val="auto"/>
              </w:rPr>
            </w:pPr>
            <w:r>
              <w:rPr>
                <w:rFonts w:hint="eastAsia"/>
                <w:color w:val="auto"/>
              </w:rPr>
              <w:t>0.7468</w:t>
            </w:r>
          </w:p>
        </w:tc>
      </w:tr>
      <w:tr w14:paraId="576DE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114" w:type="pct"/>
            <w:vMerge w:val="continue"/>
            <w:tcBorders>
              <w:top w:val="single" w:color="auto" w:sz="4" w:space="0"/>
              <w:left w:val="single" w:color="auto" w:sz="4" w:space="0"/>
              <w:bottom w:val="single" w:color="auto" w:sz="4" w:space="0"/>
              <w:right w:val="single" w:color="auto" w:sz="4" w:space="0"/>
              <w:tl2br w:val="nil"/>
              <w:tr2bl w:val="nil"/>
            </w:tcBorders>
            <w:vAlign w:val="center"/>
          </w:tcPr>
          <w:p w14:paraId="3C09A651">
            <w:pPr>
              <w:pStyle w:val="84"/>
              <w:rPr>
                <w:color w:val="auto"/>
              </w:rPr>
            </w:pPr>
          </w:p>
        </w:tc>
        <w:tc>
          <w:tcPr>
            <w:tcW w:w="1765" w:type="pct"/>
            <w:tcBorders>
              <w:top w:val="single" w:color="auto" w:sz="4" w:space="0"/>
              <w:left w:val="single" w:color="auto" w:sz="4" w:space="0"/>
              <w:bottom w:val="single" w:color="auto" w:sz="4" w:space="0"/>
              <w:right w:val="single" w:color="auto" w:sz="4" w:space="0"/>
              <w:tl2br w:val="nil"/>
              <w:tr2bl w:val="nil"/>
            </w:tcBorders>
            <w:vAlign w:val="center"/>
          </w:tcPr>
          <w:p w14:paraId="593E3BFA">
            <w:pPr>
              <w:pStyle w:val="84"/>
              <w:rPr>
                <w:color w:val="auto"/>
              </w:rPr>
            </w:pPr>
            <w:r>
              <w:rPr>
                <w:rFonts w:hint="eastAsia"/>
                <w:color w:val="auto"/>
              </w:rPr>
              <w:t>站北侧围墙外5m</w:t>
            </w:r>
          </w:p>
        </w:tc>
        <w:tc>
          <w:tcPr>
            <w:tcW w:w="986" w:type="pct"/>
            <w:tcBorders>
              <w:top w:val="single" w:color="auto" w:sz="4" w:space="0"/>
              <w:left w:val="single" w:color="auto" w:sz="4" w:space="0"/>
              <w:bottom w:val="single" w:color="auto" w:sz="4" w:space="0"/>
              <w:right w:val="single" w:color="auto" w:sz="4" w:space="0"/>
              <w:tl2br w:val="nil"/>
              <w:tr2bl w:val="nil"/>
            </w:tcBorders>
            <w:vAlign w:val="center"/>
          </w:tcPr>
          <w:p w14:paraId="438FDBC2">
            <w:pPr>
              <w:pStyle w:val="84"/>
              <w:rPr>
                <w:rFonts w:hint="eastAsia"/>
                <w:color w:val="auto"/>
              </w:rPr>
            </w:pPr>
            <w:r>
              <w:rPr>
                <w:rFonts w:hint="eastAsia"/>
                <w:color w:val="auto"/>
              </w:rPr>
              <w:t>185.38</w:t>
            </w:r>
          </w:p>
        </w:tc>
        <w:tc>
          <w:tcPr>
            <w:tcW w:w="1135" w:type="pct"/>
            <w:tcBorders>
              <w:top w:val="single" w:color="000000" w:sz="6" w:space="0"/>
              <w:left w:val="nil"/>
              <w:bottom w:val="single" w:color="000000" w:sz="6" w:space="0"/>
              <w:right w:val="single" w:color="000000" w:sz="6" w:space="0"/>
              <w:tl2br w:val="nil"/>
              <w:tr2bl w:val="nil"/>
            </w:tcBorders>
            <w:vAlign w:val="center"/>
          </w:tcPr>
          <w:p w14:paraId="00EE7793">
            <w:pPr>
              <w:pStyle w:val="84"/>
              <w:rPr>
                <w:rFonts w:hint="eastAsia"/>
                <w:color w:val="auto"/>
              </w:rPr>
            </w:pPr>
            <w:r>
              <w:rPr>
                <w:rFonts w:hint="eastAsia"/>
                <w:color w:val="auto"/>
              </w:rPr>
              <w:t>1.7605</w:t>
            </w:r>
          </w:p>
        </w:tc>
      </w:tr>
      <w:tr w14:paraId="12F80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114" w:type="pct"/>
            <w:vMerge w:val="continue"/>
            <w:tcBorders>
              <w:top w:val="single" w:color="auto" w:sz="4" w:space="0"/>
              <w:left w:val="single" w:color="auto" w:sz="4" w:space="0"/>
              <w:bottom w:val="single" w:color="auto" w:sz="4" w:space="0"/>
              <w:right w:val="single" w:color="auto" w:sz="4" w:space="0"/>
              <w:tl2br w:val="nil"/>
              <w:tr2bl w:val="nil"/>
            </w:tcBorders>
            <w:vAlign w:val="center"/>
          </w:tcPr>
          <w:p w14:paraId="2ECC7DF1">
            <w:pPr>
              <w:pStyle w:val="84"/>
              <w:rPr>
                <w:color w:val="auto"/>
              </w:rPr>
            </w:pPr>
          </w:p>
        </w:tc>
        <w:tc>
          <w:tcPr>
            <w:tcW w:w="1765" w:type="pct"/>
            <w:tcBorders>
              <w:top w:val="single" w:color="auto" w:sz="4" w:space="0"/>
              <w:left w:val="single" w:color="auto" w:sz="4" w:space="0"/>
              <w:bottom w:val="single" w:color="auto" w:sz="4" w:space="0"/>
              <w:right w:val="single" w:color="auto" w:sz="4" w:space="0"/>
              <w:tl2br w:val="nil"/>
              <w:tr2bl w:val="nil"/>
            </w:tcBorders>
            <w:vAlign w:val="center"/>
          </w:tcPr>
          <w:p w14:paraId="76084D81">
            <w:pPr>
              <w:pStyle w:val="84"/>
              <w:rPr>
                <w:color w:val="auto"/>
              </w:rPr>
            </w:pPr>
            <w:r>
              <w:rPr>
                <w:rFonts w:hint="eastAsia"/>
                <w:color w:val="auto"/>
              </w:rPr>
              <w:t>站西侧围墙外5m</w:t>
            </w:r>
          </w:p>
        </w:tc>
        <w:tc>
          <w:tcPr>
            <w:tcW w:w="986" w:type="pct"/>
            <w:tcBorders>
              <w:top w:val="single" w:color="auto" w:sz="4" w:space="0"/>
              <w:left w:val="single" w:color="auto" w:sz="4" w:space="0"/>
              <w:bottom w:val="single" w:color="auto" w:sz="4" w:space="0"/>
              <w:right w:val="single" w:color="auto" w:sz="4" w:space="0"/>
              <w:tl2br w:val="nil"/>
              <w:tr2bl w:val="nil"/>
            </w:tcBorders>
            <w:vAlign w:val="center"/>
          </w:tcPr>
          <w:p w14:paraId="37924E97">
            <w:pPr>
              <w:pStyle w:val="84"/>
              <w:rPr>
                <w:rFonts w:hint="eastAsia"/>
                <w:color w:val="auto"/>
              </w:rPr>
            </w:pPr>
            <w:r>
              <w:rPr>
                <w:rFonts w:hint="eastAsia"/>
                <w:color w:val="auto"/>
              </w:rPr>
              <w:t>191.32</w:t>
            </w:r>
          </w:p>
        </w:tc>
        <w:tc>
          <w:tcPr>
            <w:tcW w:w="1135" w:type="pct"/>
            <w:tcBorders>
              <w:top w:val="single" w:color="000000" w:sz="6" w:space="0"/>
              <w:left w:val="nil"/>
              <w:bottom w:val="single" w:color="000000" w:sz="6" w:space="0"/>
              <w:right w:val="single" w:color="000000" w:sz="6" w:space="0"/>
              <w:tl2br w:val="nil"/>
              <w:tr2bl w:val="nil"/>
            </w:tcBorders>
            <w:vAlign w:val="center"/>
          </w:tcPr>
          <w:p w14:paraId="02DDD319">
            <w:pPr>
              <w:pStyle w:val="84"/>
              <w:rPr>
                <w:rFonts w:hint="eastAsia"/>
                <w:color w:val="auto"/>
              </w:rPr>
            </w:pPr>
            <w:r>
              <w:rPr>
                <w:rFonts w:hint="eastAsia"/>
                <w:color w:val="auto"/>
              </w:rPr>
              <w:t>1.9182</w:t>
            </w:r>
          </w:p>
        </w:tc>
      </w:tr>
      <w:tr w14:paraId="48A8F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114" w:type="pct"/>
            <w:vMerge w:val="continue"/>
            <w:tcBorders>
              <w:top w:val="single" w:color="auto" w:sz="4" w:space="0"/>
              <w:left w:val="single" w:color="auto" w:sz="4" w:space="0"/>
              <w:bottom w:val="single" w:color="auto" w:sz="4" w:space="0"/>
              <w:right w:val="single" w:color="auto" w:sz="4" w:space="0"/>
              <w:tl2br w:val="nil"/>
              <w:tr2bl w:val="nil"/>
            </w:tcBorders>
            <w:vAlign w:val="center"/>
          </w:tcPr>
          <w:p w14:paraId="50AC0F22">
            <w:pPr>
              <w:pStyle w:val="84"/>
              <w:rPr>
                <w:color w:val="auto"/>
              </w:rPr>
            </w:pPr>
          </w:p>
        </w:tc>
        <w:tc>
          <w:tcPr>
            <w:tcW w:w="1765" w:type="pct"/>
            <w:tcBorders>
              <w:top w:val="single" w:color="auto" w:sz="4" w:space="0"/>
              <w:left w:val="single" w:color="auto" w:sz="4" w:space="0"/>
              <w:bottom w:val="single" w:color="auto" w:sz="4" w:space="0"/>
              <w:right w:val="single" w:color="auto" w:sz="4" w:space="0"/>
              <w:tl2br w:val="nil"/>
              <w:tr2bl w:val="nil"/>
            </w:tcBorders>
            <w:vAlign w:val="center"/>
          </w:tcPr>
          <w:p w14:paraId="73CD7C91">
            <w:pPr>
              <w:pStyle w:val="84"/>
              <w:rPr>
                <w:color w:val="auto"/>
              </w:rPr>
            </w:pPr>
            <w:r>
              <w:rPr>
                <w:rFonts w:hint="eastAsia"/>
                <w:color w:val="auto"/>
              </w:rPr>
              <w:t>站南侧围墙外5m</w:t>
            </w:r>
          </w:p>
        </w:tc>
        <w:tc>
          <w:tcPr>
            <w:tcW w:w="986" w:type="pct"/>
            <w:tcBorders>
              <w:top w:val="single" w:color="auto" w:sz="4" w:space="0"/>
              <w:left w:val="single" w:color="auto" w:sz="4" w:space="0"/>
              <w:bottom w:val="single" w:color="auto" w:sz="4" w:space="0"/>
              <w:right w:val="single" w:color="auto" w:sz="4" w:space="0"/>
              <w:tl2br w:val="nil"/>
              <w:tr2bl w:val="nil"/>
            </w:tcBorders>
            <w:vAlign w:val="center"/>
          </w:tcPr>
          <w:p w14:paraId="2D30B220">
            <w:pPr>
              <w:pStyle w:val="84"/>
              <w:rPr>
                <w:rFonts w:hint="eastAsia"/>
                <w:color w:val="auto"/>
              </w:rPr>
            </w:pPr>
            <w:r>
              <w:rPr>
                <w:rFonts w:hint="eastAsia"/>
                <w:color w:val="auto"/>
              </w:rPr>
              <w:t>94.45</w:t>
            </w:r>
          </w:p>
        </w:tc>
        <w:tc>
          <w:tcPr>
            <w:tcW w:w="1135" w:type="pct"/>
            <w:tcBorders>
              <w:top w:val="single" w:color="000000" w:sz="6" w:space="0"/>
              <w:left w:val="nil"/>
              <w:bottom w:val="single" w:color="000000" w:sz="6" w:space="0"/>
              <w:right w:val="single" w:color="000000" w:sz="6" w:space="0"/>
              <w:tl2br w:val="nil"/>
              <w:tr2bl w:val="nil"/>
            </w:tcBorders>
            <w:vAlign w:val="center"/>
          </w:tcPr>
          <w:p w14:paraId="402E3B62">
            <w:pPr>
              <w:pStyle w:val="84"/>
              <w:rPr>
                <w:rFonts w:hint="eastAsia"/>
                <w:color w:val="auto"/>
              </w:rPr>
            </w:pPr>
            <w:r>
              <w:rPr>
                <w:rFonts w:hint="eastAsia"/>
                <w:color w:val="auto"/>
              </w:rPr>
              <w:t>1.1680</w:t>
            </w:r>
          </w:p>
        </w:tc>
      </w:tr>
      <w:tr w14:paraId="54035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114" w:type="pct"/>
            <w:vMerge w:val="continue"/>
            <w:tcBorders>
              <w:top w:val="single" w:color="auto" w:sz="4" w:space="0"/>
              <w:left w:val="single" w:color="auto" w:sz="4" w:space="0"/>
              <w:bottom w:val="single" w:color="auto" w:sz="4" w:space="0"/>
              <w:right w:val="single" w:color="auto" w:sz="4" w:space="0"/>
              <w:tl2br w:val="nil"/>
              <w:tr2bl w:val="nil"/>
            </w:tcBorders>
            <w:vAlign w:val="center"/>
          </w:tcPr>
          <w:p w14:paraId="15EDF19D">
            <w:pPr>
              <w:pStyle w:val="84"/>
              <w:rPr>
                <w:color w:val="auto"/>
              </w:rPr>
            </w:pPr>
          </w:p>
        </w:tc>
        <w:tc>
          <w:tcPr>
            <w:tcW w:w="1765" w:type="pct"/>
            <w:tcBorders>
              <w:top w:val="single" w:color="auto" w:sz="4" w:space="0"/>
              <w:left w:val="single" w:color="auto" w:sz="4" w:space="0"/>
              <w:bottom w:val="single" w:color="auto" w:sz="4" w:space="0"/>
              <w:right w:val="single" w:color="auto" w:sz="4" w:space="0"/>
              <w:tl2br w:val="nil"/>
              <w:tr2bl w:val="nil"/>
            </w:tcBorders>
            <w:vAlign w:val="center"/>
          </w:tcPr>
          <w:p w14:paraId="645ACA95">
            <w:pPr>
              <w:pStyle w:val="84"/>
              <w:rPr>
                <w:color w:val="auto"/>
              </w:rPr>
            </w:pPr>
            <w:r>
              <w:rPr>
                <w:rFonts w:hint="eastAsia"/>
                <w:color w:val="auto"/>
              </w:rPr>
              <w:t>站西侧围墙外</w:t>
            </w:r>
            <w:r>
              <w:rPr>
                <w:color w:val="auto"/>
              </w:rPr>
              <w:t>10</w:t>
            </w:r>
            <w:r>
              <w:rPr>
                <w:rFonts w:hint="eastAsia"/>
                <w:color w:val="auto"/>
              </w:rPr>
              <w:t>m处</w:t>
            </w:r>
          </w:p>
        </w:tc>
        <w:tc>
          <w:tcPr>
            <w:tcW w:w="986" w:type="pct"/>
            <w:tcBorders>
              <w:top w:val="single" w:color="auto" w:sz="4" w:space="0"/>
              <w:left w:val="single" w:color="auto" w:sz="4" w:space="0"/>
              <w:bottom w:val="single" w:color="auto" w:sz="4" w:space="0"/>
              <w:right w:val="single" w:color="auto" w:sz="4" w:space="0"/>
              <w:tl2br w:val="nil"/>
              <w:tr2bl w:val="nil"/>
            </w:tcBorders>
            <w:vAlign w:val="center"/>
          </w:tcPr>
          <w:p w14:paraId="0A1A98F7">
            <w:pPr>
              <w:pStyle w:val="84"/>
              <w:rPr>
                <w:rFonts w:hint="eastAsia"/>
                <w:color w:val="auto"/>
              </w:rPr>
            </w:pPr>
            <w:r>
              <w:rPr>
                <w:rFonts w:hint="eastAsia"/>
                <w:color w:val="auto"/>
              </w:rPr>
              <w:t>189.63</w:t>
            </w:r>
          </w:p>
        </w:tc>
        <w:tc>
          <w:tcPr>
            <w:tcW w:w="1135" w:type="pct"/>
            <w:tcBorders>
              <w:top w:val="single" w:color="000000" w:sz="6" w:space="0"/>
              <w:left w:val="nil"/>
              <w:bottom w:val="single" w:color="000000" w:sz="6" w:space="0"/>
              <w:right w:val="single" w:color="000000" w:sz="6" w:space="0"/>
              <w:tl2br w:val="nil"/>
              <w:tr2bl w:val="nil"/>
            </w:tcBorders>
            <w:vAlign w:val="center"/>
          </w:tcPr>
          <w:p w14:paraId="396ADF3F">
            <w:pPr>
              <w:pStyle w:val="84"/>
              <w:rPr>
                <w:rFonts w:hint="eastAsia"/>
                <w:color w:val="auto"/>
              </w:rPr>
            </w:pPr>
            <w:r>
              <w:rPr>
                <w:rFonts w:hint="eastAsia"/>
                <w:color w:val="auto"/>
              </w:rPr>
              <w:t>1.9006</w:t>
            </w:r>
          </w:p>
        </w:tc>
      </w:tr>
      <w:tr w14:paraId="43E49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114" w:type="pct"/>
            <w:vMerge w:val="continue"/>
            <w:tcBorders>
              <w:top w:val="single" w:color="auto" w:sz="4" w:space="0"/>
              <w:left w:val="single" w:color="auto" w:sz="4" w:space="0"/>
              <w:bottom w:val="single" w:color="auto" w:sz="4" w:space="0"/>
              <w:right w:val="single" w:color="auto" w:sz="4" w:space="0"/>
              <w:tl2br w:val="nil"/>
              <w:tr2bl w:val="nil"/>
            </w:tcBorders>
            <w:vAlign w:val="center"/>
          </w:tcPr>
          <w:p w14:paraId="1E5963C7">
            <w:pPr>
              <w:pStyle w:val="84"/>
              <w:rPr>
                <w:color w:val="auto"/>
              </w:rPr>
            </w:pPr>
          </w:p>
        </w:tc>
        <w:tc>
          <w:tcPr>
            <w:tcW w:w="1765" w:type="pct"/>
            <w:tcBorders>
              <w:top w:val="single" w:color="auto" w:sz="4" w:space="0"/>
              <w:left w:val="single" w:color="auto" w:sz="4" w:space="0"/>
              <w:bottom w:val="single" w:color="auto" w:sz="4" w:space="0"/>
              <w:right w:val="single" w:color="auto" w:sz="4" w:space="0"/>
              <w:tl2br w:val="nil"/>
              <w:tr2bl w:val="nil"/>
            </w:tcBorders>
            <w:vAlign w:val="center"/>
          </w:tcPr>
          <w:p w14:paraId="66559472">
            <w:pPr>
              <w:pStyle w:val="84"/>
              <w:rPr>
                <w:color w:val="auto"/>
              </w:rPr>
            </w:pPr>
            <w:r>
              <w:rPr>
                <w:rFonts w:hint="eastAsia"/>
                <w:color w:val="auto"/>
              </w:rPr>
              <w:t>站西侧围墙外</w:t>
            </w:r>
            <w:r>
              <w:rPr>
                <w:color w:val="auto"/>
              </w:rPr>
              <w:t>15</w:t>
            </w:r>
            <w:r>
              <w:rPr>
                <w:rFonts w:hint="eastAsia"/>
                <w:color w:val="auto"/>
              </w:rPr>
              <w:t>m处</w:t>
            </w:r>
          </w:p>
        </w:tc>
        <w:tc>
          <w:tcPr>
            <w:tcW w:w="986" w:type="pct"/>
            <w:tcBorders>
              <w:top w:val="single" w:color="auto" w:sz="4" w:space="0"/>
              <w:left w:val="single" w:color="auto" w:sz="4" w:space="0"/>
              <w:bottom w:val="single" w:color="auto" w:sz="4" w:space="0"/>
              <w:right w:val="single" w:color="auto" w:sz="4" w:space="0"/>
              <w:tl2br w:val="nil"/>
              <w:tr2bl w:val="nil"/>
            </w:tcBorders>
            <w:vAlign w:val="center"/>
          </w:tcPr>
          <w:p w14:paraId="7C2CBA5E">
            <w:pPr>
              <w:pStyle w:val="84"/>
              <w:rPr>
                <w:rFonts w:hint="eastAsia"/>
                <w:color w:val="auto"/>
              </w:rPr>
            </w:pPr>
            <w:r>
              <w:rPr>
                <w:rFonts w:hint="eastAsia"/>
                <w:color w:val="auto"/>
              </w:rPr>
              <w:t>184.57</w:t>
            </w:r>
          </w:p>
        </w:tc>
        <w:tc>
          <w:tcPr>
            <w:tcW w:w="1135" w:type="pct"/>
            <w:tcBorders>
              <w:top w:val="single" w:color="000000" w:sz="6" w:space="0"/>
              <w:left w:val="nil"/>
              <w:bottom w:val="single" w:color="000000" w:sz="6" w:space="0"/>
              <w:right w:val="single" w:color="000000" w:sz="6" w:space="0"/>
              <w:tl2br w:val="nil"/>
              <w:tr2bl w:val="nil"/>
            </w:tcBorders>
            <w:vAlign w:val="center"/>
          </w:tcPr>
          <w:p w14:paraId="5AF6A9FF">
            <w:pPr>
              <w:pStyle w:val="84"/>
              <w:rPr>
                <w:rFonts w:hint="eastAsia"/>
                <w:color w:val="auto"/>
              </w:rPr>
            </w:pPr>
            <w:r>
              <w:rPr>
                <w:rFonts w:hint="eastAsia"/>
                <w:color w:val="auto"/>
              </w:rPr>
              <w:t>1.8241</w:t>
            </w:r>
          </w:p>
        </w:tc>
      </w:tr>
      <w:tr w14:paraId="01A36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114" w:type="pct"/>
            <w:vMerge w:val="continue"/>
            <w:tcBorders>
              <w:top w:val="single" w:color="auto" w:sz="4" w:space="0"/>
              <w:left w:val="single" w:color="auto" w:sz="4" w:space="0"/>
              <w:bottom w:val="single" w:color="auto" w:sz="4" w:space="0"/>
              <w:right w:val="single" w:color="auto" w:sz="4" w:space="0"/>
              <w:tl2br w:val="nil"/>
              <w:tr2bl w:val="nil"/>
            </w:tcBorders>
            <w:vAlign w:val="center"/>
          </w:tcPr>
          <w:p w14:paraId="32FF2701">
            <w:pPr>
              <w:pStyle w:val="84"/>
              <w:rPr>
                <w:color w:val="auto"/>
              </w:rPr>
            </w:pPr>
          </w:p>
        </w:tc>
        <w:tc>
          <w:tcPr>
            <w:tcW w:w="1765" w:type="pct"/>
            <w:tcBorders>
              <w:top w:val="single" w:color="auto" w:sz="4" w:space="0"/>
              <w:left w:val="single" w:color="auto" w:sz="4" w:space="0"/>
              <w:bottom w:val="single" w:color="auto" w:sz="4" w:space="0"/>
              <w:right w:val="single" w:color="auto" w:sz="4" w:space="0"/>
              <w:tl2br w:val="nil"/>
              <w:tr2bl w:val="nil"/>
            </w:tcBorders>
            <w:vAlign w:val="center"/>
          </w:tcPr>
          <w:p w14:paraId="018823B7">
            <w:pPr>
              <w:pStyle w:val="84"/>
              <w:rPr>
                <w:color w:val="auto"/>
              </w:rPr>
            </w:pPr>
            <w:r>
              <w:rPr>
                <w:rFonts w:hint="eastAsia"/>
                <w:color w:val="auto"/>
              </w:rPr>
              <w:t>站西侧围墙外</w:t>
            </w:r>
            <w:r>
              <w:rPr>
                <w:color w:val="auto"/>
              </w:rPr>
              <w:t>20</w:t>
            </w:r>
            <w:r>
              <w:rPr>
                <w:rFonts w:hint="eastAsia"/>
                <w:color w:val="auto"/>
              </w:rPr>
              <w:t>m处</w:t>
            </w:r>
          </w:p>
        </w:tc>
        <w:tc>
          <w:tcPr>
            <w:tcW w:w="986" w:type="pct"/>
            <w:tcBorders>
              <w:top w:val="single" w:color="auto" w:sz="4" w:space="0"/>
              <w:left w:val="single" w:color="auto" w:sz="4" w:space="0"/>
              <w:bottom w:val="single" w:color="auto" w:sz="4" w:space="0"/>
              <w:right w:val="single" w:color="auto" w:sz="4" w:space="0"/>
              <w:tl2br w:val="nil"/>
              <w:tr2bl w:val="nil"/>
            </w:tcBorders>
            <w:vAlign w:val="center"/>
          </w:tcPr>
          <w:p w14:paraId="5ECEC87E">
            <w:pPr>
              <w:pStyle w:val="84"/>
              <w:rPr>
                <w:rFonts w:hint="eastAsia"/>
                <w:color w:val="auto"/>
              </w:rPr>
            </w:pPr>
            <w:r>
              <w:rPr>
                <w:rFonts w:hint="eastAsia"/>
                <w:color w:val="auto"/>
              </w:rPr>
              <w:t>180.56</w:t>
            </w:r>
          </w:p>
        </w:tc>
        <w:tc>
          <w:tcPr>
            <w:tcW w:w="1135" w:type="pct"/>
            <w:tcBorders>
              <w:top w:val="single" w:color="000000" w:sz="6" w:space="0"/>
              <w:left w:val="nil"/>
              <w:bottom w:val="single" w:color="000000" w:sz="6" w:space="0"/>
              <w:right w:val="single" w:color="000000" w:sz="6" w:space="0"/>
              <w:tl2br w:val="nil"/>
              <w:tr2bl w:val="nil"/>
            </w:tcBorders>
            <w:vAlign w:val="center"/>
          </w:tcPr>
          <w:p w14:paraId="3DEE7FA3">
            <w:pPr>
              <w:pStyle w:val="84"/>
              <w:rPr>
                <w:rFonts w:hint="eastAsia"/>
                <w:color w:val="auto"/>
              </w:rPr>
            </w:pPr>
            <w:r>
              <w:rPr>
                <w:rFonts w:hint="eastAsia"/>
                <w:color w:val="auto"/>
              </w:rPr>
              <w:t>1.7885</w:t>
            </w:r>
          </w:p>
        </w:tc>
      </w:tr>
      <w:tr w14:paraId="1FAF0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114" w:type="pct"/>
            <w:vMerge w:val="continue"/>
            <w:tcBorders>
              <w:top w:val="single" w:color="auto" w:sz="4" w:space="0"/>
              <w:left w:val="single" w:color="auto" w:sz="4" w:space="0"/>
              <w:bottom w:val="single" w:color="auto" w:sz="4" w:space="0"/>
              <w:right w:val="single" w:color="auto" w:sz="4" w:space="0"/>
              <w:tl2br w:val="nil"/>
              <w:tr2bl w:val="nil"/>
            </w:tcBorders>
            <w:vAlign w:val="center"/>
          </w:tcPr>
          <w:p w14:paraId="75452B76">
            <w:pPr>
              <w:pStyle w:val="84"/>
              <w:rPr>
                <w:color w:val="auto"/>
              </w:rPr>
            </w:pPr>
          </w:p>
        </w:tc>
        <w:tc>
          <w:tcPr>
            <w:tcW w:w="1765" w:type="pct"/>
            <w:tcBorders>
              <w:top w:val="single" w:color="auto" w:sz="4" w:space="0"/>
              <w:left w:val="single" w:color="auto" w:sz="4" w:space="0"/>
              <w:bottom w:val="single" w:color="auto" w:sz="4" w:space="0"/>
              <w:right w:val="single" w:color="auto" w:sz="4" w:space="0"/>
              <w:tl2br w:val="nil"/>
              <w:tr2bl w:val="nil"/>
            </w:tcBorders>
            <w:vAlign w:val="center"/>
          </w:tcPr>
          <w:p w14:paraId="79A14AC5">
            <w:pPr>
              <w:pStyle w:val="84"/>
              <w:rPr>
                <w:color w:val="auto"/>
              </w:rPr>
            </w:pPr>
            <w:r>
              <w:rPr>
                <w:rFonts w:hint="eastAsia"/>
                <w:color w:val="auto"/>
              </w:rPr>
              <w:t>站西侧围墙外</w:t>
            </w:r>
            <w:r>
              <w:rPr>
                <w:color w:val="auto"/>
              </w:rPr>
              <w:t>25</w:t>
            </w:r>
            <w:r>
              <w:rPr>
                <w:rFonts w:hint="eastAsia"/>
                <w:color w:val="auto"/>
              </w:rPr>
              <w:t>m处</w:t>
            </w:r>
          </w:p>
        </w:tc>
        <w:tc>
          <w:tcPr>
            <w:tcW w:w="986" w:type="pct"/>
            <w:tcBorders>
              <w:top w:val="single" w:color="auto" w:sz="4" w:space="0"/>
              <w:left w:val="single" w:color="auto" w:sz="4" w:space="0"/>
              <w:bottom w:val="single" w:color="auto" w:sz="4" w:space="0"/>
              <w:right w:val="single" w:color="auto" w:sz="4" w:space="0"/>
              <w:tl2br w:val="nil"/>
              <w:tr2bl w:val="nil"/>
            </w:tcBorders>
            <w:vAlign w:val="center"/>
          </w:tcPr>
          <w:p w14:paraId="3BBE6B84">
            <w:pPr>
              <w:pStyle w:val="84"/>
              <w:rPr>
                <w:rFonts w:hint="eastAsia"/>
                <w:color w:val="auto"/>
              </w:rPr>
            </w:pPr>
            <w:r>
              <w:rPr>
                <w:rFonts w:hint="eastAsia"/>
                <w:color w:val="auto"/>
              </w:rPr>
              <w:t>142.63</w:t>
            </w:r>
          </w:p>
        </w:tc>
        <w:tc>
          <w:tcPr>
            <w:tcW w:w="1135" w:type="pct"/>
            <w:tcBorders>
              <w:top w:val="single" w:color="000000" w:sz="6" w:space="0"/>
              <w:left w:val="nil"/>
              <w:bottom w:val="single" w:color="000000" w:sz="6" w:space="0"/>
              <w:right w:val="single" w:color="000000" w:sz="6" w:space="0"/>
              <w:tl2br w:val="nil"/>
              <w:tr2bl w:val="nil"/>
            </w:tcBorders>
            <w:vAlign w:val="center"/>
          </w:tcPr>
          <w:p w14:paraId="132F7BDA">
            <w:pPr>
              <w:pStyle w:val="84"/>
              <w:rPr>
                <w:rFonts w:hint="eastAsia"/>
                <w:color w:val="auto"/>
              </w:rPr>
            </w:pPr>
            <w:r>
              <w:rPr>
                <w:rFonts w:hint="eastAsia"/>
                <w:color w:val="auto"/>
              </w:rPr>
              <w:t>1.6230</w:t>
            </w:r>
          </w:p>
        </w:tc>
      </w:tr>
      <w:tr w14:paraId="16390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114" w:type="pct"/>
            <w:vMerge w:val="continue"/>
            <w:tcBorders>
              <w:top w:val="single" w:color="auto" w:sz="4" w:space="0"/>
              <w:left w:val="single" w:color="auto" w:sz="4" w:space="0"/>
              <w:bottom w:val="single" w:color="auto" w:sz="4" w:space="0"/>
              <w:right w:val="single" w:color="auto" w:sz="4" w:space="0"/>
              <w:tl2br w:val="nil"/>
              <w:tr2bl w:val="nil"/>
            </w:tcBorders>
            <w:vAlign w:val="center"/>
          </w:tcPr>
          <w:p w14:paraId="18843E7B">
            <w:pPr>
              <w:pStyle w:val="84"/>
              <w:rPr>
                <w:color w:val="auto"/>
              </w:rPr>
            </w:pPr>
          </w:p>
        </w:tc>
        <w:tc>
          <w:tcPr>
            <w:tcW w:w="1765" w:type="pct"/>
            <w:tcBorders>
              <w:top w:val="single" w:color="auto" w:sz="4" w:space="0"/>
              <w:left w:val="single" w:color="auto" w:sz="4" w:space="0"/>
              <w:bottom w:val="single" w:color="auto" w:sz="4" w:space="0"/>
              <w:right w:val="single" w:color="auto" w:sz="4" w:space="0"/>
              <w:tl2br w:val="nil"/>
              <w:tr2bl w:val="nil"/>
            </w:tcBorders>
            <w:vAlign w:val="center"/>
          </w:tcPr>
          <w:p w14:paraId="245DAA2F">
            <w:pPr>
              <w:pStyle w:val="84"/>
              <w:rPr>
                <w:color w:val="auto"/>
              </w:rPr>
            </w:pPr>
            <w:r>
              <w:rPr>
                <w:rFonts w:hint="eastAsia"/>
                <w:color w:val="auto"/>
              </w:rPr>
              <w:t>站西侧围墙外</w:t>
            </w:r>
            <w:r>
              <w:rPr>
                <w:color w:val="auto"/>
              </w:rPr>
              <w:t>30</w:t>
            </w:r>
            <w:r>
              <w:rPr>
                <w:rFonts w:hint="eastAsia"/>
                <w:color w:val="auto"/>
              </w:rPr>
              <w:t>m处</w:t>
            </w:r>
          </w:p>
        </w:tc>
        <w:tc>
          <w:tcPr>
            <w:tcW w:w="986" w:type="pct"/>
            <w:tcBorders>
              <w:top w:val="single" w:color="auto" w:sz="4" w:space="0"/>
              <w:left w:val="single" w:color="auto" w:sz="4" w:space="0"/>
              <w:bottom w:val="single" w:color="auto" w:sz="4" w:space="0"/>
              <w:right w:val="single" w:color="auto" w:sz="4" w:space="0"/>
              <w:tl2br w:val="nil"/>
              <w:tr2bl w:val="nil"/>
            </w:tcBorders>
            <w:vAlign w:val="center"/>
          </w:tcPr>
          <w:p w14:paraId="38569B13">
            <w:pPr>
              <w:pStyle w:val="84"/>
              <w:rPr>
                <w:rFonts w:hint="eastAsia"/>
                <w:color w:val="auto"/>
              </w:rPr>
            </w:pPr>
            <w:r>
              <w:rPr>
                <w:rFonts w:hint="eastAsia"/>
                <w:color w:val="auto"/>
              </w:rPr>
              <w:t>121.50</w:t>
            </w:r>
          </w:p>
        </w:tc>
        <w:tc>
          <w:tcPr>
            <w:tcW w:w="1135" w:type="pct"/>
            <w:tcBorders>
              <w:top w:val="single" w:color="000000" w:sz="6" w:space="0"/>
              <w:left w:val="nil"/>
              <w:bottom w:val="single" w:color="000000" w:sz="6" w:space="0"/>
              <w:right w:val="single" w:color="000000" w:sz="6" w:space="0"/>
              <w:tl2br w:val="nil"/>
              <w:tr2bl w:val="nil"/>
            </w:tcBorders>
            <w:vAlign w:val="center"/>
          </w:tcPr>
          <w:p w14:paraId="6D88051C">
            <w:pPr>
              <w:pStyle w:val="84"/>
              <w:rPr>
                <w:rFonts w:hint="eastAsia"/>
                <w:color w:val="auto"/>
              </w:rPr>
            </w:pPr>
            <w:r>
              <w:rPr>
                <w:rFonts w:hint="eastAsia"/>
                <w:color w:val="auto"/>
              </w:rPr>
              <w:t>1.4285</w:t>
            </w:r>
          </w:p>
        </w:tc>
      </w:tr>
      <w:tr w14:paraId="58823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114" w:type="pct"/>
            <w:vMerge w:val="continue"/>
            <w:tcBorders>
              <w:top w:val="single" w:color="auto" w:sz="4" w:space="0"/>
              <w:left w:val="single" w:color="auto" w:sz="4" w:space="0"/>
              <w:bottom w:val="single" w:color="auto" w:sz="4" w:space="0"/>
              <w:right w:val="single" w:color="auto" w:sz="4" w:space="0"/>
              <w:tl2br w:val="nil"/>
              <w:tr2bl w:val="nil"/>
            </w:tcBorders>
            <w:vAlign w:val="center"/>
          </w:tcPr>
          <w:p w14:paraId="2409CE36">
            <w:pPr>
              <w:pStyle w:val="84"/>
              <w:rPr>
                <w:color w:val="auto"/>
              </w:rPr>
            </w:pPr>
          </w:p>
        </w:tc>
        <w:tc>
          <w:tcPr>
            <w:tcW w:w="1765" w:type="pct"/>
            <w:tcBorders>
              <w:top w:val="single" w:color="auto" w:sz="4" w:space="0"/>
              <w:left w:val="single" w:color="auto" w:sz="4" w:space="0"/>
              <w:bottom w:val="single" w:color="auto" w:sz="4" w:space="0"/>
              <w:right w:val="single" w:color="auto" w:sz="4" w:space="0"/>
              <w:tl2br w:val="nil"/>
              <w:tr2bl w:val="nil"/>
            </w:tcBorders>
            <w:vAlign w:val="center"/>
          </w:tcPr>
          <w:p w14:paraId="2738AD4F">
            <w:pPr>
              <w:pStyle w:val="84"/>
              <w:rPr>
                <w:color w:val="auto"/>
              </w:rPr>
            </w:pPr>
            <w:r>
              <w:rPr>
                <w:rFonts w:hint="eastAsia"/>
                <w:color w:val="auto"/>
              </w:rPr>
              <w:t>站西侧围墙外</w:t>
            </w:r>
            <w:r>
              <w:rPr>
                <w:color w:val="auto"/>
              </w:rPr>
              <w:t>35</w:t>
            </w:r>
            <w:r>
              <w:rPr>
                <w:rFonts w:hint="eastAsia"/>
                <w:color w:val="auto"/>
              </w:rPr>
              <w:t>m处</w:t>
            </w:r>
          </w:p>
        </w:tc>
        <w:tc>
          <w:tcPr>
            <w:tcW w:w="986" w:type="pct"/>
            <w:tcBorders>
              <w:top w:val="single" w:color="auto" w:sz="4" w:space="0"/>
              <w:left w:val="single" w:color="auto" w:sz="4" w:space="0"/>
              <w:bottom w:val="single" w:color="auto" w:sz="4" w:space="0"/>
              <w:right w:val="single" w:color="auto" w:sz="4" w:space="0"/>
              <w:tl2br w:val="nil"/>
              <w:tr2bl w:val="nil"/>
            </w:tcBorders>
            <w:vAlign w:val="center"/>
          </w:tcPr>
          <w:p w14:paraId="445D724F">
            <w:pPr>
              <w:pStyle w:val="84"/>
              <w:rPr>
                <w:rFonts w:hint="eastAsia"/>
                <w:color w:val="auto"/>
              </w:rPr>
            </w:pPr>
            <w:r>
              <w:rPr>
                <w:rFonts w:hint="eastAsia"/>
                <w:color w:val="auto"/>
              </w:rPr>
              <w:t>104.63</w:t>
            </w:r>
          </w:p>
        </w:tc>
        <w:tc>
          <w:tcPr>
            <w:tcW w:w="1135" w:type="pct"/>
            <w:tcBorders>
              <w:top w:val="single" w:color="000000" w:sz="6" w:space="0"/>
              <w:left w:val="nil"/>
              <w:bottom w:val="single" w:color="000000" w:sz="6" w:space="0"/>
              <w:right w:val="single" w:color="000000" w:sz="6" w:space="0"/>
              <w:tl2br w:val="nil"/>
              <w:tr2bl w:val="nil"/>
            </w:tcBorders>
            <w:vAlign w:val="center"/>
          </w:tcPr>
          <w:p w14:paraId="4FF72CE5">
            <w:pPr>
              <w:pStyle w:val="84"/>
              <w:rPr>
                <w:rFonts w:hint="eastAsia"/>
                <w:color w:val="auto"/>
              </w:rPr>
            </w:pPr>
            <w:r>
              <w:rPr>
                <w:rFonts w:hint="eastAsia"/>
                <w:color w:val="auto"/>
              </w:rPr>
              <w:t>1.2104</w:t>
            </w:r>
          </w:p>
        </w:tc>
      </w:tr>
      <w:tr w14:paraId="4D12A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114" w:type="pct"/>
            <w:vMerge w:val="continue"/>
            <w:tcBorders>
              <w:top w:val="single" w:color="auto" w:sz="4" w:space="0"/>
              <w:left w:val="single" w:color="auto" w:sz="4" w:space="0"/>
              <w:bottom w:val="single" w:color="auto" w:sz="4" w:space="0"/>
              <w:right w:val="single" w:color="auto" w:sz="4" w:space="0"/>
              <w:tl2br w:val="nil"/>
              <w:tr2bl w:val="nil"/>
            </w:tcBorders>
            <w:vAlign w:val="center"/>
          </w:tcPr>
          <w:p w14:paraId="15C99C71">
            <w:pPr>
              <w:pStyle w:val="84"/>
              <w:rPr>
                <w:color w:val="auto"/>
              </w:rPr>
            </w:pPr>
          </w:p>
        </w:tc>
        <w:tc>
          <w:tcPr>
            <w:tcW w:w="1765" w:type="pct"/>
            <w:tcBorders>
              <w:top w:val="single" w:color="auto" w:sz="4" w:space="0"/>
              <w:left w:val="single" w:color="auto" w:sz="4" w:space="0"/>
              <w:bottom w:val="single" w:color="auto" w:sz="4" w:space="0"/>
              <w:right w:val="single" w:color="auto" w:sz="4" w:space="0"/>
              <w:tl2br w:val="nil"/>
              <w:tr2bl w:val="nil"/>
            </w:tcBorders>
            <w:vAlign w:val="center"/>
          </w:tcPr>
          <w:p w14:paraId="728351F8">
            <w:pPr>
              <w:pStyle w:val="84"/>
              <w:rPr>
                <w:color w:val="auto"/>
              </w:rPr>
            </w:pPr>
            <w:r>
              <w:rPr>
                <w:rFonts w:hint="eastAsia"/>
                <w:color w:val="auto"/>
              </w:rPr>
              <w:t>站西侧围墙外</w:t>
            </w:r>
            <w:r>
              <w:rPr>
                <w:color w:val="auto"/>
              </w:rPr>
              <w:t>40</w:t>
            </w:r>
            <w:r>
              <w:rPr>
                <w:rFonts w:hint="eastAsia"/>
                <w:color w:val="auto"/>
              </w:rPr>
              <w:t>m处</w:t>
            </w:r>
          </w:p>
        </w:tc>
        <w:tc>
          <w:tcPr>
            <w:tcW w:w="986" w:type="pct"/>
            <w:tcBorders>
              <w:top w:val="single" w:color="auto" w:sz="4" w:space="0"/>
              <w:left w:val="single" w:color="auto" w:sz="4" w:space="0"/>
              <w:bottom w:val="single" w:color="auto" w:sz="4" w:space="0"/>
              <w:right w:val="single" w:color="auto" w:sz="4" w:space="0"/>
              <w:tl2br w:val="nil"/>
              <w:tr2bl w:val="nil"/>
            </w:tcBorders>
            <w:vAlign w:val="center"/>
          </w:tcPr>
          <w:p w14:paraId="32EC9CC4">
            <w:pPr>
              <w:pStyle w:val="84"/>
              <w:rPr>
                <w:rFonts w:hint="eastAsia"/>
                <w:color w:val="auto"/>
              </w:rPr>
            </w:pPr>
            <w:r>
              <w:rPr>
                <w:rFonts w:hint="eastAsia"/>
                <w:color w:val="auto"/>
              </w:rPr>
              <w:t>75.62</w:t>
            </w:r>
          </w:p>
        </w:tc>
        <w:tc>
          <w:tcPr>
            <w:tcW w:w="1135" w:type="pct"/>
            <w:tcBorders>
              <w:top w:val="single" w:color="000000" w:sz="6" w:space="0"/>
              <w:left w:val="nil"/>
              <w:bottom w:val="single" w:color="000000" w:sz="6" w:space="0"/>
              <w:right w:val="single" w:color="000000" w:sz="6" w:space="0"/>
              <w:tl2br w:val="nil"/>
              <w:tr2bl w:val="nil"/>
            </w:tcBorders>
            <w:vAlign w:val="center"/>
          </w:tcPr>
          <w:p w14:paraId="3A46E6D7">
            <w:pPr>
              <w:pStyle w:val="84"/>
              <w:rPr>
                <w:rFonts w:hint="eastAsia"/>
                <w:color w:val="auto"/>
              </w:rPr>
            </w:pPr>
            <w:r>
              <w:rPr>
                <w:rFonts w:hint="eastAsia"/>
                <w:color w:val="auto"/>
              </w:rPr>
              <w:t>1.0763</w:t>
            </w:r>
          </w:p>
        </w:tc>
      </w:tr>
      <w:tr w14:paraId="43843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114" w:type="pct"/>
            <w:vMerge w:val="continue"/>
            <w:tcBorders>
              <w:top w:val="single" w:color="auto" w:sz="4" w:space="0"/>
              <w:left w:val="single" w:color="auto" w:sz="4" w:space="0"/>
              <w:bottom w:val="single" w:color="auto" w:sz="4" w:space="0"/>
              <w:right w:val="single" w:color="auto" w:sz="4" w:space="0"/>
              <w:tl2br w:val="nil"/>
              <w:tr2bl w:val="nil"/>
            </w:tcBorders>
            <w:vAlign w:val="center"/>
          </w:tcPr>
          <w:p w14:paraId="5F666EE3">
            <w:pPr>
              <w:pStyle w:val="84"/>
              <w:rPr>
                <w:color w:val="auto"/>
              </w:rPr>
            </w:pPr>
          </w:p>
        </w:tc>
        <w:tc>
          <w:tcPr>
            <w:tcW w:w="1765" w:type="pct"/>
            <w:tcBorders>
              <w:top w:val="single" w:color="auto" w:sz="4" w:space="0"/>
              <w:left w:val="single" w:color="auto" w:sz="4" w:space="0"/>
              <w:bottom w:val="single" w:color="auto" w:sz="4" w:space="0"/>
              <w:right w:val="single" w:color="auto" w:sz="4" w:space="0"/>
              <w:tl2br w:val="nil"/>
              <w:tr2bl w:val="nil"/>
            </w:tcBorders>
            <w:vAlign w:val="center"/>
          </w:tcPr>
          <w:p w14:paraId="77B8D1AE">
            <w:pPr>
              <w:pStyle w:val="84"/>
              <w:rPr>
                <w:color w:val="auto"/>
              </w:rPr>
            </w:pPr>
            <w:r>
              <w:rPr>
                <w:rFonts w:hint="eastAsia"/>
                <w:color w:val="auto"/>
              </w:rPr>
              <w:t>站西侧围墙外</w:t>
            </w:r>
            <w:r>
              <w:rPr>
                <w:color w:val="auto"/>
              </w:rPr>
              <w:t>45</w:t>
            </w:r>
            <w:r>
              <w:rPr>
                <w:rFonts w:hint="eastAsia"/>
                <w:color w:val="auto"/>
              </w:rPr>
              <w:t>m处</w:t>
            </w:r>
          </w:p>
        </w:tc>
        <w:tc>
          <w:tcPr>
            <w:tcW w:w="986" w:type="pct"/>
            <w:tcBorders>
              <w:top w:val="single" w:color="auto" w:sz="4" w:space="0"/>
              <w:left w:val="single" w:color="auto" w:sz="4" w:space="0"/>
              <w:bottom w:val="single" w:color="auto" w:sz="4" w:space="0"/>
              <w:right w:val="single" w:color="auto" w:sz="4" w:space="0"/>
              <w:tl2br w:val="nil"/>
              <w:tr2bl w:val="nil"/>
            </w:tcBorders>
            <w:vAlign w:val="center"/>
          </w:tcPr>
          <w:p w14:paraId="0850EA8A">
            <w:pPr>
              <w:pStyle w:val="84"/>
              <w:rPr>
                <w:rFonts w:hint="eastAsia"/>
                <w:color w:val="auto"/>
              </w:rPr>
            </w:pPr>
            <w:r>
              <w:rPr>
                <w:rFonts w:hint="eastAsia"/>
                <w:color w:val="auto"/>
              </w:rPr>
              <w:t>58.21</w:t>
            </w:r>
          </w:p>
        </w:tc>
        <w:tc>
          <w:tcPr>
            <w:tcW w:w="1135" w:type="pct"/>
            <w:tcBorders>
              <w:top w:val="single" w:color="000000" w:sz="6" w:space="0"/>
              <w:left w:val="nil"/>
              <w:bottom w:val="single" w:color="000000" w:sz="6" w:space="0"/>
              <w:right w:val="single" w:color="000000" w:sz="6" w:space="0"/>
              <w:tl2br w:val="nil"/>
              <w:tr2bl w:val="nil"/>
            </w:tcBorders>
            <w:vAlign w:val="center"/>
          </w:tcPr>
          <w:p w14:paraId="23425A05">
            <w:pPr>
              <w:pStyle w:val="84"/>
              <w:rPr>
                <w:rFonts w:hint="eastAsia"/>
                <w:color w:val="auto"/>
              </w:rPr>
            </w:pPr>
            <w:r>
              <w:rPr>
                <w:rFonts w:hint="eastAsia"/>
                <w:color w:val="auto"/>
              </w:rPr>
              <w:t>0.8642</w:t>
            </w:r>
          </w:p>
        </w:tc>
      </w:tr>
      <w:tr w14:paraId="13E96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114" w:type="pct"/>
            <w:vMerge w:val="continue"/>
            <w:tcBorders>
              <w:top w:val="single" w:color="auto" w:sz="4" w:space="0"/>
              <w:left w:val="single" w:color="auto" w:sz="4" w:space="0"/>
              <w:bottom w:val="single" w:color="auto" w:sz="4" w:space="0"/>
              <w:right w:val="single" w:color="auto" w:sz="4" w:space="0"/>
              <w:tl2br w:val="nil"/>
              <w:tr2bl w:val="nil"/>
            </w:tcBorders>
            <w:vAlign w:val="center"/>
          </w:tcPr>
          <w:p w14:paraId="42ADFC5A">
            <w:pPr>
              <w:pStyle w:val="84"/>
              <w:rPr>
                <w:color w:val="auto"/>
              </w:rPr>
            </w:pPr>
          </w:p>
        </w:tc>
        <w:tc>
          <w:tcPr>
            <w:tcW w:w="1765" w:type="pct"/>
            <w:tcBorders>
              <w:top w:val="single" w:color="auto" w:sz="4" w:space="0"/>
              <w:left w:val="single" w:color="auto" w:sz="4" w:space="0"/>
              <w:bottom w:val="single" w:color="auto" w:sz="4" w:space="0"/>
              <w:right w:val="single" w:color="auto" w:sz="4" w:space="0"/>
              <w:tl2br w:val="nil"/>
              <w:tr2bl w:val="nil"/>
            </w:tcBorders>
            <w:vAlign w:val="center"/>
          </w:tcPr>
          <w:p w14:paraId="27B6F3B2">
            <w:pPr>
              <w:pStyle w:val="84"/>
              <w:rPr>
                <w:color w:val="auto"/>
              </w:rPr>
            </w:pPr>
            <w:r>
              <w:rPr>
                <w:rFonts w:hint="eastAsia"/>
                <w:color w:val="auto"/>
              </w:rPr>
              <w:t>站西侧围墙外</w:t>
            </w:r>
            <w:r>
              <w:rPr>
                <w:color w:val="auto"/>
              </w:rPr>
              <w:t>50</w:t>
            </w:r>
            <w:r>
              <w:rPr>
                <w:rFonts w:hint="eastAsia"/>
                <w:color w:val="auto"/>
              </w:rPr>
              <w:t>m处</w:t>
            </w:r>
          </w:p>
        </w:tc>
        <w:tc>
          <w:tcPr>
            <w:tcW w:w="986" w:type="pct"/>
            <w:tcBorders>
              <w:top w:val="single" w:color="auto" w:sz="4" w:space="0"/>
              <w:left w:val="single" w:color="auto" w:sz="4" w:space="0"/>
              <w:bottom w:val="single" w:color="auto" w:sz="4" w:space="0"/>
              <w:right w:val="single" w:color="auto" w:sz="4" w:space="0"/>
              <w:tl2br w:val="nil"/>
              <w:tr2bl w:val="nil"/>
            </w:tcBorders>
            <w:vAlign w:val="center"/>
          </w:tcPr>
          <w:p w14:paraId="30AFB5D4">
            <w:pPr>
              <w:pStyle w:val="84"/>
              <w:rPr>
                <w:rFonts w:hint="eastAsia"/>
                <w:color w:val="auto"/>
              </w:rPr>
            </w:pPr>
            <w:r>
              <w:rPr>
                <w:rFonts w:hint="eastAsia"/>
                <w:color w:val="auto"/>
              </w:rPr>
              <w:t>42.36</w:t>
            </w:r>
          </w:p>
        </w:tc>
        <w:tc>
          <w:tcPr>
            <w:tcW w:w="1135" w:type="pct"/>
            <w:tcBorders>
              <w:top w:val="single" w:color="000000" w:sz="6" w:space="0"/>
              <w:left w:val="nil"/>
              <w:bottom w:val="single" w:color="000000" w:sz="6" w:space="0"/>
              <w:right w:val="single" w:color="000000" w:sz="6" w:space="0"/>
              <w:tl2br w:val="nil"/>
              <w:tr2bl w:val="nil"/>
            </w:tcBorders>
            <w:vAlign w:val="center"/>
          </w:tcPr>
          <w:p w14:paraId="5FDF4867">
            <w:pPr>
              <w:pStyle w:val="84"/>
              <w:rPr>
                <w:rFonts w:hint="eastAsia"/>
                <w:color w:val="auto"/>
              </w:rPr>
            </w:pPr>
            <w:r>
              <w:rPr>
                <w:rFonts w:hint="eastAsia"/>
                <w:color w:val="auto"/>
              </w:rPr>
              <w:t>0.6521</w:t>
            </w:r>
          </w:p>
        </w:tc>
      </w:tr>
      <w:tr w14:paraId="66619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879" w:type="pct"/>
            <w:gridSpan w:val="2"/>
            <w:tcBorders>
              <w:top w:val="single" w:color="auto" w:sz="4" w:space="0"/>
              <w:left w:val="single" w:color="auto" w:sz="4" w:space="0"/>
              <w:bottom w:val="single" w:color="auto" w:sz="4" w:space="0"/>
              <w:right w:val="single" w:color="auto" w:sz="4" w:space="0"/>
              <w:tl2br w:val="nil"/>
              <w:tr2bl w:val="nil"/>
            </w:tcBorders>
            <w:vAlign w:val="center"/>
          </w:tcPr>
          <w:p w14:paraId="7D49070B">
            <w:pPr>
              <w:pStyle w:val="84"/>
              <w:rPr>
                <w:color w:val="auto"/>
              </w:rPr>
            </w:pPr>
            <w:r>
              <w:rPr>
                <w:rFonts w:hint="eastAsia"/>
                <w:color w:val="auto"/>
              </w:rPr>
              <w:t>规范限值</w:t>
            </w:r>
          </w:p>
        </w:tc>
        <w:tc>
          <w:tcPr>
            <w:tcW w:w="986" w:type="pct"/>
            <w:tcBorders>
              <w:top w:val="single" w:color="auto" w:sz="4" w:space="0"/>
              <w:left w:val="single" w:color="auto" w:sz="4" w:space="0"/>
              <w:bottom w:val="single" w:color="auto" w:sz="4" w:space="0"/>
              <w:right w:val="single" w:color="auto" w:sz="4" w:space="0"/>
              <w:tl2br w:val="nil"/>
              <w:tr2bl w:val="nil"/>
            </w:tcBorders>
            <w:vAlign w:val="center"/>
          </w:tcPr>
          <w:p w14:paraId="75A02369">
            <w:pPr>
              <w:pStyle w:val="84"/>
              <w:rPr>
                <w:color w:val="auto"/>
              </w:rPr>
            </w:pPr>
            <w:r>
              <w:rPr>
                <w:rFonts w:hint="eastAsia"/>
                <w:color w:val="auto"/>
              </w:rPr>
              <w:t>4</w:t>
            </w:r>
            <w:r>
              <w:rPr>
                <w:color w:val="auto"/>
              </w:rPr>
              <w:t>000</w:t>
            </w:r>
          </w:p>
        </w:tc>
        <w:tc>
          <w:tcPr>
            <w:tcW w:w="1135" w:type="pct"/>
            <w:tcBorders>
              <w:top w:val="single" w:color="000000" w:sz="6" w:space="0"/>
              <w:left w:val="nil"/>
              <w:bottom w:val="single" w:color="000000" w:sz="6" w:space="0"/>
              <w:right w:val="single" w:color="000000" w:sz="6" w:space="0"/>
              <w:tl2br w:val="nil"/>
              <w:tr2bl w:val="nil"/>
            </w:tcBorders>
            <w:vAlign w:val="center"/>
          </w:tcPr>
          <w:p w14:paraId="1B7B5B13">
            <w:pPr>
              <w:pStyle w:val="84"/>
              <w:rPr>
                <w:color w:val="auto"/>
              </w:rPr>
            </w:pPr>
            <w:r>
              <w:rPr>
                <w:rFonts w:hint="eastAsia"/>
                <w:color w:val="auto"/>
              </w:rPr>
              <w:t>1</w:t>
            </w:r>
            <w:r>
              <w:rPr>
                <w:color w:val="auto"/>
              </w:rPr>
              <w:t>00</w:t>
            </w:r>
          </w:p>
        </w:tc>
      </w:tr>
    </w:tbl>
    <w:p w14:paraId="6B99865E">
      <w:pPr>
        <w:pStyle w:val="51"/>
        <w:rPr>
          <w:color w:val="auto"/>
        </w:rPr>
      </w:pPr>
      <w:r>
        <w:rPr>
          <w:color w:val="auto"/>
        </w:rPr>
        <w:t>根据类比监测结果：宁东1GW光伏基地330kV汇集站四周围墙外5m处工频电场强度值在94.45～191.32V/m之间，工频磁感应强度值在0.7468～1.9182μT之间；汇集站西侧监测断面5～50m的工频电场强度值在42.36～191.32V/m之间，工频磁感应强度值在0.6521～1.9182μT之间，工频电场强度监测结果呈现距变电站厂界距离增加而衰减趋势。</w:t>
      </w:r>
    </w:p>
    <w:p w14:paraId="4AE20601">
      <w:pPr>
        <w:pStyle w:val="51"/>
        <w:rPr>
          <w:color w:val="auto"/>
        </w:rPr>
      </w:pPr>
      <w:r>
        <w:rPr>
          <w:color w:val="auto"/>
        </w:rPr>
        <w:t>由类比监测结果推知，本项目220kV升压站厂界5m处的工频电场强度值低于94.45～191.32V/m之间、工频磁感应强度值低于0.7468～1.9182μT之间；衰减断面工频电场强度低于42.36～191.32V/m之间，工频磁感应强度值低于0.6521～1.9182μT之间，均可满足《电磁环境控制限值》（GB8702-2014）中规定的公众曝露控制限值要求（工频电场强度4kV/m、工频磁感应强度100µT），因此，项目的建设对所在区域电磁环境影响较小。</w:t>
      </w:r>
    </w:p>
    <w:p w14:paraId="5C0D4414">
      <w:pPr>
        <w:pStyle w:val="4"/>
      </w:pPr>
      <w:bookmarkStart w:id="105" w:name="_Toc85633939"/>
      <w:r>
        <w:rPr>
          <w:rFonts w:hint="eastAsia"/>
        </w:rPr>
        <w:t>4</w:t>
      </w:r>
      <w:r>
        <w:t xml:space="preserve">.1.5 </w:t>
      </w:r>
      <w:r>
        <w:rPr>
          <w:rFonts w:hint="eastAsia"/>
        </w:rPr>
        <w:t>升压站电磁环境影响预测评价</w:t>
      </w:r>
      <w:bookmarkEnd w:id="105"/>
    </w:p>
    <w:p w14:paraId="03F9ACCE">
      <w:pPr>
        <w:pStyle w:val="51"/>
        <w:rPr>
          <w:color w:val="auto"/>
        </w:rPr>
      </w:pPr>
      <w:bookmarkStart w:id="106" w:name="_Hlk72315857"/>
      <w:r>
        <w:rPr>
          <w:rFonts w:hint="eastAsia"/>
          <w:color w:val="auto"/>
        </w:rPr>
        <w:t>通过对已运行宁东1GW光伏基地330kV汇集站的类比监测结果，可以预测本工程新建220kV升压站运行后产生的工频电场强度小于居民区4000V/m、工频磁感应强度小于100μT的评价标准要求。</w:t>
      </w:r>
    </w:p>
    <w:bookmarkEnd w:id="106"/>
    <w:p w14:paraId="1C66FFC7">
      <w:pPr>
        <w:pStyle w:val="3"/>
        <w:rPr>
          <w:color w:val="auto"/>
        </w:rPr>
      </w:pPr>
      <w:bookmarkStart w:id="107" w:name="_Toc85662709"/>
      <w:bookmarkStart w:id="108" w:name="_Toc85662761"/>
      <w:bookmarkStart w:id="109" w:name="_Toc302979844"/>
      <w:bookmarkStart w:id="110" w:name="_Toc10649"/>
      <w:bookmarkStart w:id="111" w:name="_Toc85633940"/>
      <w:bookmarkStart w:id="112" w:name="_Toc189983367"/>
      <w:r>
        <w:rPr>
          <w:color w:val="auto"/>
        </w:rPr>
        <w:t xml:space="preserve">4.2 </w:t>
      </w:r>
      <w:r>
        <w:rPr>
          <w:rFonts w:hint="eastAsia"/>
          <w:color w:val="auto"/>
        </w:rPr>
        <w:t>架空线路计算预测</w:t>
      </w:r>
      <w:bookmarkEnd w:id="107"/>
      <w:bookmarkEnd w:id="108"/>
      <w:bookmarkEnd w:id="109"/>
      <w:bookmarkEnd w:id="110"/>
      <w:bookmarkEnd w:id="111"/>
      <w:bookmarkEnd w:id="112"/>
    </w:p>
    <w:p w14:paraId="366F3DD3">
      <w:pPr>
        <w:pStyle w:val="4"/>
      </w:pPr>
      <w:bookmarkStart w:id="113" w:name="_Toc25213"/>
      <w:bookmarkStart w:id="114" w:name="_Toc85633941"/>
      <w:r>
        <w:t xml:space="preserve">4.2.1 </w:t>
      </w:r>
      <w:r>
        <w:rPr>
          <w:rFonts w:hint="eastAsia"/>
        </w:rPr>
        <w:t>预测因子</w:t>
      </w:r>
      <w:bookmarkEnd w:id="113"/>
      <w:bookmarkEnd w:id="114"/>
    </w:p>
    <w:p w14:paraId="64A39AE5">
      <w:pPr>
        <w:pStyle w:val="51"/>
        <w:rPr>
          <w:color w:val="auto"/>
        </w:rPr>
      </w:pPr>
      <w:r>
        <w:rPr>
          <w:rFonts w:hint="eastAsia"/>
          <w:color w:val="auto"/>
        </w:rPr>
        <w:t>工频电场、工频磁感应强度。</w:t>
      </w:r>
    </w:p>
    <w:p w14:paraId="737A3BD3">
      <w:pPr>
        <w:pStyle w:val="4"/>
      </w:pPr>
      <w:bookmarkStart w:id="115" w:name="_Toc85633942"/>
      <w:bookmarkStart w:id="116" w:name="_Toc15002"/>
      <w:r>
        <w:t xml:space="preserve">4.2.2 </w:t>
      </w:r>
      <w:r>
        <w:rPr>
          <w:rFonts w:hint="eastAsia"/>
        </w:rPr>
        <w:t>预测模式</w:t>
      </w:r>
      <w:bookmarkEnd w:id="115"/>
      <w:bookmarkEnd w:id="116"/>
    </w:p>
    <w:p w14:paraId="3355F86D">
      <w:pPr>
        <w:pStyle w:val="51"/>
        <w:rPr>
          <w:color w:val="auto"/>
          <w:lang w:val="zh-CN"/>
        </w:rPr>
      </w:pPr>
      <w:r>
        <w:rPr>
          <w:rFonts w:hint="eastAsia"/>
          <w:color w:val="auto"/>
          <w:lang w:val="zh-CN"/>
        </w:rPr>
        <w:t>架空输电线路的工频电场强度、工频磁感应强度的预测参照《环境影响评价技术导则  输变电工程》（HJ24-2020）附录中的推荐模式。</w:t>
      </w:r>
    </w:p>
    <w:p w14:paraId="0428414C">
      <w:pPr>
        <w:pStyle w:val="51"/>
        <w:ind w:firstLine="482"/>
        <w:rPr>
          <w:b/>
          <w:color w:val="auto"/>
          <w:lang w:val="zh-CN"/>
        </w:rPr>
      </w:pPr>
      <w:r>
        <w:rPr>
          <w:rFonts w:hint="eastAsia"/>
          <w:b/>
          <w:color w:val="auto"/>
          <w:lang w:val="zh-CN"/>
        </w:rPr>
        <w:t>具体模式如下：</w:t>
      </w:r>
    </w:p>
    <w:p w14:paraId="175DAFF8">
      <w:pPr>
        <w:pStyle w:val="51"/>
        <w:ind w:firstLine="482"/>
        <w:rPr>
          <w:b/>
          <w:color w:val="auto"/>
          <w:lang w:val="zh-CN"/>
        </w:rPr>
      </w:pPr>
      <w:r>
        <w:rPr>
          <w:rFonts w:hint="eastAsia"/>
          <w:b/>
          <w:color w:val="auto"/>
        </w:rPr>
        <w:t>（1）工频电场强度计算模式</w:t>
      </w:r>
    </w:p>
    <w:p w14:paraId="003468C8">
      <w:pPr>
        <w:pStyle w:val="51"/>
        <w:rPr>
          <w:color w:val="auto"/>
          <w:lang w:val="zh-CN"/>
        </w:rPr>
      </w:pPr>
      <w:r>
        <w:rPr>
          <w:rFonts w:hint="eastAsia"/>
          <w:color w:val="auto"/>
          <w:lang w:val="zh-CN"/>
        </w:rPr>
        <w:t>高压输电线上的等效电荷是线电荷，由于高压输电线半径r远远小于架设高度h，所以等效电荷的</w:t>
      </w:r>
      <w:r>
        <w:rPr>
          <w:rFonts w:hint="eastAsia"/>
          <w:b/>
          <w:color w:val="auto"/>
          <w:lang w:val="zh-CN"/>
        </w:rPr>
        <w:t>位置</w:t>
      </w:r>
      <w:r>
        <w:rPr>
          <w:rFonts w:hint="eastAsia"/>
          <w:color w:val="auto"/>
          <w:lang w:val="zh-CN"/>
        </w:rPr>
        <w:t>可以认为是在</w:t>
      </w:r>
      <w:r>
        <w:rPr>
          <w:rFonts w:hint="eastAsia"/>
          <w:b/>
          <w:color w:val="auto"/>
          <w:lang w:val="zh-CN"/>
        </w:rPr>
        <w:t>输电导线的几何中心</w:t>
      </w:r>
      <w:r>
        <w:rPr>
          <w:rFonts w:hint="eastAsia"/>
          <w:color w:val="auto"/>
          <w:lang w:val="zh-CN"/>
        </w:rPr>
        <w:t>。</w:t>
      </w:r>
    </w:p>
    <w:p w14:paraId="75A47028">
      <w:pPr>
        <w:pStyle w:val="51"/>
        <w:rPr>
          <w:color w:val="auto"/>
          <w:lang w:val="zh-CN"/>
        </w:rPr>
      </w:pPr>
      <w:r>
        <w:rPr>
          <w:rFonts w:hint="eastAsia"/>
          <w:color w:val="auto"/>
          <w:lang w:val="zh-CN"/>
        </w:rPr>
        <w:t>设输电线路为无限长并且平行于地面，地面可视为良导体，利用镜像法计算输电线上的等效电荷。</w:t>
      </w:r>
    </w:p>
    <w:p w14:paraId="406FB4E1">
      <w:pPr>
        <w:pStyle w:val="51"/>
        <w:rPr>
          <w:color w:val="auto"/>
          <w:lang w:val="zh-CN"/>
        </w:rPr>
      </w:pPr>
      <w:r>
        <w:rPr>
          <w:rFonts w:hint="eastAsia"/>
          <w:color w:val="auto"/>
          <w:lang w:val="zh-CN"/>
        </w:rPr>
        <w:t>为了计算多导线线路中导线上的等效电荷，可写出下列矩阵方程：</w:t>
      </w:r>
    </w:p>
    <w:p w14:paraId="187AF7D4">
      <w:pPr>
        <w:pStyle w:val="51"/>
        <w:jc w:val="center"/>
        <w:rPr>
          <w:rStyle w:val="86"/>
          <w:rFonts w:hint="default" w:ascii="Times New Roman"/>
          <w:color w:val="auto"/>
          <w:sz w:val="21"/>
        </w:rPr>
      </w:pPr>
      <w:r>
        <w:rPr>
          <w:color w:val="auto"/>
        </w:rPr>
        <w:object>
          <v:shape id="_x0000_i1027" o:spt="75" type="#_x0000_t75" style="height:74.75pt;width:172pt;" o:ole="t" filled="f" o:preferrelative="t" stroked="f" coordsize="21600,21600">
            <v:path/>
            <v:fill on="f" focussize="0,0"/>
            <v:stroke on="f" joinstyle="miter"/>
            <v:imagedata r:id="rId27" o:title=""/>
            <o:lock v:ext="edit" aspectratio="t"/>
            <w10:wrap type="none"/>
            <w10:anchorlock/>
          </v:shape>
          <o:OLEObject Type="Embed" ProgID="Equation.DSMT4" ShapeID="_x0000_i1027" DrawAspect="Content" ObjectID="_1468075727" r:id="rId26">
            <o:LockedField>false</o:LockedField>
          </o:OLEObject>
        </w:object>
      </w:r>
    </w:p>
    <w:p w14:paraId="40823C8F">
      <w:pPr>
        <w:pStyle w:val="51"/>
        <w:rPr>
          <w:color w:val="auto"/>
          <w:lang w:val="zh-CN"/>
        </w:rPr>
      </w:pPr>
      <w:r>
        <w:rPr>
          <w:rFonts w:hint="eastAsia"/>
          <w:color w:val="auto"/>
          <w:lang w:val="zh-CN"/>
        </w:rPr>
        <w:t>式中：U——各导线对地电压的单列矩阵；</w:t>
      </w:r>
    </w:p>
    <w:p w14:paraId="5F5A0ACC">
      <w:pPr>
        <w:pStyle w:val="51"/>
        <w:ind w:firstLine="1200" w:firstLineChars="500"/>
        <w:rPr>
          <w:color w:val="auto"/>
          <w:lang w:val="zh-CN"/>
        </w:rPr>
      </w:pPr>
      <w:bookmarkStart w:id="117" w:name="_Toc141414697"/>
      <w:r>
        <w:rPr>
          <w:color w:val="auto"/>
          <w:lang w:val="zh-CN"/>
        </w:rPr>
        <w:t>Q——</w:t>
      </w:r>
      <w:r>
        <w:rPr>
          <w:rFonts w:hint="eastAsia"/>
          <w:color w:val="auto"/>
          <w:lang w:val="zh-CN"/>
        </w:rPr>
        <w:t>各导线上等效电荷的单列矩阵；</w:t>
      </w:r>
      <w:bookmarkEnd w:id="117"/>
    </w:p>
    <w:p w14:paraId="1C5D0D94">
      <w:pPr>
        <w:pStyle w:val="51"/>
        <w:ind w:firstLine="1200" w:firstLineChars="500"/>
        <w:rPr>
          <w:color w:val="auto"/>
          <w:lang w:val="zh-CN"/>
        </w:rPr>
      </w:pPr>
      <w:r>
        <w:rPr>
          <w:color w:val="auto"/>
          <w:lang w:val="zh-CN"/>
        </w:rPr>
        <w:t>λ——</w:t>
      </w:r>
      <w:r>
        <w:rPr>
          <w:rFonts w:hint="eastAsia"/>
          <w:color w:val="auto"/>
          <w:lang w:val="zh-CN"/>
        </w:rPr>
        <w:t>各导线的电位系数组成的m阶方阵（m为导线数目）。</w:t>
      </w:r>
    </w:p>
    <w:p w14:paraId="38DE9599">
      <w:pPr>
        <w:pStyle w:val="51"/>
        <w:rPr>
          <w:color w:val="auto"/>
          <w:lang w:val="zh-CN"/>
        </w:rPr>
      </w:pPr>
      <w:r>
        <w:rPr>
          <w:color w:val="auto"/>
          <w:lang w:val="zh-CN"/>
        </w:rPr>
        <w:t>[U]</w:t>
      </w:r>
      <w:r>
        <w:rPr>
          <w:rFonts w:hint="eastAsia"/>
          <w:color w:val="auto"/>
          <w:lang w:val="zh-CN"/>
        </w:rPr>
        <w:t>矩阵可由输电线的电压和相位确定，从环境保护考虑以额定电压的1.05倍作为计算电压。</w:t>
      </w:r>
    </w:p>
    <w:p w14:paraId="4E1DD637">
      <w:pPr>
        <w:pStyle w:val="51"/>
        <w:rPr>
          <w:color w:val="auto"/>
        </w:rPr>
      </w:pPr>
      <w:r>
        <w:rPr>
          <w:rFonts w:hint="eastAsia"/>
          <w:color w:val="auto"/>
          <w:lang w:val="zh-CN"/>
        </w:rPr>
        <w:t>对于220kV三相导线，各相的相位和分量，则可计算各导线对地电压为：</w:t>
      </w:r>
    </w:p>
    <w:p w14:paraId="69AFC855">
      <w:pPr>
        <w:pStyle w:val="51"/>
        <w:jc w:val="center"/>
        <w:rPr>
          <w:color w:val="auto"/>
        </w:rPr>
      </w:pPr>
      <w:r>
        <w:rPr>
          <w:color w:val="auto"/>
          <w:position w:val="-16"/>
        </w:rPr>
        <w:object>
          <v:shape id="_x0000_i1028" o:spt="75" type="#_x0000_t75" style="height:21.55pt;width:24pt;" o:ole="t" filled="f" o:preferrelative="t" stroked="f" coordsize="21600,21600">
            <v:path/>
            <v:fill on="f" focussize="0,0"/>
            <v:stroke on="f" joinstyle="miter"/>
            <v:imagedata r:id="rId29" o:title=""/>
            <o:lock v:ext="edit" aspectratio="t"/>
            <w10:wrap type="none"/>
            <w10:anchorlock/>
          </v:shape>
          <o:OLEObject Type="Embed" ProgID="Equation.3" ShapeID="_x0000_i1028" DrawAspect="Content" ObjectID="_1468075728" r:id="rId28">
            <o:LockedField>false</o:LockedField>
          </o:OLEObject>
        </w:object>
      </w:r>
      <w:r>
        <w:rPr>
          <w:rStyle w:val="86"/>
          <w:rFonts w:hint="default" w:ascii="Times New Roman"/>
          <w:color w:val="auto"/>
        </w:rPr>
        <w:t xml:space="preserve"> = </w:t>
      </w:r>
      <w:r>
        <w:rPr>
          <w:color w:val="auto"/>
          <w:position w:val="-16"/>
        </w:rPr>
        <w:object>
          <v:shape id="_x0000_i1029" o:spt="75" type="#_x0000_t75" style="height:21.55pt;width:24pt;" o:ole="t" filled="f" o:preferrelative="t" stroked="f" coordsize="21600,21600">
            <v:path/>
            <v:fill on="f" focussize="0,0"/>
            <v:stroke on="f" joinstyle="miter"/>
            <v:imagedata r:id="rId31" o:title=""/>
            <o:lock v:ext="edit" aspectratio="t"/>
            <w10:wrap type="none"/>
            <w10:anchorlock/>
          </v:shape>
          <o:OLEObject Type="Embed" ProgID="Equation.3" ShapeID="_x0000_i1029" DrawAspect="Content" ObjectID="_1468075729" r:id="rId30">
            <o:LockedField>false</o:LockedField>
          </o:OLEObject>
        </w:object>
      </w:r>
      <w:r>
        <w:rPr>
          <w:rStyle w:val="86"/>
          <w:rFonts w:hint="default" w:ascii="Times New Roman"/>
          <w:color w:val="auto"/>
        </w:rPr>
        <w:t xml:space="preserve"> = </w:t>
      </w:r>
      <w:r>
        <w:rPr>
          <w:color w:val="auto"/>
          <w:position w:val="-16"/>
        </w:rPr>
        <w:object>
          <v:shape id="_x0000_i1030" o:spt="75" type="#_x0000_t75" style="height:21.55pt;width:24.8pt;" o:ole="t" filled="f" o:preferrelative="t" stroked="f" coordsize="21600,21600">
            <v:path/>
            <v:fill on="f" focussize="0,0"/>
            <v:stroke on="f" joinstyle="miter"/>
            <v:imagedata r:id="rId33" o:title=""/>
            <o:lock v:ext="edit" aspectratio="t"/>
            <w10:wrap type="none"/>
            <w10:anchorlock/>
          </v:shape>
          <o:OLEObject Type="Embed" ProgID="Equation.3" ShapeID="_x0000_i1030" DrawAspect="Content" ObjectID="_1468075730" r:id="rId32">
            <o:LockedField>false</o:LockedField>
          </o:OLEObject>
        </w:object>
      </w:r>
    </w:p>
    <w:p w14:paraId="17A5423E">
      <w:pPr>
        <w:pStyle w:val="51"/>
        <w:ind w:firstLine="420"/>
        <w:jc w:val="center"/>
        <w:rPr>
          <w:color w:val="auto"/>
        </w:rPr>
      </w:pPr>
      <w:r>
        <w:rPr>
          <w:color w:val="auto"/>
          <w:position w:val="-28"/>
          <w:sz w:val="21"/>
        </w:rPr>
        <w:object>
          <v:shape id="_x0000_i1031" o:spt="75" type="#_x0000_t75" style="height:32.1pt;width:58.95pt;" o:ole="t" filled="f" o:preferrelative="t" stroked="f" coordsize="21600,21600">
            <v:path/>
            <v:fill on="f" focussize="0,0"/>
            <v:stroke on="f" joinstyle="miter"/>
            <v:imagedata r:id="rId35" o:title=""/>
            <o:lock v:ext="edit" aspectratio="t"/>
            <w10:wrap type="none"/>
            <w10:anchorlock/>
          </v:shape>
          <o:OLEObject Type="Embed" ProgID="Equation.3" ShapeID="_x0000_i1031" DrawAspect="Content" ObjectID="_1468075731" r:id="rId34">
            <o:LockedField>false</o:LockedField>
          </o:OLEObject>
        </w:object>
      </w:r>
    </w:p>
    <w:p w14:paraId="39EB0470">
      <w:pPr>
        <w:pStyle w:val="51"/>
        <w:jc w:val="center"/>
        <w:rPr>
          <w:color w:val="auto"/>
        </w:rPr>
      </w:pPr>
      <w:r>
        <w:rPr>
          <w:color w:val="auto"/>
        </w:rPr>
        <w:t>=</w:t>
      </w:r>
      <w:r>
        <w:rPr>
          <w:rFonts w:hint="eastAsia"/>
          <w:color w:val="auto"/>
        </w:rPr>
        <w:t>133.4</w:t>
      </w:r>
      <w:r>
        <w:rPr>
          <w:color w:val="auto"/>
        </w:rPr>
        <w:t>kV</w:t>
      </w:r>
    </w:p>
    <w:p w14:paraId="08161435">
      <w:pPr>
        <w:pStyle w:val="51"/>
        <w:spacing w:line="240" w:lineRule="auto"/>
        <w:ind w:firstLine="0" w:firstLineChars="0"/>
        <w:jc w:val="center"/>
        <w:rPr>
          <w:color w:val="auto"/>
        </w:rPr>
      </w:pPr>
      <w:r>
        <w:rPr>
          <w:color w:val="auto"/>
        </w:rPr>
        <w:drawing>
          <wp:inline distT="0" distB="0" distL="114300" distR="114300">
            <wp:extent cx="3163570" cy="2343785"/>
            <wp:effectExtent l="0" t="0" r="17780" b="18415"/>
            <wp:docPr id="1" name="图片 35" descr="图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5" descr="图A1"/>
                    <pic:cNvPicPr>
                      <a:picLocks noChangeAspect="1"/>
                    </pic:cNvPicPr>
                  </pic:nvPicPr>
                  <pic:blipFill>
                    <a:blip r:embed="rId36"/>
                    <a:stretch>
                      <a:fillRect/>
                    </a:stretch>
                  </pic:blipFill>
                  <pic:spPr>
                    <a:xfrm>
                      <a:off x="0" y="0"/>
                      <a:ext cx="3163570" cy="2343785"/>
                    </a:xfrm>
                    <a:prstGeom prst="rect">
                      <a:avLst/>
                    </a:prstGeom>
                    <a:noFill/>
                    <a:ln>
                      <a:noFill/>
                    </a:ln>
                  </pic:spPr>
                </pic:pic>
              </a:graphicData>
            </a:graphic>
          </wp:inline>
        </w:drawing>
      </w:r>
    </w:p>
    <w:p w14:paraId="5211EEB9">
      <w:pPr>
        <w:pStyle w:val="83"/>
      </w:pPr>
      <w:r>
        <w:rPr>
          <w:rFonts w:hint="eastAsia"/>
        </w:rPr>
        <w:t>图4-2  对地电压计算图</w:t>
      </w:r>
    </w:p>
    <w:p w14:paraId="15001543">
      <w:pPr>
        <w:pStyle w:val="51"/>
        <w:rPr>
          <w:color w:val="auto"/>
          <w:lang w:val="zh-CN"/>
        </w:rPr>
      </w:pPr>
      <w:r>
        <w:rPr>
          <w:rFonts w:hint="eastAsia"/>
          <w:color w:val="auto"/>
          <w:lang w:val="zh-CN"/>
        </w:rPr>
        <w:t>各导线对地电压分量为：</w:t>
      </w:r>
    </w:p>
    <w:p w14:paraId="3F3C6DF4">
      <w:pPr>
        <w:pStyle w:val="51"/>
        <w:jc w:val="center"/>
        <w:rPr>
          <w:color w:val="auto"/>
        </w:rPr>
      </w:pPr>
      <w:r>
        <w:rPr>
          <w:i/>
          <w:color w:val="auto"/>
        </w:rPr>
        <w:t>U</w:t>
      </w:r>
      <w:r>
        <w:rPr>
          <w:i/>
          <w:color w:val="auto"/>
          <w:vertAlign w:val="subscript"/>
        </w:rPr>
        <w:t>A</w:t>
      </w:r>
      <w:r>
        <w:rPr>
          <w:color w:val="auto"/>
        </w:rPr>
        <w:t xml:space="preserve"> =</w:t>
      </w:r>
      <w:r>
        <w:rPr>
          <w:rFonts w:hint="eastAsia"/>
          <w:color w:val="auto"/>
        </w:rPr>
        <w:t>（133.4+ j0）kV</w:t>
      </w:r>
    </w:p>
    <w:p w14:paraId="0C52EF7A">
      <w:pPr>
        <w:pStyle w:val="51"/>
        <w:jc w:val="center"/>
        <w:rPr>
          <w:color w:val="auto"/>
        </w:rPr>
      </w:pPr>
      <w:r>
        <w:rPr>
          <w:i/>
          <w:color w:val="auto"/>
        </w:rPr>
        <w:t>U</w:t>
      </w:r>
      <w:r>
        <w:rPr>
          <w:i/>
          <w:color w:val="auto"/>
          <w:vertAlign w:val="subscript"/>
        </w:rPr>
        <w:t>B</w:t>
      </w:r>
      <w:r>
        <w:rPr>
          <w:color w:val="auto"/>
        </w:rPr>
        <w:t xml:space="preserve"> =</w:t>
      </w:r>
      <w:r>
        <w:rPr>
          <w:rFonts w:hint="eastAsia"/>
          <w:color w:val="auto"/>
        </w:rPr>
        <w:t>（-66.7 + j115.5）kV</w:t>
      </w:r>
    </w:p>
    <w:p w14:paraId="64B9D9E2">
      <w:pPr>
        <w:pStyle w:val="51"/>
        <w:jc w:val="center"/>
        <w:rPr>
          <w:color w:val="auto"/>
        </w:rPr>
      </w:pPr>
      <w:r>
        <w:rPr>
          <w:i/>
          <w:color w:val="auto"/>
        </w:rPr>
        <w:t>U</w:t>
      </w:r>
      <w:r>
        <w:rPr>
          <w:i/>
          <w:color w:val="auto"/>
          <w:vertAlign w:val="subscript"/>
        </w:rPr>
        <w:t>C</w:t>
      </w:r>
      <w:r>
        <w:rPr>
          <w:color w:val="auto"/>
        </w:rPr>
        <w:t xml:space="preserve"> =</w:t>
      </w:r>
      <w:r>
        <w:rPr>
          <w:rFonts w:hint="eastAsia"/>
          <w:color w:val="auto"/>
        </w:rPr>
        <w:t>（-66.7 – j115.5）kV</w:t>
      </w:r>
    </w:p>
    <w:p w14:paraId="48E8A6A4">
      <w:pPr>
        <w:pStyle w:val="51"/>
        <w:rPr>
          <w:color w:val="auto"/>
          <w:lang w:val="zh-CN"/>
        </w:rPr>
      </w:pPr>
      <w:r>
        <w:rPr>
          <w:color w:val="auto"/>
          <w:lang w:val="zh-CN"/>
        </w:rPr>
        <w:t>[λ]</w:t>
      </w:r>
      <w:r>
        <w:rPr>
          <w:rFonts w:hint="eastAsia"/>
          <w:color w:val="auto"/>
          <w:lang w:val="zh-CN"/>
        </w:rPr>
        <w:t>矩阵由镜像原理求得。地面为电位等于零的平面，地面的感应电荷可由对应地面导线的镜像电荷代替，用i，j，… 表示相互平行的实际导线，用i′，j′，… 表示它们的镜像，电位系数可写为：</w:t>
      </w:r>
    </w:p>
    <w:p w14:paraId="204DBEDE">
      <w:pPr>
        <w:pStyle w:val="51"/>
        <w:ind w:firstLine="420"/>
        <w:jc w:val="center"/>
        <w:rPr>
          <w:rStyle w:val="86"/>
          <w:rFonts w:hint="default" w:ascii="Times New Roman"/>
          <w:color w:val="auto"/>
          <w:sz w:val="21"/>
        </w:rPr>
      </w:pPr>
      <w:r>
        <w:rPr>
          <w:color w:val="auto"/>
          <w:position w:val="-30"/>
          <w:sz w:val="21"/>
        </w:rPr>
        <w:object>
          <v:shape id="_x0000_i1032" o:spt="75" type="#_x0000_t75" style="height:35.7pt;width:84.25pt;" o:ole="t" filled="f" o:preferrelative="t" stroked="f" coordsize="21600,21600">
            <v:path/>
            <v:fill on="f" focussize="0,0"/>
            <v:stroke on="f" joinstyle="miter"/>
            <v:imagedata r:id="rId38" o:title=""/>
            <o:lock v:ext="edit" aspectratio="t"/>
            <w10:wrap type="none"/>
            <w10:anchorlock/>
          </v:shape>
          <o:OLEObject Type="Embed" ProgID="Equation.3" ShapeID="_x0000_i1032" DrawAspect="Content" ObjectID="_1468075732" r:id="rId37">
            <o:LockedField>false</o:LockedField>
          </o:OLEObject>
        </w:object>
      </w:r>
    </w:p>
    <w:p w14:paraId="61A00398">
      <w:pPr>
        <w:pStyle w:val="51"/>
        <w:ind w:firstLine="420"/>
        <w:jc w:val="center"/>
        <w:rPr>
          <w:rStyle w:val="86"/>
          <w:rFonts w:hint="default" w:ascii="Times New Roman"/>
          <w:color w:val="auto"/>
          <w:sz w:val="21"/>
        </w:rPr>
      </w:pPr>
      <w:r>
        <w:rPr>
          <w:color w:val="auto"/>
          <w:position w:val="-32"/>
          <w:sz w:val="21"/>
        </w:rPr>
        <w:object>
          <v:shape id="_x0000_i1033" o:spt="75" type="#_x0000_t75" style="height:39pt;width:82.05pt;" o:ole="t" filled="f" o:preferrelative="t" stroked="f" coordsize="21600,21600">
            <v:path/>
            <v:fill on="f" focussize="0,0"/>
            <v:stroke on="f" joinstyle="miter"/>
            <v:imagedata r:id="rId40" o:title=""/>
            <o:lock v:ext="edit" aspectratio="t"/>
            <w10:wrap type="none"/>
            <w10:anchorlock/>
          </v:shape>
          <o:OLEObject Type="Embed" ProgID="Equation.3" ShapeID="_x0000_i1033" DrawAspect="Content" ObjectID="_1468075733" r:id="rId39">
            <o:LockedField>false</o:LockedField>
          </o:OLEObject>
        </w:object>
      </w:r>
    </w:p>
    <w:p w14:paraId="52B6B9DB">
      <w:pPr>
        <w:pStyle w:val="51"/>
        <w:ind w:firstLine="420"/>
        <w:jc w:val="center"/>
        <w:rPr>
          <w:color w:val="auto"/>
          <w:sz w:val="21"/>
        </w:rPr>
      </w:pPr>
      <w:r>
        <w:rPr>
          <w:color w:val="auto"/>
          <w:position w:val="-14"/>
          <w:sz w:val="21"/>
        </w:rPr>
        <w:object>
          <v:shape id="_x0000_i1034" o:spt="75" type="#_x0000_t75" style="height:18.95pt;width:41.4pt;" o:ole="t" filled="f" o:preferrelative="t" stroked="f" coordsize="21600,21600">
            <v:path/>
            <v:fill on="f" focussize="0,0"/>
            <v:stroke on="f" joinstyle="miter"/>
            <v:imagedata r:id="rId42" o:title=""/>
            <o:lock v:ext="edit" aspectratio="t"/>
            <w10:wrap type="none"/>
            <w10:anchorlock/>
          </v:shape>
          <o:OLEObject Type="Embed" ProgID="Equation.3" ShapeID="_x0000_i1034" DrawAspect="Content" ObjectID="_1468075734" r:id="rId41">
            <o:LockedField>false</o:LockedField>
          </o:OLEObject>
        </w:object>
      </w:r>
    </w:p>
    <w:p w14:paraId="4704E604">
      <w:pPr>
        <w:pStyle w:val="51"/>
        <w:rPr>
          <w:color w:val="auto"/>
        </w:rPr>
      </w:pPr>
      <w:r>
        <w:rPr>
          <w:rFonts w:hint="eastAsia"/>
          <w:color w:val="auto"/>
          <w:lang w:val="zh-CN"/>
        </w:rPr>
        <w:t>式中：</w:t>
      </w:r>
      <w:r>
        <w:rPr>
          <w:i/>
          <w:color w:val="auto"/>
          <w:lang w:val="zh-CN"/>
        </w:rPr>
        <w:t>ε</w:t>
      </w:r>
      <w:r>
        <w:rPr>
          <w:i/>
          <w:color w:val="auto"/>
          <w:sz w:val="22"/>
          <w:vertAlign w:val="subscript"/>
          <w:lang w:val="zh-CN"/>
        </w:rPr>
        <w:t>0</w:t>
      </w:r>
      <w:r>
        <w:rPr>
          <w:color w:val="auto"/>
          <w:lang w:val="zh-CN"/>
        </w:rPr>
        <w:t>——</w:t>
      </w:r>
      <w:r>
        <w:rPr>
          <w:rFonts w:hint="eastAsia"/>
          <w:color w:val="auto"/>
          <w:lang w:val="zh-CN"/>
        </w:rPr>
        <w:t>真空介电常数，</w:t>
      </w:r>
      <w:r>
        <w:rPr>
          <w:color w:val="auto"/>
        </w:rPr>
        <w:object>
          <v:shape id="_x0000_i1035" o:spt="75" type="#_x0000_t75" style="height:25.75pt;width:88.3pt;" o:ole="t" filled="f" o:preferrelative="t" stroked="f" coordsize="21600,21600">
            <v:path/>
            <v:fill on="f" focussize="0,0"/>
            <v:stroke on="f" joinstyle="miter"/>
            <v:imagedata r:id="rId44" o:title=""/>
            <o:lock v:ext="edit" aspectratio="t"/>
            <w10:wrap type="none"/>
            <w10:anchorlock/>
          </v:shape>
          <o:OLEObject Type="Embed" ProgID="Equation.3" ShapeID="_x0000_i1035" DrawAspect="Content" ObjectID="_1468075735" r:id="rId43">
            <o:LockedField>false</o:LockedField>
          </o:OLEObject>
        </w:object>
      </w:r>
      <w:r>
        <w:rPr>
          <w:rFonts w:hint="eastAsia"/>
          <w:color w:val="auto"/>
        </w:rPr>
        <w:t>；</w:t>
      </w:r>
    </w:p>
    <w:p w14:paraId="21F91107">
      <w:pPr>
        <w:pStyle w:val="51"/>
        <w:ind w:firstLine="1200" w:firstLineChars="500"/>
        <w:rPr>
          <w:color w:val="auto"/>
          <w:lang w:val="zh-CN"/>
        </w:rPr>
      </w:pPr>
      <w:r>
        <w:rPr>
          <w:i/>
          <w:color w:val="auto"/>
        </w:rPr>
        <w:t>R</w:t>
      </w:r>
      <w:r>
        <w:rPr>
          <w:i/>
          <w:color w:val="auto"/>
          <w:vertAlign w:val="subscript"/>
        </w:rPr>
        <w:t>i</w:t>
      </w:r>
      <w:r>
        <w:rPr>
          <w:color w:val="auto"/>
        </w:rPr>
        <w:t>——</w:t>
      </w:r>
      <w:r>
        <w:rPr>
          <w:rFonts w:hint="eastAsia"/>
          <w:color w:val="auto"/>
          <w:lang w:val="zh-CN"/>
        </w:rPr>
        <w:t>输电导线半径，本项目为</w:t>
      </w:r>
      <w:r>
        <w:rPr>
          <w:rFonts w:hint="eastAsia"/>
          <w:color w:val="auto"/>
        </w:rPr>
        <w:t>双</w:t>
      </w:r>
      <w:r>
        <w:rPr>
          <w:rFonts w:hint="eastAsia"/>
          <w:color w:val="auto"/>
          <w:lang w:val="zh-CN"/>
        </w:rPr>
        <w:t>路220kV架空输电线路，导线</w:t>
      </w:r>
      <w:r>
        <w:rPr>
          <w:rFonts w:hint="eastAsia"/>
          <w:color w:val="auto"/>
        </w:rPr>
        <w:t>垂直</w:t>
      </w:r>
      <w:r>
        <w:rPr>
          <w:rFonts w:hint="eastAsia"/>
          <w:color w:val="auto"/>
          <w:lang w:val="zh-CN"/>
        </w:rPr>
        <w:t>状架设，</w:t>
      </w:r>
      <w:r>
        <w:rPr>
          <w:rFonts w:hint="eastAsia"/>
          <w:color w:val="auto"/>
        </w:rPr>
        <w:t>二</w:t>
      </w:r>
      <w:r>
        <w:rPr>
          <w:rFonts w:hint="eastAsia"/>
          <w:color w:val="auto"/>
          <w:lang w:val="zh-CN"/>
        </w:rPr>
        <w:t>分裂导线。</w:t>
      </w:r>
    </w:p>
    <w:p w14:paraId="6B0F10C2">
      <w:pPr>
        <w:pStyle w:val="51"/>
        <w:ind w:firstLine="1200" w:firstLineChars="500"/>
        <w:rPr>
          <w:color w:val="auto"/>
        </w:rPr>
      </w:pPr>
      <w:r>
        <w:rPr>
          <w:rFonts w:hint="eastAsia"/>
          <w:color w:val="auto"/>
          <w:lang w:val="zh-CN"/>
        </w:rPr>
        <w:t>对于分裂导线可用等效单根导线半径代入</w:t>
      </w:r>
      <w:r>
        <w:rPr>
          <w:rFonts w:hint="eastAsia"/>
          <w:color w:val="auto"/>
        </w:rPr>
        <w:t>，</w:t>
      </w:r>
      <w:r>
        <w:rPr>
          <w:i/>
          <w:color w:val="auto"/>
        </w:rPr>
        <w:t>R</w:t>
      </w:r>
      <w:r>
        <w:rPr>
          <w:i/>
          <w:color w:val="auto"/>
          <w:vertAlign w:val="subscript"/>
        </w:rPr>
        <w:t>i</w:t>
      </w:r>
      <w:r>
        <w:rPr>
          <w:rFonts w:hint="eastAsia"/>
          <w:color w:val="auto"/>
        </w:rPr>
        <w:t>的计算式为：</w:t>
      </w:r>
      <w:bookmarkStart w:id="118" w:name="_Toc141414698"/>
    </w:p>
    <w:p w14:paraId="3C02CCCD">
      <w:pPr>
        <w:pStyle w:val="51"/>
        <w:ind w:firstLine="0" w:firstLineChars="0"/>
        <w:jc w:val="center"/>
        <w:rPr>
          <w:rStyle w:val="54"/>
          <w:color w:val="auto"/>
        </w:rPr>
      </w:pPr>
      <w:r>
        <w:rPr>
          <w:rStyle w:val="54"/>
          <w:color w:val="auto"/>
        </w:rPr>
        <w:object>
          <v:shape id="_x0000_i1036" o:spt="75" type="#_x0000_t75" style="height:33.55pt;width:63.4pt;" o:ole="t" filled="f" o:preferrelative="t" stroked="f" coordsize="21600,21600">
            <v:path/>
            <v:fill on="f" focussize="0,0"/>
            <v:stroke on="f" joinstyle="miter"/>
            <v:imagedata r:id="rId46" o:title=""/>
            <o:lock v:ext="edit" aspectratio="t"/>
            <w10:wrap type="none"/>
            <w10:anchorlock/>
          </v:shape>
          <o:OLEObject Type="Embed" ProgID="Equation.3" ShapeID="_x0000_i1036" DrawAspect="Content" ObjectID="_1468075736" r:id="rId45">
            <o:LockedField>false</o:LockedField>
          </o:OLEObject>
        </w:object>
      </w:r>
      <w:bookmarkEnd w:id="118"/>
    </w:p>
    <w:p w14:paraId="5277A4B8">
      <w:pPr>
        <w:pStyle w:val="51"/>
        <w:rPr>
          <w:color w:val="auto"/>
        </w:rPr>
      </w:pPr>
      <w:r>
        <w:rPr>
          <w:rFonts w:hint="eastAsia"/>
          <w:color w:val="auto"/>
        </w:rPr>
        <w:t>式中：</w:t>
      </w:r>
      <w:r>
        <w:rPr>
          <w:i/>
          <w:color w:val="auto"/>
        </w:rPr>
        <w:t>R</w:t>
      </w:r>
      <w:r>
        <w:rPr>
          <w:color w:val="auto"/>
        </w:rPr>
        <w:t>——</w:t>
      </w:r>
      <w:r>
        <w:rPr>
          <w:rFonts w:hint="eastAsia"/>
          <w:color w:val="auto"/>
        </w:rPr>
        <w:t>分裂导线半径，m；</w:t>
      </w:r>
    </w:p>
    <w:p w14:paraId="52F7154A">
      <w:pPr>
        <w:pStyle w:val="51"/>
        <w:ind w:firstLine="1200" w:firstLineChars="500"/>
        <w:rPr>
          <w:color w:val="auto"/>
        </w:rPr>
      </w:pPr>
      <w:r>
        <w:rPr>
          <w:i/>
          <w:color w:val="auto"/>
        </w:rPr>
        <w:t>n</w:t>
      </w:r>
      <w:r>
        <w:rPr>
          <w:color w:val="auto"/>
        </w:rPr>
        <w:t>——</w:t>
      </w:r>
      <w:r>
        <w:rPr>
          <w:rFonts w:hint="eastAsia"/>
          <w:color w:val="auto"/>
        </w:rPr>
        <w:t>次导线根数；</w:t>
      </w:r>
    </w:p>
    <w:p w14:paraId="6BF887AE">
      <w:pPr>
        <w:pStyle w:val="51"/>
        <w:ind w:firstLine="1200" w:firstLineChars="500"/>
        <w:rPr>
          <w:color w:val="auto"/>
        </w:rPr>
      </w:pPr>
      <w:r>
        <w:rPr>
          <w:i/>
          <w:color w:val="auto"/>
        </w:rPr>
        <w:t>r</w:t>
      </w:r>
      <w:r>
        <w:rPr>
          <w:color w:val="auto"/>
        </w:rPr>
        <w:t>——</w:t>
      </w:r>
      <w:r>
        <w:rPr>
          <w:rFonts w:hint="eastAsia"/>
          <w:color w:val="auto"/>
        </w:rPr>
        <w:t>次导线半径，m。</w:t>
      </w:r>
    </w:p>
    <w:p w14:paraId="387A0936">
      <w:pPr>
        <w:pStyle w:val="51"/>
        <w:rPr>
          <w:color w:val="auto"/>
          <w:lang w:val="zh-CN"/>
        </w:rPr>
      </w:pPr>
      <w:r>
        <w:rPr>
          <w:rFonts w:hint="eastAsia"/>
          <w:color w:val="auto"/>
          <w:lang w:val="zh-CN"/>
        </w:rPr>
        <w:t>由[U]矩阵和[λ]矩阵，利用式等效电荷矩阵方程即可解出[Q]矩阵。空间任意一点的电场强度可根据叠加原理计算得出，在（x，y）点的电场强度分量</w:t>
      </w:r>
      <w:r>
        <w:rPr>
          <w:i/>
          <w:color w:val="auto"/>
          <w:lang w:val="zh-CN"/>
        </w:rPr>
        <w:t>Ex</w:t>
      </w:r>
      <w:r>
        <w:rPr>
          <w:rFonts w:hint="eastAsia"/>
          <w:color w:val="auto"/>
          <w:lang w:val="zh-CN"/>
        </w:rPr>
        <w:t>和</w:t>
      </w:r>
      <w:r>
        <w:rPr>
          <w:i/>
          <w:color w:val="auto"/>
          <w:lang w:val="zh-CN"/>
        </w:rPr>
        <w:t>Ey</w:t>
      </w:r>
      <w:r>
        <w:rPr>
          <w:rFonts w:hint="eastAsia"/>
          <w:color w:val="auto"/>
          <w:lang w:val="zh-CN"/>
        </w:rPr>
        <w:t>可表示为：</w:t>
      </w:r>
    </w:p>
    <w:p w14:paraId="3CC01EC8">
      <w:pPr>
        <w:pStyle w:val="81"/>
        <w:spacing w:before="156" w:beforeLines="50"/>
        <w:rPr>
          <w:rFonts w:hint="default" w:ascii="Times New Roman" w:hAnsi="Times New Roman" w:cs="Times New Roman"/>
        </w:rPr>
      </w:pPr>
    </w:p>
    <w:p w14:paraId="3169A10B">
      <w:pPr>
        <w:pStyle w:val="81"/>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drawing>
          <wp:inline distT="0" distB="0" distL="114300" distR="114300">
            <wp:extent cx="2118360" cy="1929130"/>
            <wp:effectExtent l="0" t="0" r="15240" b="13970"/>
            <wp:docPr id="4" name="图片 41"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1" descr="001"/>
                    <pic:cNvPicPr>
                      <a:picLocks noChangeAspect="1"/>
                    </pic:cNvPicPr>
                  </pic:nvPicPr>
                  <pic:blipFill>
                    <a:blip r:embed="rId47"/>
                    <a:stretch>
                      <a:fillRect/>
                    </a:stretch>
                  </pic:blipFill>
                  <pic:spPr>
                    <a:xfrm>
                      <a:off x="0" y="0"/>
                      <a:ext cx="2118360" cy="1929130"/>
                    </a:xfrm>
                    <a:prstGeom prst="rect">
                      <a:avLst/>
                    </a:prstGeom>
                    <a:noFill/>
                    <a:ln>
                      <a:noFill/>
                    </a:ln>
                  </pic:spPr>
                </pic:pic>
              </a:graphicData>
            </a:graphic>
          </wp:inline>
        </w:drawing>
      </w:r>
      <w:r>
        <w:rPr>
          <w:rFonts w:hint="default" w:ascii="Times New Roman" w:hAnsi="Times New Roman" w:cs="Times New Roman"/>
          <w:sz w:val="21"/>
          <w:szCs w:val="21"/>
        </w:rPr>
        <w:t xml:space="preserve">       </w:t>
      </w:r>
      <w:r>
        <w:rPr>
          <w:rFonts w:hint="default" w:ascii="Times New Roman" w:hAnsi="Times New Roman" w:cs="Times New Roman"/>
          <w:sz w:val="21"/>
          <w:szCs w:val="21"/>
        </w:rPr>
        <w:drawing>
          <wp:inline distT="0" distB="0" distL="114300" distR="114300">
            <wp:extent cx="2064385" cy="1885315"/>
            <wp:effectExtent l="0" t="0" r="12065" b="635"/>
            <wp:docPr id="5" name="图片 42"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2" descr="02"/>
                    <pic:cNvPicPr>
                      <a:picLocks noChangeAspect="1"/>
                    </pic:cNvPicPr>
                  </pic:nvPicPr>
                  <pic:blipFill>
                    <a:blip r:embed="rId48"/>
                    <a:stretch>
                      <a:fillRect/>
                    </a:stretch>
                  </pic:blipFill>
                  <pic:spPr>
                    <a:xfrm>
                      <a:off x="0" y="0"/>
                      <a:ext cx="2064385" cy="1885315"/>
                    </a:xfrm>
                    <a:prstGeom prst="rect">
                      <a:avLst/>
                    </a:prstGeom>
                    <a:noFill/>
                    <a:ln>
                      <a:noFill/>
                    </a:ln>
                  </pic:spPr>
                </pic:pic>
              </a:graphicData>
            </a:graphic>
          </wp:inline>
        </w:drawing>
      </w:r>
    </w:p>
    <w:p w14:paraId="3C53FA4A">
      <w:pPr>
        <w:pStyle w:val="83"/>
      </w:pPr>
      <w:r>
        <w:rPr>
          <w:rFonts w:hint="eastAsia"/>
        </w:rPr>
        <w:t>图4-3  电位系数计算图                  图4-4  等效半径计算图</w:t>
      </w:r>
    </w:p>
    <w:p w14:paraId="7CB5B3CF">
      <w:pPr>
        <w:pStyle w:val="51"/>
        <w:jc w:val="center"/>
        <w:rPr>
          <w:color w:val="auto"/>
        </w:rPr>
      </w:pPr>
      <w:r>
        <w:rPr>
          <w:color w:val="auto"/>
        </w:rPr>
        <w:object>
          <v:shape id="_x0000_i1037" o:spt="75" type="#_x0000_t75" style="height:44pt;width:165pt;" o:ole="t" filled="f" o:preferrelative="t" stroked="f" coordsize="21600,21600">
            <v:path/>
            <v:fill on="f" focussize="0,0"/>
            <v:stroke on="f" joinstyle="miter"/>
            <v:imagedata r:id="rId50" o:title=""/>
            <o:lock v:ext="edit" aspectratio="t"/>
            <w10:wrap type="none"/>
            <w10:anchorlock/>
          </v:shape>
          <o:OLEObject Type="Embed" ProgID="Equation.3" ShapeID="_x0000_i1037" DrawAspect="Content" ObjectID="_1468075737" r:id="rId49">
            <o:LockedField>false</o:LockedField>
          </o:OLEObject>
        </w:object>
      </w:r>
    </w:p>
    <w:p w14:paraId="61BFFE9D">
      <w:pPr>
        <w:pStyle w:val="51"/>
        <w:jc w:val="center"/>
        <w:rPr>
          <w:color w:val="auto"/>
        </w:rPr>
      </w:pPr>
      <w:r>
        <w:rPr>
          <w:color w:val="auto"/>
          <w:position w:val="-30"/>
        </w:rPr>
        <w:object>
          <v:shape id="_x0000_i1038" o:spt="75" type="#_x0000_t75" style="height:35.65pt;width:170pt;" o:ole="t" filled="f" o:preferrelative="t" stroked="f" coordsize="21600,21600">
            <v:path/>
            <v:fill on="f" focussize="0,0"/>
            <v:stroke on="f" joinstyle="miter"/>
            <v:imagedata r:id="rId52" o:title=""/>
            <o:lock v:ext="edit" aspectratio="t"/>
            <w10:wrap type="none"/>
            <w10:anchorlock/>
          </v:shape>
          <o:OLEObject Type="Embed" ProgID="Equation.3" ShapeID="_x0000_i1038" DrawAspect="Content" ObjectID="_1468075738" r:id="rId51">
            <o:LockedField>false</o:LockedField>
          </o:OLEObject>
        </w:object>
      </w:r>
    </w:p>
    <w:p w14:paraId="1D97B4F7">
      <w:pPr>
        <w:pStyle w:val="51"/>
        <w:rPr>
          <w:color w:val="auto"/>
          <w:lang w:val="zh-CN"/>
        </w:rPr>
      </w:pPr>
      <w:r>
        <w:rPr>
          <w:rFonts w:hint="eastAsia"/>
          <w:color w:val="auto"/>
        </w:rPr>
        <w:t>式中</w:t>
      </w:r>
      <w:r>
        <w:rPr>
          <w:rFonts w:hint="eastAsia"/>
          <w:color w:val="auto"/>
          <w:lang w:val="zh-CN"/>
        </w:rPr>
        <w:t>：</w:t>
      </w:r>
      <w:r>
        <w:rPr>
          <w:i/>
          <w:color w:val="auto"/>
          <w:lang w:val="zh-CN"/>
        </w:rPr>
        <w:t>x</w:t>
      </w:r>
      <w:r>
        <w:rPr>
          <w:i/>
          <w:color w:val="auto"/>
          <w:vertAlign w:val="subscript"/>
          <w:lang w:val="zh-CN"/>
        </w:rPr>
        <w:t>i</w:t>
      </w:r>
      <w:r>
        <w:rPr>
          <w:rFonts w:hint="eastAsia"/>
          <w:color w:val="auto"/>
          <w:lang w:val="zh-CN"/>
        </w:rPr>
        <w:t>，</w:t>
      </w:r>
      <w:r>
        <w:rPr>
          <w:i/>
          <w:color w:val="auto"/>
          <w:lang w:val="zh-CN"/>
        </w:rPr>
        <w:t xml:space="preserve"> y</w:t>
      </w:r>
      <w:r>
        <w:rPr>
          <w:i/>
          <w:color w:val="auto"/>
          <w:vertAlign w:val="subscript"/>
          <w:lang w:val="zh-CN"/>
        </w:rPr>
        <w:t>i</w:t>
      </w:r>
      <w:r>
        <w:rPr>
          <w:color w:val="auto"/>
          <w:vertAlign w:val="subscript"/>
          <w:lang w:val="zh-CN"/>
        </w:rPr>
        <w:t xml:space="preserve"> </w:t>
      </w:r>
      <w:r>
        <w:rPr>
          <w:color w:val="auto"/>
          <w:lang w:val="zh-CN"/>
        </w:rPr>
        <w:t>——</w:t>
      </w:r>
      <w:r>
        <w:rPr>
          <w:rFonts w:hint="eastAsia"/>
          <w:color w:val="auto"/>
          <w:lang w:val="zh-CN"/>
        </w:rPr>
        <w:t>导线i的坐标（i=1、2、…m）；</w:t>
      </w:r>
    </w:p>
    <w:p w14:paraId="600618BB">
      <w:pPr>
        <w:pStyle w:val="51"/>
        <w:ind w:firstLine="1200" w:firstLineChars="500"/>
        <w:rPr>
          <w:color w:val="auto"/>
          <w:lang w:val="zh-CN"/>
        </w:rPr>
      </w:pPr>
      <w:r>
        <w:rPr>
          <w:i/>
          <w:color w:val="auto"/>
          <w:lang w:val="zh-CN"/>
        </w:rPr>
        <w:t xml:space="preserve">m </w:t>
      </w:r>
      <w:r>
        <w:rPr>
          <w:color w:val="auto"/>
          <w:lang w:val="zh-CN"/>
        </w:rPr>
        <w:t>——</w:t>
      </w:r>
      <w:r>
        <w:rPr>
          <w:rFonts w:hint="eastAsia"/>
          <w:color w:val="auto"/>
          <w:lang w:val="zh-CN"/>
        </w:rPr>
        <w:t>导线数目；</w:t>
      </w:r>
    </w:p>
    <w:p w14:paraId="64EFB631">
      <w:pPr>
        <w:pStyle w:val="51"/>
        <w:ind w:firstLine="1200" w:firstLineChars="500"/>
        <w:rPr>
          <w:color w:val="auto"/>
          <w:lang w:val="zh-CN"/>
        </w:rPr>
      </w:pPr>
      <w:r>
        <w:rPr>
          <w:i/>
          <w:color w:val="auto"/>
          <w:lang w:val="zh-CN"/>
        </w:rPr>
        <w:t>L</w:t>
      </w:r>
      <w:r>
        <w:rPr>
          <w:i/>
          <w:color w:val="auto"/>
          <w:vertAlign w:val="subscript"/>
          <w:lang w:val="zh-CN"/>
        </w:rPr>
        <w:t>i</w:t>
      </w:r>
      <w:r>
        <w:rPr>
          <w:i/>
          <w:color w:val="auto"/>
          <w:lang w:val="zh-CN"/>
        </w:rPr>
        <w:t xml:space="preserve"> </w:t>
      </w:r>
      <w:r>
        <w:rPr>
          <w:rFonts w:hint="eastAsia"/>
          <w:i/>
          <w:color w:val="auto"/>
          <w:lang w:val="zh-CN"/>
        </w:rPr>
        <w:t>，L</w:t>
      </w:r>
      <w:r>
        <w:rPr>
          <w:i/>
          <w:color w:val="auto"/>
          <w:vertAlign w:val="subscript"/>
          <w:lang w:val="zh-CN"/>
        </w:rPr>
        <w:t xml:space="preserve">'i </w:t>
      </w:r>
      <w:r>
        <w:rPr>
          <w:color w:val="auto"/>
          <w:lang w:val="zh-CN"/>
        </w:rPr>
        <w:t>——</w:t>
      </w:r>
      <w:r>
        <w:rPr>
          <w:rFonts w:hint="eastAsia"/>
          <w:color w:val="auto"/>
          <w:lang w:val="zh-CN"/>
        </w:rPr>
        <w:t>分别为导线i及其镜像至计算点的距离，m。</w:t>
      </w:r>
    </w:p>
    <w:p w14:paraId="5B2D6418">
      <w:pPr>
        <w:pStyle w:val="51"/>
        <w:rPr>
          <w:color w:val="auto"/>
          <w:lang w:val="zh-CN"/>
        </w:rPr>
      </w:pPr>
      <w:r>
        <w:rPr>
          <w:rFonts w:hint="eastAsia"/>
          <w:color w:val="auto"/>
          <w:lang w:val="zh-CN"/>
        </w:rPr>
        <w:t>对于三相交流线路，可根据求得的电荷计算空间任一点电场强度的水平和垂直分量为：</w:t>
      </w:r>
    </w:p>
    <w:p w14:paraId="7765D4F1">
      <w:pPr>
        <w:pStyle w:val="51"/>
        <w:jc w:val="center"/>
        <w:rPr>
          <w:color w:val="auto"/>
        </w:rPr>
      </w:pPr>
      <w:r>
        <w:rPr>
          <w:color w:val="auto"/>
          <w:position w:val="-28"/>
        </w:rPr>
        <w:object>
          <v:shape id="_x0000_i1039" o:spt="75" type="#_x0000_t75" style="height:34pt;width:114.15pt;" o:ole="t" filled="f" o:preferrelative="t" stroked="f" coordsize="21600,21600">
            <v:path/>
            <v:fill on="f" focussize="0,0"/>
            <v:stroke on="f" joinstyle="miter"/>
            <v:imagedata r:id="rId54" o:title=""/>
            <o:lock v:ext="edit" aspectratio="t"/>
            <w10:wrap type="none"/>
            <w10:anchorlock/>
          </v:shape>
          <o:OLEObject Type="Embed" ProgID="Equation.3" ShapeID="_x0000_i1039" DrawAspect="Content" ObjectID="_1468075739" r:id="rId53">
            <o:LockedField>false</o:LockedField>
          </o:OLEObject>
        </w:object>
      </w:r>
    </w:p>
    <w:p w14:paraId="18A714CB">
      <w:pPr>
        <w:pStyle w:val="51"/>
        <w:jc w:val="center"/>
        <w:rPr>
          <w:color w:val="auto"/>
        </w:rPr>
      </w:pPr>
      <w:r>
        <w:rPr>
          <w:color w:val="auto"/>
        </w:rPr>
        <w:t xml:space="preserve">= </w:t>
      </w:r>
      <w:r>
        <w:rPr>
          <w:color w:val="auto"/>
          <w:position w:val="-12"/>
        </w:rPr>
        <w:object>
          <v:shape id="_x0000_i1040" o:spt="75" type="#_x0000_t75" style="height:18.15pt;width:53pt;" o:ole="t" filled="f" o:preferrelative="t" stroked="f" coordsize="21600,21600">
            <v:path/>
            <v:fill on="f" focussize="0,0"/>
            <v:stroke on="f" joinstyle="miter"/>
            <v:imagedata r:id="rId56" o:title=""/>
            <o:lock v:ext="edit" aspectratio="t"/>
            <w10:wrap type="none"/>
            <w10:anchorlock/>
          </v:shape>
          <o:OLEObject Type="Embed" ProgID="Equation.3" ShapeID="_x0000_i1040" DrawAspect="Content" ObjectID="_1468075740" r:id="rId55">
            <o:LockedField>false</o:LockedField>
          </o:OLEObject>
        </w:object>
      </w:r>
    </w:p>
    <w:p w14:paraId="5CD5714F">
      <w:pPr>
        <w:pStyle w:val="51"/>
        <w:jc w:val="center"/>
        <w:rPr>
          <w:color w:val="auto"/>
        </w:rPr>
      </w:pPr>
      <w:r>
        <w:rPr>
          <w:color w:val="auto"/>
          <w:position w:val="-28"/>
        </w:rPr>
        <w:object>
          <v:shape id="_x0000_i1041" o:spt="75" type="#_x0000_t75" style="height:34pt;width:114.15pt;" o:ole="t" filled="f" o:preferrelative="t" stroked="f" coordsize="21600,21600">
            <v:path/>
            <v:fill on="f" focussize="0,0"/>
            <v:stroke on="f" joinstyle="miter"/>
            <v:imagedata r:id="rId58" o:title=""/>
            <o:lock v:ext="edit" aspectratio="t"/>
            <w10:wrap type="none"/>
            <w10:anchorlock/>
          </v:shape>
          <o:OLEObject Type="Embed" ProgID="Equation.3" ShapeID="_x0000_i1041" DrawAspect="Content" ObjectID="_1468075741" r:id="rId57">
            <o:LockedField>false</o:LockedField>
          </o:OLEObject>
        </w:object>
      </w:r>
    </w:p>
    <w:p w14:paraId="0368BB12">
      <w:pPr>
        <w:pStyle w:val="51"/>
        <w:jc w:val="center"/>
        <w:rPr>
          <w:color w:val="auto"/>
        </w:rPr>
      </w:pPr>
      <w:r>
        <w:rPr>
          <w:color w:val="auto"/>
        </w:rPr>
        <w:t xml:space="preserve">= </w:t>
      </w:r>
      <w:r>
        <w:rPr>
          <w:color w:val="auto"/>
          <w:position w:val="-14"/>
        </w:rPr>
        <w:object>
          <v:shape id="_x0000_i1042" o:spt="75" type="#_x0000_t75" style="height:19pt;width:53.5pt;" o:ole="t" filled="f" o:preferrelative="t" stroked="f" coordsize="21600,21600">
            <v:path/>
            <v:fill on="f" focussize="0,0"/>
            <v:stroke on="f" joinstyle="miter"/>
            <v:imagedata r:id="rId60" o:title=""/>
            <o:lock v:ext="edit" aspectratio="t"/>
            <w10:wrap type="none"/>
            <w10:anchorlock/>
          </v:shape>
          <o:OLEObject Type="Embed" ProgID="Equation.3" ShapeID="_x0000_i1042" DrawAspect="Content" ObjectID="_1468075742" r:id="rId59">
            <o:LockedField>false</o:LockedField>
          </o:OLEObject>
        </w:object>
      </w:r>
    </w:p>
    <w:p w14:paraId="63DD4D12">
      <w:pPr>
        <w:pStyle w:val="51"/>
        <w:rPr>
          <w:color w:val="auto"/>
        </w:rPr>
      </w:pPr>
      <w:r>
        <w:rPr>
          <w:rFonts w:hint="eastAsia"/>
          <w:color w:val="auto"/>
        </w:rPr>
        <w:t>式中：</w:t>
      </w:r>
      <w:r>
        <w:rPr>
          <w:color w:val="auto"/>
          <w:position w:val="-12"/>
        </w:rPr>
        <w:object>
          <v:shape id="_x0000_i1043" o:spt="75" type="#_x0000_t75" style="height:18.2pt;width:19.85pt;" o:ole="t" filled="f" o:preferrelative="t" stroked="f" coordsize="21600,21600">
            <v:path/>
            <v:fill on="f" focussize="0,0"/>
            <v:stroke on="f" joinstyle="miter"/>
            <v:imagedata r:id="rId62" o:title=""/>
            <o:lock v:ext="edit" aspectratio="t"/>
            <w10:wrap type="none"/>
            <w10:anchorlock/>
          </v:shape>
          <o:OLEObject Type="Embed" ProgID="Equation.3" ShapeID="_x0000_i1043" DrawAspect="Content" ObjectID="_1468075743" r:id="rId61">
            <o:LockedField>false</o:LockedField>
          </o:OLEObject>
        </w:object>
      </w:r>
      <w:r>
        <w:rPr>
          <w:color w:val="auto"/>
          <w:vertAlign w:val="subscript"/>
        </w:rPr>
        <w:t>————</w:t>
      </w:r>
      <w:r>
        <w:rPr>
          <w:rFonts w:hint="eastAsia"/>
          <w:color w:val="auto"/>
        </w:rPr>
        <w:t>由各导线的实部电荷在该点产生场强的水平分量；</w:t>
      </w:r>
    </w:p>
    <w:p w14:paraId="3BE299D6">
      <w:pPr>
        <w:pStyle w:val="51"/>
        <w:ind w:firstLine="1200" w:firstLineChars="500"/>
        <w:rPr>
          <w:color w:val="auto"/>
        </w:rPr>
      </w:pPr>
      <w:r>
        <w:rPr>
          <w:color w:val="auto"/>
          <w:position w:val="-12"/>
        </w:rPr>
        <w:object>
          <v:shape id="_x0000_i1044" o:spt="75" type="#_x0000_t75" style="height:18.25pt;width:19.05pt;" o:ole="t" filled="f" o:preferrelative="t" stroked="f" coordsize="21600,21600">
            <v:path/>
            <v:fill on="f" focussize="0,0"/>
            <v:stroke on="f" joinstyle="miter"/>
            <v:imagedata r:id="rId64" o:title=""/>
            <o:lock v:ext="edit" aspectratio="t"/>
            <w10:wrap type="none"/>
            <w10:anchorlock/>
          </v:shape>
          <o:OLEObject Type="Embed" ProgID="Equation.3" ShapeID="_x0000_i1044" DrawAspect="Content" ObjectID="_1468075744" r:id="rId63">
            <o:LockedField>false</o:LockedField>
          </o:OLEObject>
        </w:object>
      </w:r>
      <w:r>
        <w:rPr>
          <w:color w:val="auto"/>
          <w:vertAlign w:val="subscript"/>
        </w:rPr>
        <w:t>————</w:t>
      </w:r>
      <w:r>
        <w:rPr>
          <w:rFonts w:hint="eastAsia"/>
          <w:color w:val="auto"/>
        </w:rPr>
        <w:t>由各导线的虚部电荷在该点产生场强的水平分量；</w:t>
      </w:r>
    </w:p>
    <w:p w14:paraId="7F34689A">
      <w:pPr>
        <w:pStyle w:val="51"/>
        <w:ind w:firstLine="1200" w:firstLineChars="500"/>
        <w:rPr>
          <w:color w:val="auto"/>
        </w:rPr>
      </w:pPr>
      <w:r>
        <w:rPr>
          <w:color w:val="auto"/>
          <w:position w:val="-14"/>
        </w:rPr>
        <w:object>
          <v:shape id="_x0000_i1045" o:spt="75" type="#_x0000_t75" style="height:19.05pt;width:19.85pt;" o:ole="t" filled="f" o:preferrelative="t" stroked="f" coordsize="21600,21600">
            <v:path/>
            <v:fill on="f" focussize="0,0"/>
            <v:stroke on="f" joinstyle="miter"/>
            <v:imagedata r:id="rId66" o:title=""/>
            <o:lock v:ext="edit" aspectratio="t"/>
            <w10:wrap type="none"/>
            <w10:anchorlock/>
          </v:shape>
          <o:OLEObject Type="Embed" ProgID="Equation.3" ShapeID="_x0000_i1045" DrawAspect="Content" ObjectID="_1468075745" r:id="rId65">
            <o:LockedField>false</o:LockedField>
          </o:OLEObject>
        </w:object>
      </w:r>
      <w:r>
        <w:rPr>
          <w:color w:val="auto"/>
          <w:vertAlign w:val="subscript"/>
        </w:rPr>
        <w:t>————</w:t>
      </w:r>
      <w:r>
        <w:rPr>
          <w:rFonts w:hint="eastAsia"/>
          <w:color w:val="auto"/>
        </w:rPr>
        <w:t>由各导线的实部电荷在该点产生场强的垂直分量；</w:t>
      </w:r>
    </w:p>
    <w:p w14:paraId="189DCF30">
      <w:pPr>
        <w:pStyle w:val="51"/>
        <w:ind w:firstLine="1200" w:firstLineChars="500"/>
        <w:rPr>
          <w:color w:val="auto"/>
        </w:rPr>
      </w:pPr>
      <w:r>
        <w:rPr>
          <w:color w:val="auto"/>
          <w:position w:val="-14"/>
        </w:rPr>
        <w:object>
          <v:shape id="_x0000_i1046" o:spt="75" type="#_x0000_t75" style="height:19.05pt;width:19.05pt;" o:ole="t" filled="f" o:preferrelative="t" stroked="f" coordsize="21600,21600">
            <v:path/>
            <v:fill on="f" focussize="0,0"/>
            <v:stroke on="f" joinstyle="miter"/>
            <v:imagedata r:id="rId68" o:title=""/>
            <o:lock v:ext="edit" aspectratio="t"/>
            <w10:wrap type="none"/>
            <w10:anchorlock/>
          </v:shape>
          <o:OLEObject Type="Embed" ProgID="Equation.3" ShapeID="_x0000_i1046" DrawAspect="Content" ObjectID="_1468075746" r:id="rId67">
            <o:LockedField>false</o:LockedField>
          </o:OLEObject>
        </w:object>
      </w:r>
      <w:r>
        <w:rPr>
          <w:color w:val="auto"/>
          <w:vertAlign w:val="subscript"/>
        </w:rPr>
        <w:t>————</w:t>
      </w:r>
      <w:r>
        <w:rPr>
          <w:rFonts w:hint="eastAsia"/>
          <w:color w:val="auto"/>
        </w:rPr>
        <w:t>由各导线的虚部电荷在该点产生场强的垂直分量。</w:t>
      </w:r>
    </w:p>
    <w:p w14:paraId="792225FF">
      <w:pPr>
        <w:pStyle w:val="51"/>
        <w:rPr>
          <w:color w:val="auto"/>
          <w:lang w:val="zh-CN"/>
        </w:rPr>
      </w:pPr>
      <w:r>
        <w:rPr>
          <w:rFonts w:hint="eastAsia"/>
          <w:color w:val="auto"/>
          <w:lang w:val="zh-CN"/>
        </w:rPr>
        <w:t>该点的合成的电场强度则为：</w:t>
      </w:r>
    </w:p>
    <w:p w14:paraId="2E18A55E">
      <w:pPr>
        <w:pStyle w:val="51"/>
        <w:ind w:firstLine="420"/>
        <w:jc w:val="center"/>
        <w:rPr>
          <w:rStyle w:val="86"/>
          <w:rFonts w:hint="default" w:ascii="Times New Roman"/>
          <w:color w:val="auto"/>
          <w:sz w:val="21"/>
        </w:rPr>
      </w:pPr>
      <w:r>
        <w:rPr>
          <w:color w:val="auto"/>
          <w:position w:val="-12"/>
          <w:sz w:val="21"/>
        </w:rPr>
        <w:object>
          <v:shape id="_x0000_i1047" o:spt="75" type="#_x0000_t75" style="height:19.8pt;width:91.1pt;" o:ole="t" filled="f" o:preferrelative="t" stroked="f" coordsize="21600,21600">
            <v:path/>
            <v:fill on="f" focussize="0,0"/>
            <v:stroke on="f" joinstyle="miter"/>
            <v:imagedata r:id="rId70" o:title=""/>
            <o:lock v:ext="edit" aspectratio="t"/>
            <w10:wrap type="none"/>
            <w10:anchorlock/>
          </v:shape>
          <o:OLEObject Type="Embed" ProgID="Equation.3" ShapeID="_x0000_i1047" DrawAspect="Content" ObjectID="_1468075747" r:id="rId69">
            <o:LockedField>false</o:LockedField>
          </o:OLEObject>
        </w:object>
      </w:r>
      <w:r>
        <w:rPr>
          <w:rStyle w:val="86"/>
          <w:rFonts w:hint="default" w:ascii="Times New Roman"/>
          <w:color w:val="auto"/>
          <w:sz w:val="21"/>
        </w:rPr>
        <w:t xml:space="preserve"> + </w:t>
      </w:r>
      <w:r>
        <w:rPr>
          <w:color w:val="auto"/>
          <w:position w:val="-14"/>
          <w:sz w:val="21"/>
        </w:rPr>
        <w:object>
          <v:shape id="_x0000_i1048" o:spt="75" type="#_x0000_t75" style="height:20.75pt;width:71.1pt;" o:ole="t" filled="f" o:preferrelative="t" stroked="f" coordsize="21600,21600">
            <v:path/>
            <v:fill on="f" focussize="0,0"/>
            <v:stroke on="f" joinstyle="miter"/>
            <v:imagedata r:id="rId72" o:title=""/>
            <o:lock v:ext="edit" aspectratio="t"/>
            <w10:wrap type="none"/>
            <w10:anchorlock/>
          </v:shape>
          <o:OLEObject Type="Embed" ProgID="Equation.3" ShapeID="_x0000_i1048" DrawAspect="Content" ObjectID="_1468075748" r:id="rId71">
            <o:LockedField>false</o:LockedField>
          </o:OLEObject>
        </w:object>
      </w:r>
    </w:p>
    <w:p w14:paraId="028CD933">
      <w:pPr>
        <w:pStyle w:val="51"/>
        <w:ind w:firstLine="2880" w:firstLineChars="1200"/>
        <w:rPr>
          <w:rStyle w:val="86"/>
          <w:rFonts w:hint="default" w:ascii="Times New Roman" w:eastAsia="仿宋_GB2312"/>
          <w:color w:val="auto"/>
          <w:sz w:val="21"/>
        </w:rPr>
      </w:pPr>
      <w:r>
        <w:rPr>
          <w:color w:val="auto"/>
          <w:position w:val="-14"/>
        </w:rPr>
        <w:object>
          <v:shape id="_x0000_i1049" o:spt="75" type="#_x0000_t75" style="height:20.75pt;width:52.05pt;" o:ole="t" filled="f" o:preferrelative="t" stroked="f" coordsize="21600,21600">
            <v:path/>
            <v:fill on="f" focussize="0,0"/>
            <v:stroke on="f" joinstyle="miter"/>
            <v:imagedata r:id="rId74" o:title=""/>
            <o:lock v:ext="edit" aspectratio="t"/>
            <w10:wrap type="none"/>
            <w10:anchorlock/>
          </v:shape>
          <o:OLEObject Type="Embed" ProgID="Equation.3" ShapeID="_x0000_i1049" DrawAspect="Content" ObjectID="_1468075749" r:id="rId73">
            <o:LockedField>false</o:LockedField>
          </o:OLEObject>
        </w:object>
      </w:r>
    </w:p>
    <w:p w14:paraId="70752907">
      <w:pPr>
        <w:pStyle w:val="51"/>
        <w:rPr>
          <w:color w:val="auto"/>
          <w:lang w:val="zh-CN"/>
        </w:rPr>
      </w:pPr>
      <w:r>
        <w:rPr>
          <w:rFonts w:hint="eastAsia"/>
          <w:color w:val="auto"/>
          <w:lang w:val="zh-CN"/>
        </w:rPr>
        <w:t>式中：</w:t>
      </w:r>
    </w:p>
    <w:p w14:paraId="59B3F7E4">
      <w:pPr>
        <w:pStyle w:val="51"/>
        <w:ind w:firstLine="420"/>
        <w:jc w:val="center"/>
        <w:rPr>
          <w:rStyle w:val="86"/>
          <w:rFonts w:hint="default" w:ascii="Times New Roman"/>
          <w:color w:val="auto"/>
          <w:sz w:val="21"/>
        </w:rPr>
      </w:pPr>
      <w:r>
        <w:rPr>
          <w:color w:val="auto"/>
          <w:position w:val="-14"/>
          <w:sz w:val="21"/>
        </w:rPr>
        <w:object>
          <v:shape id="_x0000_i1050" o:spt="75" type="#_x0000_t75" style="height:23.25pt;width:84.25pt;" o:ole="t" filled="f" o:preferrelative="t" stroked="f" coordsize="21600,21600">
            <v:path/>
            <v:fill on="f" focussize="0,0"/>
            <v:stroke on="f" joinstyle="miter"/>
            <v:imagedata r:id="rId76" o:title=""/>
            <o:lock v:ext="edit" aspectratio="t"/>
            <w10:wrap type="none"/>
            <w10:anchorlock/>
          </v:shape>
          <o:OLEObject Type="Embed" ProgID="Equation.3" ShapeID="_x0000_i1050" DrawAspect="Content" ObjectID="_1468075750" r:id="rId75">
            <o:LockedField>false</o:LockedField>
          </o:OLEObject>
        </w:object>
      </w:r>
    </w:p>
    <w:p w14:paraId="6839CA74">
      <w:pPr>
        <w:pStyle w:val="51"/>
        <w:jc w:val="center"/>
        <w:rPr>
          <w:color w:val="auto"/>
        </w:rPr>
      </w:pPr>
      <w:r>
        <w:rPr>
          <w:color w:val="auto"/>
          <w:position w:val="-16"/>
        </w:rPr>
        <w:object>
          <v:shape id="_x0000_i1051" o:spt="75" type="#_x0000_t75" style="height:24pt;width:86.05pt;" o:ole="t" filled="f" o:preferrelative="t" stroked="f" coordsize="21600,21600">
            <v:path/>
            <v:fill on="f" focussize="0,0"/>
            <v:stroke on="f" joinstyle="miter"/>
            <v:imagedata r:id="rId78" o:title=""/>
            <o:lock v:ext="edit" aspectratio="t"/>
            <w10:wrap type="none"/>
            <w10:anchorlock/>
          </v:shape>
          <o:OLEObject Type="Embed" ProgID="Equation.3" ShapeID="_x0000_i1051" DrawAspect="Content" ObjectID="_1468075751" r:id="rId77">
            <o:LockedField>false</o:LockedField>
          </o:OLEObject>
        </w:object>
      </w:r>
    </w:p>
    <w:p w14:paraId="0C18C22C">
      <w:pPr>
        <w:pStyle w:val="51"/>
        <w:ind w:firstLine="482"/>
        <w:rPr>
          <w:b/>
          <w:color w:val="auto"/>
          <w:lang w:val="zh-CN"/>
        </w:rPr>
      </w:pPr>
      <w:r>
        <w:rPr>
          <w:rFonts w:hint="eastAsia"/>
          <w:b/>
          <w:color w:val="auto"/>
        </w:rPr>
        <w:t>（2）工频磁感应强度计算模式</w:t>
      </w:r>
    </w:p>
    <w:p w14:paraId="2CDDD964">
      <w:pPr>
        <w:pStyle w:val="51"/>
        <w:rPr>
          <w:color w:val="auto"/>
          <w:lang w:val="zh-CN"/>
        </w:rPr>
      </w:pPr>
      <w:r>
        <w:rPr>
          <w:rFonts w:hint="eastAsia"/>
          <w:color w:val="auto"/>
          <w:lang w:val="zh-CN"/>
        </w:rPr>
        <w:t>由于工频情况下电磁性能具有准静态特性，线路的磁场仅由电流产生。应用安培定律，将计算结果按矢量叠加，可得出导线周围的磁场强度。</w:t>
      </w:r>
    </w:p>
    <w:p w14:paraId="55E9AF23">
      <w:pPr>
        <w:pStyle w:val="51"/>
        <w:rPr>
          <w:color w:val="auto"/>
          <w:lang w:val="zh-CN"/>
        </w:rPr>
      </w:pPr>
      <w:r>
        <w:rPr>
          <w:rFonts w:hint="eastAsia"/>
          <w:color w:val="auto"/>
          <w:lang w:val="zh-CN"/>
        </w:rPr>
        <w:t>和电场强度计算不同的是关于镜像导线的考虑，与导线所处高度相比这些镜像导线位于地下很深的距离</w:t>
      </w:r>
      <w:r>
        <w:rPr>
          <w:i/>
          <w:color w:val="auto"/>
          <w:lang w:val="zh-CN"/>
        </w:rPr>
        <w:t>d</w:t>
      </w:r>
      <w:r>
        <w:rPr>
          <w:rFonts w:hint="eastAsia"/>
          <w:color w:val="auto"/>
          <w:lang w:val="zh-CN"/>
        </w:rPr>
        <w:t>：</w:t>
      </w:r>
    </w:p>
    <w:p w14:paraId="00F0BB71">
      <w:pPr>
        <w:pStyle w:val="51"/>
        <w:jc w:val="center"/>
        <w:rPr>
          <w:color w:val="auto"/>
        </w:rPr>
      </w:pPr>
      <w:bookmarkStart w:id="119" w:name="_Toc141414704"/>
      <w:r>
        <w:rPr>
          <w:color w:val="auto"/>
        </w:rPr>
        <w:object>
          <v:shape id="_x0000_i1052" o:spt="75" type="#_x0000_t75" style="height:36.25pt;width:60.4pt;" o:ole="t" filled="f" o:preferrelative="t" stroked="f" coordsize="21600,21600">
            <v:path/>
            <v:fill on="f" focussize="0,0"/>
            <v:stroke on="f" joinstyle="miter"/>
            <v:imagedata r:id="rId80" o:title=""/>
            <o:lock v:ext="edit" aspectratio="t"/>
            <w10:wrap type="none"/>
            <w10:anchorlock/>
          </v:shape>
          <o:OLEObject Type="Embed" ProgID="Equation.3" ShapeID="_x0000_i1052" DrawAspect="Content" ObjectID="_1468075752" r:id="rId79">
            <o:LockedField>false</o:LockedField>
          </o:OLEObject>
        </w:object>
      </w:r>
      <w:r>
        <w:rPr>
          <w:color w:val="auto"/>
        </w:rPr>
        <w:t xml:space="preserve"> </w:t>
      </w:r>
      <w:r>
        <w:rPr>
          <w:rFonts w:hint="eastAsia"/>
          <w:color w:val="auto"/>
        </w:rPr>
        <w:t>（m）</w:t>
      </w:r>
      <w:bookmarkEnd w:id="119"/>
    </w:p>
    <w:p w14:paraId="2E539CD8">
      <w:pPr>
        <w:pStyle w:val="51"/>
        <w:rPr>
          <w:color w:val="auto"/>
        </w:rPr>
      </w:pPr>
      <w:r>
        <w:rPr>
          <w:rFonts w:hint="eastAsia"/>
          <w:color w:val="auto"/>
          <w:lang w:val="zh-CN"/>
        </w:rPr>
        <w:t>式中：</w:t>
      </w:r>
      <w:r>
        <w:rPr>
          <w:i/>
          <w:color w:val="auto"/>
        </w:rPr>
        <w:t>ρ</w:t>
      </w:r>
      <w:r>
        <w:rPr>
          <w:color w:val="auto"/>
        </w:rPr>
        <w:t>——</w:t>
      </w:r>
      <w:r>
        <w:rPr>
          <w:rFonts w:hint="eastAsia"/>
          <w:color w:val="auto"/>
          <w:lang w:val="zh-CN"/>
        </w:rPr>
        <w:t>大地电阻率</w:t>
      </w:r>
      <w:r>
        <w:rPr>
          <w:rFonts w:hint="eastAsia"/>
          <w:color w:val="auto"/>
        </w:rPr>
        <w:t>，</w:t>
      </w:r>
      <w:r>
        <w:rPr>
          <w:color w:val="auto"/>
          <w:position w:val="-6"/>
        </w:rPr>
        <w:object>
          <v:shape id="_x0000_i1053" o:spt="75" type="#_x0000_t75" style="height:14.95pt;width:30.25pt;" o:ole="t" filled="f" o:preferrelative="t" stroked="f" coordsize="21600,21600">
            <v:path/>
            <v:fill on="f" focussize="0,0"/>
            <v:stroke on="f" joinstyle="miter"/>
            <v:imagedata r:id="rId82" o:title=""/>
            <o:lock v:ext="edit" aspectratio="t"/>
            <w10:wrap type="none"/>
            <w10:anchorlock/>
          </v:shape>
          <o:OLEObject Type="Embed" ProgID="Equation.3" ShapeID="_x0000_i1053" DrawAspect="Content" ObjectID="_1468075753" r:id="rId81">
            <o:LockedField>false</o:LockedField>
          </o:OLEObject>
        </w:object>
      </w:r>
      <w:r>
        <w:rPr>
          <w:rFonts w:hint="eastAsia"/>
          <w:color w:val="auto"/>
        </w:rPr>
        <w:t>；</w:t>
      </w:r>
    </w:p>
    <w:p w14:paraId="58B4C630">
      <w:pPr>
        <w:pStyle w:val="51"/>
        <w:ind w:firstLine="1200" w:firstLineChars="500"/>
        <w:rPr>
          <w:rStyle w:val="86"/>
          <w:rFonts w:hint="default" w:ascii="Times New Roman" w:eastAsia="仿宋_GB2312"/>
          <w:color w:val="auto"/>
        </w:rPr>
      </w:pPr>
      <w:r>
        <w:rPr>
          <w:i/>
          <w:color w:val="auto"/>
        </w:rPr>
        <w:t>f</w:t>
      </w:r>
      <w:r>
        <w:rPr>
          <w:rStyle w:val="86"/>
          <w:rFonts w:hint="default" w:ascii="Times New Roman" w:eastAsia="仿宋_GB2312"/>
          <w:color w:val="auto"/>
        </w:rPr>
        <w:t>——</w:t>
      </w:r>
      <w:r>
        <w:rPr>
          <w:rFonts w:hint="eastAsia"/>
          <w:color w:val="auto"/>
          <w:lang w:val="zh-CN"/>
        </w:rPr>
        <w:t>频率，</w:t>
      </w:r>
      <w:r>
        <w:rPr>
          <w:rStyle w:val="86"/>
          <w:rFonts w:hint="default" w:ascii="Times New Roman" w:eastAsia="仿宋_GB2312"/>
          <w:color w:val="auto"/>
        </w:rPr>
        <w:t>Hz</w:t>
      </w:r>
      <w:r>
        <w:rPr>
          <w:rStyle w:val="86"/>
          <w:rFonts w:ascii="Times New Roman" w:eastAsia="仿宋_GB2312"/>
          <w:color w:val="auto"/>
        </w:rPr>
        <w:t>。</w:t>
      </w:r>
    </w:p>
    <w:p w14:paraId="2A23FBDD">
      <w:pPr>
        <w:pStyle w:val="51"/>
        <w:rPr>
          <w:color w:val="auto"/>
          <w:lang w:val="zh-CN"/>
        </w:rPr>
      </w:pPr>
      <w:r>
        <w:rPr>
          <w:rFonts w:hint="eastAsia"/>
          <w:color w:val="auto"/>
          <w:lang w:val="zh-CN"/>
        </w:rPr>
        <w:t>在很多情况下，只考虑处于空间的实际导线，忽略它的镜像进行计算，其结果已足够符合实际。如图4-5，不考虑导线</w:t>
      </w:r>
      <w:r>
        <w:rPr>
          <w:i/>
          <w:color w:val="auto"/>
          <w:lang w:val="zh-CN"/>
        </w:rPr>
        <w:t>i</w:t>
      </w:r>
      <w:r>
        <w:rPr>
          <w:rFonts w:hint="eastAsia"/>
          <w:color w:val="auto"/>
          <w:lang w:val="zh-CN"/>
        </w:rPr>
        <w:t>的镜像时，可计算在A点其产生的磁场强度：</w:t>
      </w:r>
    </w:p>
    <w:p w14:paraId="418215F7">
      <w:pPr>
        <w:pStyle w:val="51"/>
        <w:jc w:val="center"/>
        <w:rPr>
          <w:rStyle w:val="86"/>
          <w:rFonts w:hint="default" w:ascii="Times New Roman" w:eastAsia="仿宋_GB2312"/>
          <w:color w:val="auto"/>
          <w:sz w:val="21"/>
        </w:rPr>
      </w:pPr>
      <w:r>
        <w:rPr>
          <w:color w:val="auto"/>
          <w:position w:val="-4"/>
        </w:rPr>
        <w:object>
          <v:shape id="_x0000_i1054" o:spt="75" type="#_x0000_t75" style="height:12.35pt;width:14pt;" o:ole="t" filled="f" o:preferrelative="t" stroked="f" coordsize="21600,21600">
            <v:path/>
            <v:fill on="f" focussize="0,0"/>
            <v:stroke on="f" joinstyle="miter"/>
            <v:imagedata r:id="rId84" o:title=""/>
            <o:lock v:ext="edit" aspectratio="t"/>
            <w10:wrap type="none"/>
            <w10:anchorlock/>
          </v:shape>
          <o:OLEObject Type="Embed" ProgID="Equation.3" ShapeID="_x0000_i1054" DrawAspect="Content" ObjectID="_1468075754" r:id="rId83">
            <o:LockedField>false</o:LockedField>
          </o:OLEObject>
        </w:object>
      </w:r>
      <w:r>
        <w:rPr>
          <w:rFonts w:hint="eastAsia"/>
          <w:color w:val="auto"/>
        </w:rPr>
        <w:t>＝</w:t>
      </w:r>
      <w:r>
        <w:rPr>
          <w:color w:val="auto"/>
        </w:rPr>
        <w:object>
          <v:shape id="_x0000_i1055" o:spt="75" type="#_x0000_t75" style="height:34pt;width:62.05pt;" o:ole="t" filled="f" o:preferrelative="t" stroked="f" coordsize="21600,21600">
            <v:path/>
            <v:fill on="f" focussize="0,0"/>
            <v:stroke on="f" joinstyle="miter"/>
            <v:imagedata r:id="rId86" o:title=""/>
            <o:lock v:ext="edit" aspectratio="t"/>
            <w10:wrap type="none"/>
            <w10:anchorlock/>
          </v:shape>
          <o:OLEObject Type="Embed" ProgID="Equation.3" ShapeID="_x0000_i1055" DrawAspect="Content" ObjectID="_1468075755" r:id="rId85">
            <o:LockedField>false</o:LockedField>
          </o:OLEObject>
        </w:object>
      </w:r>
      <w:r>
        <w:rPr>
          <w:color w:val="auto"/>
        </w:rPr>
        <w:t xml:space="preserve"> </w:t>
      </w:r>
      <w:r>
        <w:rPr>
          <w:rFonts w:hint="eastAsia"/>
          <w:color w:val="auto"/>
        </w:rPr>
        <w:t>（A/m）</w:t>
      </w:r>
    </w:p>
    <w:p w14:paraId="369185EA">
      <w:pPr>
        <w:pStyle w:val="51"/>
        <w:rPr>
          <w:color w:val="auto"/>
          <w:lang w:val="zh-CN"/>
        </w:rPr>
      </w:pPr>
      <w:r>
        <w:rPr>
          <w:rFonts w:hint="eastAsia"/>
          <w:color w:val="auto"/>
          <w:lang w:val="zh-CN"/>
        </w:rPr>
        <w:t>式中：</w:t>
      </w:r>
      <w:r>
        <w:rPr>
          <w:i/>
          <w:color w:val="auto"/>
          <w:lang w:val="zh-CN"/>
        </w:rPr>
        <w:t>I</w:t>
      </w:r>
      <w:r>
        <w:rPr>
          <w:color w:val="auto"/>
          <w:lang w:val="zh-CN"/>
        </w:rPr>
        <w:t>——</w:t>
      </w:r>
      <w:r>
        <w:rPr>
          <w:rFonts w:hint="eastAsia"/>
          <w:color w:val="auto"/>
          <w:lang w:val="zh-CN"/>
        </w:rPr>
        <w:t>导线i中的电流值，A；</w:t>
      </w:r>
    </w:p>
    <w:p w14:paraId="07CB2C0A">
      <w:pPr>
        <w:pStyle w:val="51"/>
        <w:ind w:firstLine="1200" w:firstLineChars="500"/>
        <w:rPr>
          <w:color w:val="auto"/>
          <w:lang w:val="zh-CN"/>
        </w:rPr>
      </w:pPr>
      <w:r>
        <w:rPr>
          <w:i/>
          <w:color w:val="auto"/>
          <w:lang w:val="zh-CN"/>
        </w:rPr>
        <w:t>h</w:t>
      </w:r>
      <w:r>
        <w:rPr>
          <w:color w:val="auto"/>
          <w:lang w:val="zh-CN"/>
        </w:rPr>
        <w:t>——</w:t>
      </w:r>
      <w:r>
        <w:rPr>
          <w:rFonts w:hint="eastAsia"/>
          <w:color w:val="auto"/>
          <w:lang w:val="zh-CN"/>
        </w:rPr>
        <w:t>导线与预测点的高差，m；</w:t>
      </w:r>
    </w:p>
    <w:p w14:paraId="186540CB">
      <w:pPr>
        <w:pStyle w:val="51"/>
        <w:ind w:firstLine="1200" w:firstLineChars="500"/>
        <w:rPr>
          <w:color w:val="auto"/>
          <w:lang w:val="zh-CN"/>
        </w:rPr>
      </w:pPr>
      <w:r>
        <w:rPr>
          <w:i/>
          <w:color w:val="auto"/>
          <w:lang w:val="zh-CN"/>
        </w:rPr>
        <w:t>L</w:t>
      </w:r>
      <w:r>
        <w:rPr>
          <w:color w:val="auto"/>
          <w:lang w:val="zh-CN"/>
        </w:rPr>
        <w:t xml:space="preserve"> ——</w:t>
      </w:r>
      <w:r>
        <w:rPr>
          <w:rFonts w:hint="eastAsia"/>
          <w:color w:val="auto"/>
          <w:lang w:val="zh-CN"/>
        </w:rPr>
        <w:t>导线与预测点水平距离，m。</w:t>
      </w:r>
    </w:p>
    <w:p w14:paraId="7F737852">
      <w:pPr>
        <w:pStyle w:val="51"/>
        <w:rPr>
          <w:color w:val="auto"/>
          <w:lang w:val="zh-CN"/>
        </w:rPr>
      </w:pPr>
      <w:r>
        <w:rPr>
          <w:rFonts w:hint="eastAsia"/>
          <w:color w:val="auto"/>
          <w:lang w:val="zh-CN"/>
        </w:rPr>
        <w:t>对于三相线路，由相位不同形成的磁场强度水平和垂直分量都应分别考虑电流间的相角，按相位矢量来合成。合成的旋转矢量在空间的轨迹是一个椭圆。</w:t>
      </w:r>
    </w:p>
    <w:p w14:paraId="0BDBD40F">
      <w:pPr>
        <w:pStyle w:val="51"/>
        <w:ind w:firstLine="0" w:firstLineChars="0"/>
        <w:jc w:val="center"/>
        <w:rPr>
          <w:color w:val="auto"/>
        </w:rPr>
      </w:pPr>
      <w:r>
        <w:rPr>
          <w:color w:val="auto"/>
        </w:rPr>
        <w:drawing>
          <wp:inline distT="0" distB="0" distL="114300" distR="114300">
            <wp:extent cx="2778760" cy="2150745"/>
            <wp:effectExtent l="0" t="0" r="2540" b="1905"/>
            <wp:docPr id="7" name="图片 62"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2" descr="05"/>
                    <pic:cNvPicPr>
                      <a:picLocks noChangeAspect="1"/>
                    </pic:cNvPicPr>
                  </pic:nvPicPr>
                  <pic:blipFill>
                    <a:blip r:embed="rId87"/>
                    <a:stretch>
                      <a:fillRect/>
                    </a:stretch>
                  </pic:blipFill>
                  <pic:spPr>
                    <a:xfrm>
                      <a:off x="0" y="0"/>
                      <a:ext cx="2778760" cy="2150745"/>
                    </a:xfrm>
                    <a:prstGeom prst="rect">
                      <a:avLst/>
                    </a:prstGeom>
                    <a:noFill/>
                    <a:ln>
                      <a:noFill/>
                    </a:ln>
                  </pic:spPr>
                </pic:pic>
              </a:graphicData>
            </a:graphic>
          </wp:inline>
        </w:drawing>
      </w:r>
    </w:p>
    <w:p w14:paraId="0B62F714">
      <w:pPr>
        <w:pStyle w:val="83"/>
      </w:pPr>
      <w:bookmarkStart w:id="120" w:name="_Toc185260014"/>
      <w:r>
        <w:rPr>
          <w:rFonts w:hint="eastAsia"/>
        </w:rPr>
        <w:t>图4-5  磁场向量图</w:t>
      </w:r>
      <w:bookmarkEnd w:id="120"/>
    </w:p>
    <w:p w14:paraId="6EAD7382">
      <w:pPr>
        <w:spacing w:line="360" w:lineRule="auto"/>
        <w:ind w:firstLine="480" w:firstLineChars="200"/>
        <w:rPr>
          <w:sz w:val="24"/>
        </w:rPr>
      </w:pPr>
    </w:p>
    <w:p w14:paraId="0F3539BE">
      <w:pPr>
        <w:pStyle w:val="4"/>
      </w:pPr>
      <w:bookmarkStart w:id="121" w:name="_Toc4246"/>
      <w:r>
        <w:br w:type="page"/>
      </w:r>
      <w:bookmarkStart w:id="122" w:name="_Toc85633943"/>
      <w:r>
        <w:t xml:space="preserve">4.2.3 </w:t>
      </w:r>
      <w:r>
        <w:rPr>
          <w:rFonts w:hint="eastAsia"/>
        </w:rPr>
        <w:t>预测参数</w:t>
      </w:r>
      <w:bookmarkEnd w:id="121"/>
      <w:bookmarkEnd w:id="122"/>
    </w:p>
    <w:p w14:paraId="07F4D6B7">
      <w:pPr>
        <w:pStyle w:val="82"/>
      </w:pPr>
      <w:r>
        <w:rPr>
          <w:rFonts w:hint="eastAsia"/>
        </w:rPr>
        <w:t>表4-5  本工程220kV输电线路导线及参数一览表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2185"/>
        <w:gridCol w:w="6897"/>
      </w:tblGrid>
      <w:tr w14:paraId="4FB48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blHeader/>
          <w:jc w:val="center"/>
        </w:trPr>
        <w:tc>
          <w:tcPr>
            <w:tcW w:w="1203" w:type="pct"/>
            <w:tcBorders>
              <w:top w:val="single" w:color="auto" w:sz="4" w:space="0"/>
              <w:left w:val="single" w:color="auto" w:sz="4" w:space="0"/>
              <w:bottom w:val="single" w:color="auto" w:sz="4" w:space="0"/>
              <w:right w:val="single" w:color="auto" w:sz="4" w:space="0"/>
              <w:tl2br w:val="nil"/>
              <w:tr2bl w:val="nil"/>
            </w:tcBorders>
            <w:vAlign w:val="center"/>
          </w:tcPr>
          <w:p w14:paraId="56DDCFCB">
            <w:pPr>
              <w:pStyle w:val="84"/>
              <w:rPr>
                <w:color w:val="auto"/>
              </w:rPr>
            </w:pPr>
            <w:r>
              <w:rPr>
                <w:rFonts w:hint="eastAsia"/>
                <w:color w:val="auto"/>
              </w:rPr>
              <w:t>工程参数</w:t>
            </w:r>
          </w:p>
        </w:tc>
        <w:tc>
          <w:tcPr>
            <w:tcW w:w="3797" w:type="pct"/>
            <w:tcBorders>
              <w:top w:val="single" w:color="auto" w:sz="4" w:space="0"/>
              <w:left w:val="single" w:color="auto" w:sz="4" w:space="0"/>
              <w:bottom w:val="single" w:color="auto" w:sz="4" w:space="0"/>
              <w:right w:val="single" w:color="auto" w:sz="4" w:space="0"/>
              <w:tl2br w:val="nil"/>
              <w:tr2bl w:val="nil"/>
            </w:tcBorders>
            <w:vAlign w:val="center"/>
          </w:tcPr>
          <w:p w14:paraId="16798A1F">
            <w:pPr>
              <w:pStyle w:val="84"/>
              <w:rPr>
                <w:color w:val="auto"/>
              </w:rPr>
            </w:pPr>
            <w:r>
              <w:rPr>
                <w:rFonts w:hint="eastAsia"/>
                <w:color w:val="auto"/>
              </w:rPr>
              <w:t>220kV输电线路</w:t>
            </w:r>
          </w:p>
        </w:tc>
      </w:tr>
      <w:tr w14:paraId="55C8F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203" w:type="pct"/>
            <w:tcBorders>
              <w:top w:val="single" w:color="auto" w:sz="4" w:space="0"/>
              <w:left w:val="single" w:color="auto" w:sz="4" w:space="0"/>
              <w:bottom w:val="single" w:color="auto" w:sz="4" w:space="0"/>
              <w:right w:val="single" w:color="auto" w:sz="4" w:space="0"/>
              <w:tl2br w:val="nil"/>
              <w:tr2bl w:val="nil"/>
            </w:tcBorders>
            <w:vAlign w:val="center"/>
          </w:tcPr>
          <w:p w14:paraId="5B81C310">
            <w:pPr>
              <w:pStyle w:val="84"/>
              <w:rPr>
                <w:color w:val="auto"/>
              </w:rPr>
            </w:pPr>
            <w:r>
              <w:rPr>
                <w:rFonts w:hint="eastAsia"/>
                <w:color w:val="auto"/>
              </w:rPr>
              <w:t>导线型号</w:t>
            </w:r>
          </w:p>
        </w:tc>
        <w:tc>
          <w:tcPr>
            <w:tcW w:w="3797" w:type="pct"/>
            <w:tcBorders>
              <w:top w:val="single" w:color="auto" w:sz="4" w:space="0"/>
              <w:left w:val="single" w:color="auto" w:sz="4" w:space="0"/>
              <w:bottom w:val="single" w:color="auto" w:sz="4" w:space="0"/>
              <w:right w:val="single" w:color="auto" w:sz="4" w:space="0"/>
              <w:tl2br w:val="nil"/>
              <w:tr2bl w:val="nil"/>
            </w:tcBorders>
            <w:vAlign w:val="center"/>
          </w:tcPr>
          <w:p w14:paraId="1C2515FB">
            <w:pPr>
              <w:pStyle w:val="84"/>
              <w:rPr>
                <w:color w:val="auto"/>
              </w:rPr>
            </w:pPr>
            <w:r>
              <w:rPr>
                <w:rFonts w:hint="eastAsia"/>
                <w:color w:val="auto"/>
              </w:rPr>
              <w:t>2</w:t>
            </w:r>
            <w:r>
              <w:rPr>
                <w:rFonts w:ascii="Arial" w:hAnsi="Arial" w:cs="Arial"/>
                <w:color w:val="auto"/>
              </w:rPr>
              <w:t>×</w:t>
            </w:r>
            <w:r>
              <w:rPr>
                <w:color w:val="auto"/>
              </w:rPr>
              <w:t>JL</w:t>
            </w:r>
            <w:r>
              <w:rPr>
                <w:rFonts w:hint="eastAsia"/>
                <w:color w:val="auto"/>
              </w:rPr>
              <w:t>3</w:t>
            </w:r>
            <w:r>
              <w:rPr>
                <w:color w:val="auto"/>
              </w:rPr>
              <w:t>/G1A-</w:t>
            </w:r>
            <w:r>
              <w:rPr>
                <w:rFonts w:hint="eastAsia"/>
                <w:color w:val="auto"/>
              </w:rPr>
              <w:t>63</w:t>
            </w:r>
            <w:r>
              <w:rPr>
                <w:color w:val="auto"/>
              </w:rPr>
              <w:t>0/4</w:t>
            </w:r>
            <w:r>
              <w:rPr>
                <w:rFonts w:hint="eastAsia"/>
                <w:color w:val="auto"/>
              </w:rPr>
              <w:t>5</w:t>
            </w:r>
          </w:p>
        </w:tc>
      </w:tr>
      <w:tr w14:paraId="1B716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203" w:type="pct"/>
            <w:tcBorders>
              <w:top w:val="single" w:color="auto" w:sz="4" w:space="0"/>
              <w:left w:val="single" w:color="auto" w:sz="4" w:space="0"/>
              <w:bottom w:val="single" w:color="auto" w:sz="4" w:space="0"/>
              <w:right w:val="single" w:color="auto" w:sz="4" w:space="0"/>
              <w:tl2br w:val="nil"/>
              <w:tr2bl w:val="nil"/>
            </w:tcBorders>
            <w:vAlign w:val="center"/>
          </w:tcPr>
          <w:p w14:paraId="19CBE7FB">
            <w:pPr>
              <w:pStyle w:val="84"/>
              <w:rPr>
                <w:color w:val="auto"/>
              </w:rPr>
            </w:pPr>
            <w:r>
              <w:rPr>
                <w:rFonts w:hint="eastAsia"/>
                <w:color w:val="auto"/>
              </w:rPr>
              <w:t>线路电压</w:t>
            </w:r>
          </w:p>
        </w:tc>
        <w:tc>
          <w:tcPr>
            <w:tcW w:w="3797" w:type="pct"/>
            <w:tcBorders>
              <w:top w:val="single" w:color="auto" w:sz="4" w:space="0"/>
              <w:left w:val="single" w:color="auto" w:sz="4" w:space="0"/>
              <w:bottom w:val="single" w:color="auto" w:sz="4" w:space="0"/>
              <w:right w:val="single" w:color="auto" w:sz="4" w:space="0"/>
              <w:tl2br w:val="nil"/>
              <w:tr2bl w:val="nil"/>
            </w:tcBorders>
            <w:vAlign w:val="center"/>
          </w:tcPr>
          <w:p w14:paraId="3E8F530A">
            <w:pPr>
              <w:pStyle w:val="84"/>
              <w:rPr>
                <w:color w:val="auto"/>
              </w:rPr>
            </w:pPr>
            <w:r>
              <w:rPr>
                <w:rFonts w:hint="eastAsia"/>
                <w:color w:val="auto"/>
              </w:rPr>
              <w:t>220kV</w:t>
            </w:r>
          </w:p>
        </w:tc>
      </w:tr>
      <w:tr w14:paraId="09EB7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203" w:type="pct"/>
            <w:tcBorders>
              <w:top w:val="single" w:color="auto" w:sz="4" w:space="0"/>
              <w:left w:val="single" w:color="auto" w:sz="4" w:space="0"/>
              <w:bottom w:val="single" w:color="auto" w:sz="4" w:space="0"/>
              <w:right w:val="single" w:color="auto" w:sz="4" w:space="0"/>
              <w:tl2br w:val="nil"/>
              <w:tr2bl w:val="nil"/>
            </w:tcBorders>
            <w:vAlign w:val="center"/>
          </w:tcPr>
          <w:p w14:paraId="693E3773">
            <w:pPr>
              <w:pStyle w:val="84"/>
              <w:rPr>
                <w:color w:val="auto"/>
              </w:rPr>
            </w:pPr>
            <w:r>
              <w:rPr>
                <w:rFonts w:hint="eastAsia"/>
                <w:color w:val="auto"/>
              </w:rPr>
              <w:t>线路运行电流</w:t>
            </w:r>
          </w:p>
        </w:tc>
        <w:tc>
          <w:tcPr>
            <w:tcW w:w="3797" w:type="pct"/>
            <w:tcBorders>
              <w:top w:val="single" w:color="auto" w:sz="4" w:space="0"/>
              <w:left w:val="single" w:color="auto" w:sz="4" w:space="0"/>
              <w:bottom w:val="single" w:color="auto" w:sz="4" w:space="0"/>
              <w:right w:val="single" w:color="auto" w:sz="4" w:space="0"/>
              <w:tl2br w:val="nil"/>
              <w:tr2bl w:val="nil"/>
            </w:tcBorders>
            <w:vAlign w:val="center"/>
          </w:tcPr>
          <w:p w14:paraId="12E22D2B">
            <w:pPr>
              <w:pStyle w:val="84"/>
              <w:rPr>
                <w:color w:val="auto"/>
              </w:rPr>
            </w:pPr>
            <w:r>
              <w:rPr>
                <w:color w:val="auto"/>
              </w:rPr>
              <w:t>400A</w:t>
            </w:r>
          </w:p>
        </w:tc>
      </w:tr>
      <w:tr w14:paraId="0FB3F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203" w:type="pct"/>
            <w:tcBorders>
              <w:top w:val="single" w:color="auto" w:sz="4" w:space="0"/>
              <w:left w:val="single" w:color="auto" w:sz="4" w:space="0"/>
              <w:bottom w:val="single" w:color="auto" w:sz="4" w:space="0"/>
              <w:right w:val="single" w:color="auto" w:sz="4" w:space="0"/>
              <w:tl2br w:val="nil"/>
              <w:tr2bl w:val="nil"/>
            </w:tcBorders>
            <w:vAlign w:val="center"/>
          </w:tcPr>
          <w:p w14:paraId="2A45D746">
            <w:pPr>
              <w:pStyle w:val="84"/>
              <w:rPr>
                <w:color w:val="auto"/>
              </w:rPr>
            </w:pPr>
            <w:r>
              <w:rPr>
                <w:rFonts w:hint="eastAsia"/>
                <w:color w:val="auto"/>
              </w:rPr>
              <w:t>线路架设方式</w:t>
            </w:r>
          </w:p>
        </w:tc>
        <w:tc>
          <w:tcPr>
            <w:tcW w:w="3797" w:type="pct"/>
            <w:tcBorders>
              <w:top w:val="single" w:color="auto" w:sz="4" w:space="0"/>
              <w:left w:val="single" w:color="auto" w:sz="4" w:space="0"/>
              <w:bottom w:val="single" w:color="auto" w:sz="4" w:space="0"/>
              <w:right w:val="single" w:color="auto" w:sz="4" w:space="0"/>
              <w:tl2br w:val="nil"/>
              <w:tr2bl w:val="nil"/>
            </w:tcBorders>
            <w:vAlign w:val="center"/>
          </w:tcPr>
          <w:p w14:paraId="54605BF0">
            <w:pPr>
              <w:pStyle w:val="84"/>
              <w:rPr>
                <w:color w:val="auto"/>
              </w:rPr>
            </w:pPr>
            <w:r>
              <w:rPr>
                <w:rFonts w:hint="eastAsia"/>
                <w:color w:val="auto"/>
              </w:rPr>
              <w:t>铁塔架设</w:t>
            </w:r>
          </w:p>
        </w:tc>
      </w:tr>
      <w:tr w14:paraId="7CF0A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203" w:type="pct"/>
            <w:tcBorders>
              <w:top w:val="single" w:color="auto" w:sz="4" w:space="0"/>
              <w:left w:val="single" w:color="auto" w:sz="4" w:space="0"/>
              <w:bottom w:val="single" w:color="auto" w:sz="4" w:space="0"/>
              <w:right w:val="single" w:color="auto" w:sz="4" w:space="0"/>
              <w:tl2br w:val="nil"/>
              <w:tr2bl w:val="nil"/>
            </w:tcBorders>
            <w:vAlign w:val="center"/>
          </w:tcPr>
          <w:p w14:paraId="066EF2A3">
            <w:pPr>
              <w:pStyle w:val="84"/>
              <w:rPr>
                <w:color w:val="auto"/>
              </w:rPr>
            </w:pPr>
            <w:r>
              <w:rPr>
                <w:rFonts w:hint="eastAsia"/>
                <w:color w:val="auto"/>
              </w:rPr>
              <w:t>直   径</w:t>
            </w:r>
          </w:p>
        </w:tc>
        <w:tc>
          <w:tcPr>
            <w:tcW w:w="3797" w:type="pct"/>
            <w:tcBorders>
              <w:top w:val="single" w:color="auto" w:sz="4" w:space="0"/>
              <w:left w:val="single" w:color="auto" w:sz="4" w:space="0"/>
              <w:bottom w:val="single" w:color="auto" w:sz="4" w:space="0"/>
              <w:right w:val="single" w:color="auto" w:sz="4" w:space="0"/>
              <w:tl2br w:val="nil"/>
              <w:tr2bl w:val="nil"/>
            </w:tcBorders>
            <w:vAlign w:val="center"/>
          </w:tcPr>
          <w:p w14:paraId="695F0285">
            <w:pPr>
              <w:pStyle w:val="84"/>
              <w:rPr>
                <w:color w:val="auto"/>
              </w:rPr>
            </w:pPr>
            <w:r>
              <w:rPr>
                <w:rFonts w:hint="eastAsia"/>
                <w:color w:val="auto"/>
              </w:rPr>
              <w:t>33.8mm</w:t>
            </w:r>
          </w:p>
        </w:tc>
      </w:tr>
      <w:tr w14:paraId="585D8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203" w:type="pct"/>
            <w:tcBorders>
              <w:top w:val="single" w:color="auto" w:sz="4" w:space="0"/>
              <w:left w:val="single" w:color="auto" w:sz="4" w:space="0"/>
              <w:bottom w:val="single" w:color="auto" w:sz="4" w:space="0"/>
              <w:right w:val="single" w:color="auto" w:sz="4" w:space="0"/>
              <w:tl2br w:val="nil"/>
              <w:tr2bl w:val="nil"/>
            </w:tcBorders>
            <w:vAlign w:val="center"/>
          </w:tcPr>
          <w:p w14:paraId="376C88C4">
            <w:pPr>
              <w:pStyle w:val="84"/>
              <w:rPr>
                <w:color w:val="auto"/>
              </w:rPr>
            </w:pPr>
            <w:r>
              <w:rPr>
                <w:rFonts w:hint="eastAsia"/>
                <w:color w:val="auto"/>
              </w:rPr>
              <w:t>导线最小对地高度</w:t>
            </w:r>
          </w:p>
        </w:tc>
        <w:tc>
          <w:tcPr>
            <w:tcW w:w="3797" w:type="pct"/>
            <w:tcBorders>
              <w:top w:val="single" w:color="auto" w:sz="4" w:space="0"/>
              <w:left w:val="single" w:color="auto" w:sz="4" w:space="0"/>
              <w:bottom w:val="single" w:color="auto" w:sz="4" w:space="0"/>
              <w:right w:val="single" w:color="auto" w:sz="4" w:space="0"/>
              <w:tl2br w:val="nil"/>
              <w:tr2bl w:val="nil"/>
            </w:tcBorders>
            <w:vAlign w:val="center"/>
          </w:tcPr>
          <w:p w14:paraId="59C792F4">
            <w:pPr>
              <w:pStyle w:val="84"/>
              <w:rPr>
                <w:color w:val="auto"/>
              </w:rPr>
            </w:pPr>
            <w:r>
              <w:rPr>
                <w:rFonts w:hint="eastAsia"/>
                <w:color w:val="auto"/>
              </w:rPr>
              <w:t>非居民区6.5m；</w:t>
            </w:r>
            <w:r>
              <w:rPr>
                <w:rFonts w:hint="eastAsia"/>
                <w:color w:val="auto"/>
                <w:spacing w:val="-8"/>
              </w:rPr>
              <w:t>居民区7.5m</w:t>
            </w:r>
            <w:r>
              <w:rPr>
                <w:rFonts w:hint="eastAsia" w:ascii="宋体" w:hAnsi="宋体" w:cs="宋体"/>
                <w:color w:val="auto"/>
                <w:spacing w:val="-8"/>
                <w:szCs w:val="18"/>
                <w:vertAlign w:val="superscript"/>
              </w:rPr>
              <w:t>①</w:t>
            </w:r>
          </w:p>
        </w:tc>
      </w:tr>
      <w:tr w14:paraId="0EDC0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203" w:type="pct"/>
            <w:tcBorders>
              <w:top w:val="single" w:color="auto" w:sz="4" w:space="0"/>
              <w:left w:val="single" w:color="auto" w:sz="4" w:space="0"/>
              <w:bottom w:val="single" w:color="auto" w:sz="4" w:space="0"/>
              <w:right w:val="single" w:color="auto" w:sz="4" w:space="0"/>
              <w:tl2br w:val="nil"/>
              <w:tr2bl w:val="nil"/>
            </w:tcBorders>
            <w:vAlign w:val="center"/>
          </w:tcPr>
          <w:p w14:paraId="17F65A12">
            <w:pPr>
              <w:pStyle w:val="84"/>
              <w:rPr>
                <w:color w:val="auto"/>
              </w:rPr>
            </w:pPr>
            <w:r>
              <w:rPr>
                <w:rFonts w:hint="eastAsia"/>
                <w:color w:val="auto"/>
              </w:rPr>
              <w:t>导线排序</w:t>
            </w:r>
          </w:p>
        </w:tc>
        <w:tc>
          <w:tcPr>
            <w:tcW w:w="3797" w:type="pct"/>
            <w:tcBorders>
              <w:top w:val="single" w:color="auto" w:sz="4" w:space="0"/>
              <w:left w:val="single" w:color="auto" w:sz="4" w:space="0"/>
              <w:bottom w:val="single" w:color="auto" w:sz="4" w:space="0"/>
              <w:right w:val="single" w:color="auto" w:sz="4" w:space="0"/>
              <w:tl2br w:val="nil"/>
              <w:tr2bl w:val="nil"/>
            </w:tcBorders>
            <w:vAlign w:val="center"/>
          </w:tcPr>
          <w:p w14:paraId="60EA12B1">
            <w:pPr>
              <w:pStyle w:val="84"/>
              <w:rPr>
                <w:color w:val="auto"/>
              </w:rPr>
            </w:pPr>
            <w:r>
              <w:rPr>
                <w:rFonts w:hint="eastAsia"/>
                <w:color w:val="auto"/>
              </w:rPr>
              <w:t>垂直排列</w:t>
            </w:r>
          </w:p>
        </w:tc>
      </w:tr>
      <w:tr w14:paraId="5D855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203" w:type="pct"/>
            <w:tcBorders>
              <w:top w:val="single" w:color="auto" w:sz="4" w:space="0"/>
              <w:left w:val="single" w:color="auto" w:sz="4" w:space="0"/>
              <w:bottom w:val="single" w:color="auto" w:sz="4" w:space="0"/>
              <w:right w:val="single" w:color="auto" w:sz="4" w:space="0"/>
              <w:tl2br w:val="nil"/>
              <w:tr2bl w:val="nil"/>
            </w:tcBorders>
            <w:vAlign w:val="center"/>
          </w:tcPr>
          <w:p w14:paraId="2AD0FDC7">
            <w:pPr>
              <w:pStyle w:val="84"/>
              <w:rPr>
                <w:color w:val="auto"/>
              </w:rPr>
            </w:pPr>
            <w:r>
              <w:rPr>
                <w:rFonts w:hint="eastAsia"/>
                <w:color w:val="auto"/>
              </w:rPr>
              <w:t>回路相序</w:t>
            </w:r>
          </w:p>
        </w:tc>
        <w:tc>
          <w:tcPr>
            <w:tcW w:w="3797" w:type="pct"/>
            <w:tcBorders>
              <w:top w:val="single" w:color="auto" w:sz="4" w:space="0"/>
              <w:left w:val="single" w:color="auto" w:sz="4" w:space="0"/>
              <w:bottom w:val="single" w:color="auto" w:sz="4" w:space="0"/>
              <w:right w:val="single" w:color="auto" w:sz="4" w:space="0"/>
              <w:tl2br w:val="nil"/>
              <w:tr2bl w:val="nil"/>
            </w:tcBorders>
            <w:textDirection w:val="lrTbV"/>
            <w:vAlign w:val="center"/>
          </w:tcPr>
          <w:p w14:paraId="607006AE">
            <w:pPr>
              <w:pStyle w:val="84"/>
              <w:rPr>
                <w:color w:val="auto"/>
              </w:rPr>
            </w:pPr>
            <w:r>
              <w:rPr>
                <w:rFonts w:hint="eastAsia"/>
                <w:color w:val="auto"/>
              </w:rPr>
              <w:t>B  B</w:t>
            </w:r>
          </w:p>
          <w:p w14:paraId="2EA49549">
            <w:pPr>
              <w:pStyle w:val="84"/>
              <w:rPr>
                <w:color w:val="auto"/>
              </w:rPr>
            </w:pPr>
            <w:r>
              <w:rPr>
                <w:rFonts w:hint="eastAsia"/>
                <w:color w:val="auto"/>
              </w:rPr>
              <w:t>A  A</w:t>
            </w:r>
          </w:p>
          <w:p w14:paraId="4212925A">
            <w:pPr>
              <w:pStyle w:val="84"/>
              <w:rPr>
                <w:color w:val="auto"/>
              </w:rPr>
            </w:pPr>
            <w:r>
              <w:rPr>
                <w:rFonts w:hint="eastAsia"/>
                <w:color w:val="auto"/>
              </w:rPr>
              <w:t>C  C</w:t>
            </w:r>
          </w:p>
        </w:tc>
      </w:tr>
      <w:tr w14:paraId="7F310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203" w:type="pct"/>
            <w:tcBorders>
              <w:top w:val="single" w:color="auto" w:sz="4" w:space="0"/>
              <w:left w:val="single" w:color="auto" w:sz="4" w:space="0"/>
              <w:bottom w:val="single" w:color="auto" w:sz="4" w:space="0"/>
              <w:right w:val="single" w:color="auto" w:sz="4" w:space="0"/>
              <w:tl2br w:val="nil"/>
              <w:tr2bl w:val="nil"/>
            </w:tcBorders>
            <w:vAlign w:val="center"/>
          </w:tcPr>
          <w:p w14:paraId="5F374C10">
            <w:pPr>
              <w:pStyle w:val="84"/>
              <w:rPr>
                <w:color w:val="auto"/>
              </w:rPr>
            </w:pPr>
            <w:r>
              <w:rPr>
                <w:rFonts w:hint="eastAsia"/>
                <w:color w:val="auto"/>
              </w:rPr>
              <w:t>相间距</w:t>
            </w:r>
          </w:p>
        </w:tc>
        <w:tc>
          <w:tcPr>
            <w:tcW w:w="3797" w:type="pct"/>
            <w:tcBorders>
              <w:top w:val="single" w:color="auto" w:sz="4" w:space="0"/>
              <w:left w:val="single" w:color="auto" w:sz="4" w:space="0"/>
              <w:bottom w:val="single" w:color="auto" w:sz="4" w:space="0"/>
              <w:right w:val="single" w:color="auto" w:sz="4" w:space="0"/>
              <w:tl2br w:val="nil"/>
              <w:tr2bl w:val="nil"/>
            </w:tcBorders>
            <w:vAlign w:val="center"/>
          </w:tcPr>
          <w:p w14:paraId="676DED2F">
            <w:pPr>
              <w:pStyle w:val="84"/>
              <w:rPr>
                <w:color w:val="auto"/>
              </w:rPr>
            </w:pPr>
          </w:p>
        </w:tc>
      </w:tr>
      <w:tr w14:paraId="43CC8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203" w:type="pct"/>
            <w:tcBorders>
              <w:top w:val="single" w:color="auto" w:sz="4" w:space="0"/>
              <w:left w:val="single" w:color="auto" w:sz="4" w:space="0"/>
              <w:bottom w:val="single" w:color="auto" w:sz="4" w:space="0"/>
              <w:right w:val="single" w:color="auto" w:sz="4" w:space="0"/>
              <w:tl2br w:val="nil"/>
              <w:tr2bl w:val="nil"/>
            </w:tcBorders>
            <w:vAlign w:val="center"/>
          </w:tcPr>
          <w:p w14:paraId="1736186A">
            <w:pPr>
              <w:pStyle w:val="84"/>
              <w:rPr>
                <w:color w:val="auto"/>
              </w:rPr>
            </w:pPr>
            <w:r>
              <w:rPr>
                <w:rFonts w:hint="eastAsia"/>
                <w:color w:val="auto"/>
              </w:rPr>
              <w:t>主要塔型</w:t>
            </w:r>
          </w:p>
        </w:tc>
        <w:tc>
          <w:tcPr>
            <w:tcW w:w="3797" w:type="pct"/>
            <w:tcBorders>
              <w:top w:val="single" w:color="auto" w:sz="4" w:space="0"/>
              <w:left w:val="single" w:color="auto" w:sz="4" w:space="0"/>
              <w:bottom w:val="single" w:color="auto" w:sz="4" w:space="0"/>
              <w:right w:val="single" w:color="auto" w:sz="4" w:space="0"/>
              <w:tl2br w:val="nil"/>
              <w:tr2bl w:val="nil"/>
            </w:tcBorders>
            <w:vAlign w:val="center"/>
          </w:tcPr>
          <w:p w14:paraId="11534D63">
            <w:pPr>
              <w:pStyle w:val="84"/>
              <w:rPr>
                <w:color w:val="auto"/>
              </w:rPr>
            </w:pPr>
            <w:r>
              <w:drawing>
                <wp:inline distT="0" distB="0" distL="0" distR="0">
                  <wp:extent cx="3213735" cy="3909060"/>
                  <wp:effectExtent l="0" t="0" r="5715" b="0"/>
                  <wp:docPr id="19736602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660282" name="图片 1"/>
                          <pic:cNvPicPr>
                            <a:picLocks noChangeAspect="1"/>
                          </pic:cNvPicPr>
                        </pic:nvPicPr>
                        <pic:blipFill>
                          <a:blip r:embed="rId88"/>
                          <a:stretch>
                            <a:fillRect/>
                          </a:stretch>
                        </pic:blipFill>
                        <pic:spPr>
                          <a:xfrm>
                            <a:off x="0" y="0"/>
                            <a:ext cx="3215806" cy="3911472"/>
                          </a:xfrm>
                          <a:prstGeom prst="rect">
                            <a:avLst/>
                          </a:prstGeom>
                        </pic:spPr>
                      </pic:pic>
                    </a:graphicData>
                  </a:graphic>
                </wp:inline>
              </w:drawing>
            </w:r>
          </w:p>
        </w:tc>
      </w:tr>
      <w:tr w14:paraId="7230A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5000" w:type="pct"/>
            <w:gridSpan w:val="2"/>
            <w:tcBorders>
              <w:top w:val="single" w:color="auto" w:sz="4" w:space="0"/>
              <w:left w:val="single" w:color="auto" w:sz="4" w:space="0"/>
              <w:bottom w:val="single" w:color="auto" w:sz="4" w:space="0"/>
              <w:right w:val="single" w:color="auto" w:sz="4" w:space="0"/>
              <w:tl2br w:val="nil"/>
              <w:tr2bl w:val="nil"/>
            </w:tcBorders>
            <w:vAlign w:val="center"/>
          </w:tcPr>
          <w:p w14:paraId="19A0849C">
            <w:pPr>
              <w:pStyle w:val="84"/>
              <w:jc w:val="left"/>
              <w:rPr>
                <w:color w:val="auto"/>
              </w:rPr>
            </w:pPr>
            <w:r>
              <w:rPr>
                <w:rFonts w:hint="eastAsia" w:ascii="宋体" w:hAnsi="宋体" w:cs="宋体"/>
                <w:color w:val="auto"/>
                <w:szCs w:val="18"/>
              </w:rPr>
              <w:t>①</w:t>
            </w:r>
            <w:r>
              <w:rPr>
                <w:rFonts w:hint="eastAsia"/>
                <w:color w:val="auto"/>
              </w:rPr>
              <w:t>：根据《220kV～750kV架空输电线路设计规范》（GB50545-2010）中规定的220kV送电线路经过非居民区与居民区导线对地面的最小距离6.5m和7.5m作为导线最小对地高度的计算参数。</w:t>
            </w:r>
          </w:p>
          <w:p w14:paraId="3E0C1FE6">
            <w:pPr>
              <w:pStyle w:val="84"/>
              <w:jc w:val="left"/>
              <w:rPr>
                <w:color w:val="auto"/>
              </w:rPr>
            </w:pPr>
            <w:r>
              <w:rPr>
                <w:rFonts w:hint="eastAsia" w:ascii="宋体" w:hAnsi="宋体" w:cs="宋体"/>
                <w:color w:val="auto"/>
                <w:szCs w:val="18"/>
              </w:rPr>
              <w:t>②</w:t>
            </w:r>
            <w:r>
              <w:rPr>
                <w:rFonts w:hint="eastAsia"/>
                <w:color w:val="auto"/>
              </w:rPr>
              <w:t>：选取影响范围最广220-HB21S-J2型塔作为预测塔型。</w:t>
            </w:r>
          </w:p>
        </w:tc>
      </w:tr>
    </w:tbl>
    <w:p w14:paraId="4ED6200D">
      <w:pPr>
        <w:pStyle w:val="4"/>
      </w:pPr>
      <w:r>
        <w:br w:type="page"/>
      </w:r>
      <w:bookmarkStart w:id="123" w:name="_Toc85633944"/>
      <w:bookmarkStart w:id="124" w:name="_Toc32666"/>
      <w:r>
        <w:t xml:space="preserve">4.2.4 </w:t>
      </w:r>
      <w:r>
        <w:rPr>
          <w:rFonts w:hint="eastAsia"/>
        </w:rPr>
        <w:t>预测结果及分析</w:t>
      </w:r>
      <w:bookmarkEnd w:id="123"/>
      <w:bookmarkEnd w:id="124"/>
    </w:p>
    <w:p w14:paraId="079864C6">
      <w:pPr>
        <w:pStyle w:val="82"/>
      </w:pPr>
      <w:r>
        <w:rPr>
          <w:rFonts w:hint="eastAsia"/>
        </w:rPr>
        <w:t>表4-6  220kV双回输电线路（JL3/G1A-630/45）工频电场、工频磁感应强度计算结果</w:t>
      </w:r>
    </w:p>
    <w:tbl>
      <w:tblPr>
        <w:tblStyle w:val="25"/>
        <w:tblW w:w="5000" w:type="pct"/>
        <w:jc w:val="center"/>
        <w:tblLayout w:type="autofit"/>
        <w:tblCellMar>
          <w:top w:w="0" w:type="dxa"/>
          <w:left w:w="108" w:type="dxa"/>
          <w:bottom w:w="0" w:type="dxa"/>
          <w:right w:w="108" w:type="dxa"/>
        </w:tblCellMar>
      </w:tblPr>
      <w:tblGrid>
        <w:gridCol w:w="1773"/>
        <w:gridCol w:w="1641"/>
        <w:gridCol w:w="1924"/>
        <w:gridCol w:w="1878"/>
        <w:gridCol w:w="2026"/>
      </w:tblGrid>
      <w:tr w14:paraId="74A74566">
        <w:tblPrEx>
          <w:tblCellMar>
            <w:top w:w="0" w:type="dxa"/>
            <w:left w:w="108" w:type="dxa"/>
            <w:bottom w:w="0" w:type="dxa"/>
            <w:right w:w="108" w:type="dxa"/>
          </w:tblCellMar>
        </w:tblPrEx>
        <w:trPr>
          <w:trHeight w:val="449" w:hRule="atLeast"/>
          <w:jc w:val="center"/>
        </w:trPr>
        <w:tc>
          <w:tcPr>
            <w:tcW w:w="959" w:type="pct"/>
            <w:vMerge w:val="restart"/>
            <w:tcBorders>
              <w:top w:val="single" w:color="auto" w:sz="4" w:space="0"/>
              <w:left w:val="single" w:color="auto" w:sz="4" w:space="0"/>
              <w:bottom w:val="nil"/>
              <w:right w:val="single" w:color="auto" w:sz="4" w:space="0"/>
              <w:tl2br w:val="nil"/>
              <w:tr2bl w:val="nil"/>
            </w:tcBorders>
            <w:vAlign w:val="center"/>
          </w:tcPr>
          <w:p w14:paraId="7C5EAF6E">
            <w:pPr>
              <w:pStyle w:val="84"/>
              <w:rPr>
                <w:color w:val="auto"/>
              </w:rPr>
            </w:pPr>
            <w:r>
              <w:rPr>
                <w:rFonts w:hint="eastAsia"/>
                <w:color w:val="auto"/>
              </w:rPr>
              <w:t>距线路走廊中心距离 （</w:t>
            </w:r>
            <w:r>
              <w:rPr>
                <w:color w:val="auto"/>
              </w:rPr>
              <w:t>L/m</w:t>
            </w:r>
            <w:r>
              <w:rPr>
                <w:rFonts w:hint="eastAsia"/>
                <w:color w:val="auto"/>
              </w:rPr>
              <w:t>）</w:t>
            </w:r>
          </w:p>
        </w:tc>
        <w:tc>
          <w:tcPr>
            <w:tcW w:w="4041" w:type="pct"/>
            <w:gridSpan w:val="4"/>
            <w:tcBorders>
              <w:top w:val="single" w:color="auto" w:sz="4" w:space="0"/>
              <w:left w:val="nil"/>
              <w:bottom w:val="single" w:color="auto" w:sz="4" w:space="0"/>
              <w:right w:val="single" w:color="auto" w:sz="4" w:space="0"/>
              <w:tl2br w:val="nil"/>
              <w:tr2bl w:val="nil"/>
            </w:tcBorders>
            <w:vAlign w:val="center"/>
          </w:tcPr>
          <w:p w14:paraId="577D154E">
            <w:pPr>
              <w:pStyle w:val="84"/>
              <w:rPr>
                <w:color w:val="auto"/>
              </w:rPr>
            </w:pPr>
            <w:r>
              <w:rPr>
                <w:rFonts w:hint="eastAsia"/>
                <w:color w:val="auto"/>
              </w:rPr>
              <w:t>地面1.5m高度处的电磁环境影响预测结果</w:t>
            </w:r>
          </w:p>
        </w:tc>
      </w:tr>
      <w:tr w14:paraId="63341C95">
        <w:tblPrEx>
          <w:tblCellMar>
            <w:top w:w="0" w:type="dxa"/>
            <w:left w:w="108" w:type="dxa"/>
            <w:bottom w:w="0" w:type="dxa"/>
            <w:right w:w="108" w:type="dxa"/>
          </w:tblCellMar>
        </w:tblPrEx>
        <w:trPr>
          <w:trHeight w:val="331" w:hRule="atLeast"/>
          <w:jc w:val="center"/>
        </w:trPr>
        <w:tc>
          <w:tcPr>
            <w:tcW w:w="959" w:type="pct"/>
            <w:vMerge w:val="continue"/>
            <w:tcBorders>
              <w:top w:val="nil"/>
              <w:left w:val="single" w:color="auto" w:sz="4" w:space="0"/>
              <w:bottom w:val="nil"/>
              <w:right w:val="single" w:color="auto" w:sz="4" w:space="0"/>
              <w:tl2br w:val="nil"/>
              <w:tr2bl w:val="nil"/>
            </w:tcBorders>
            <w:vAlign w:val="center"/>
          </w:tcPr>
          <w:p w14:paraId="501E41C1">
            <w:pPr>
              <w:pStyle w:val="84"/>
              <w:rPr>
                <w:color w:val="auto"/>
              </w:rPr>
            </w:pPr>
          </w:p>
        </w:tc>
        <w:tc>
          <w:tcPr>
            <w:tcW w:w="1929" w:type="pct"/>
            <w:gridSpan w:val="2"/>
            <w:tcBorders>
              <w:top w:val="single" w:color="auto" w:sz="4" w:space="0"/>
              <w:left w:val="single" w:color="auto" w:sz="4" w:space="0"/>
              <w:bottom w:val="single" w:color="auto" w:sz="4" w:space="0"/>
              <w:right w:val="single" w:color="auto" w:sz="4" w:space="0"/>
              <w:tl2br w:val="nil"/>
              <w:tr2bl w:val="nil"/>
            </w:tcBorders>
            <w:vAlign w:val="center"/>
          </w:tcPr>
          <w:p w14:paraId="33CD71F0">
            <w:pPr>
              <w:pStyle w:val="84"/>
              <w:rPr>
                <w:color w:val="auto"/>
              </w:rPr>
            </w:pPr>
            <w:r>
              <w:rPr>
                <w:rFonts w:hint="eastAsia"/>
                <w:color w:val="auto"/>
              </w:rPr>
              <w:t>非居民区（线路距离地面</w:t>
            </w:r>
            <w:r>
              <w:rPr>
                <w:color w:val="auto"/>
              </w:rPr>
              <w:t>6</w:t>
            </w:r>
            <w:r>
              <w:rPr>
                <w:rFonts w:hint="eastAsia"/>
                <w:color w:val="auto"/>
              </w:rPr>
              <w:t>.5</w:t>
            </w:r>
            <w:r>
              <w:rPr>
                <w:color w:val="auto"/>
              </w:rPr>
              <w:t>m</w:t>
            </w:r>
            <w:r>
              <w:rPr>
                <w:rFonts w:hint="eastAsia"/>
                <w:color w:val="auto"/>
              </w:rPr>
              <w:t>）</w:t>
            </w:r>
          </w:p>
        </w:tc>
        <w:tc>
          <w:tcPr>
            <w:tcW w:w="2113" w:type="pct"/>
            <w:gridSpan w:val="2"/>
            <w:tcBorders>
              <w:top w:val="single" w:color="auto" w:sz="4" w:space="0"/>
              <w:left w:val="single" w:color="auto" w:sz="4" w:space="0"/>
              <w:bottom w:val="single" w:color="auto" w:sz="4" w:space="0"/>
              <w:right w:val="single" w:color="auto" w:sz="4" w:space="0"/>
              <w:tl2br w:val="nil"/>
              <w:tr2bl w:val="nil"/>
            </w:tcBorders>
            <w:vAlign w:val="center"/>
          </w:tcPr>
          <w:p w14:paraId="6B98E272">
            <w:pPr>
              <w:pStyle w:val="84"/>
              <w:rPr>
                <w:color w:val="auto"/>
              </w:rPr>
            </w:pPr>
            <w:r>
              <w:rPr>
                <w:rFonts w:hint="eastAsia"/>
                <w:color w:val="auto"/>
              </w:rPr>
              <w:t>居民区（线路距离地面</w:t>
            </w:r>
            <w:r>
              <w:rPr>
                <w:color w:val="auto"/>
              </w:rPr>
              <w:t>7</w:t>
            </w:r>
            <w:r>
              <w:rPr>
                <w:rFonts w:hint="eastAsia"/>
                <w:color w:val="auto"/>
              </w:rPr>
              <w:t>.5</w:t>
            </w:r>
            <w:r>
              <w:rPr>
                <w:color w:val="auto"/>
              </w:rPr>
              <w:t>m</w:t>
            </w:r>
            <w:r>
              <w:rPr>
                <w:rFonts w:hint="eastAsia"/>
                <w:color w:val="auto"/>
              </w:rPr>
              <w:t>）</w:t>
            </w:r>
          </w:p>
        </w:tc>
      </w:tr>
      <w:tr w14:paraId="080C09B7">
        <w:tblPrEx>
          <w:tblCellMar>
            <w:top w:w="0" w:type="dxa"/>
            <w:left w:w="108" w:type="dxa"/>
            <w:bottom w:w="0" w:type="dxa"/>
            <w:right w:w="108" w:type="dxa"/>
          </w:tblCellMar>
        </w:tblPrEx>
        <w:trPr>
          <w:trHeight w:val="650" w:hRule="atLeast"/>
          <w:jc w:val="center"/>
        </w:trPr>
        <w:tc>
          <w:tcPr>
            <w:tcW w:w="959" w:type="pct"/>
            <w:vMerge w:val="continue"/>
            <w:tcBorders>
              <w:top w:val="nil"/>
              <w:left w:val="single" w:color="auto" w:sz="4" w:space="0"/>
              <w:bottom w:val="single" w:color="auto" w:sz="4" w:space="0"/>
              <w:right w:val="single" w:color="auto" w:sz="4" w:space="0"/>
              <w:tl2br w:val="nil"/>
              <w:tr2bl w:val="nil"/>
            </w:tcBorders>
            <w:vAlign w:val="center"/>
          </w:tcPr>
          <w:p w14:paraId="613972FE">
            <w:pPr>
              <w:pStyle w:val="84"/>
              <w:rPr>
                <w:color w:val="auto"/>
              </w:rPr>
            </w:pPr>
          </w:p>
        </w:tc>
        <w:tc>
          <w:tcPr>
            <w:tcW w:w="888" w:type="pct"/>
            <w:tcBorders>
              <w:top w:val="nil"/>
              <w:left w:val="nil"/>
              <w:bottom w:val="single" w:color="auto" w:sz="4" w:space="0"/>
              <w:right w:val="single" w:color="auto" w:sz="4" w:space="0"/>
              <w:tl2br w:val="nil"/>
              <w:tr2bl w:val="nil"/>
            </w:tcBorders>
            <w:vAlign w:val="center"/>
          </w:tcPr>
          <w:p w14:paraId="73FD6591">
            <w:pPr>
              <w:pStyle w:val="84"/>
              <w:rPr>
                <w:color w:val="auto"/>
              </w:rPr>
            </w:pPr>
            <w:r>
              <w:rPr>
                <w:rFonts w:hint="eastAsia"/>
                <w:color w:val="auto"/>
              </w:rPr>
              <w:t>工频电场强度</w:t>
            </w:r>
          </w:p>
          <w:p w14:paraId="5B2E7013">
            <w:pPr>
              <w:pStyle w:val="84"/>
              <w:rPr>
                <w:color w:val="auto"/>
              </w:rPr>
            </w:pPr>
            <w:r>
              <w:rPr>
                <w:rFonts w:hint="eastAsia"/>
                <w:color w:val="auto"/>
              </w:rPr>
              <w:t>（</w:t>
            </w:r>
            <w:r>
              <w:rPr>
                <w:color w:val="auto"/>
              </w:rPr>
              <w:t>V/m</w:t>
            </w:r>
            <w:r>
              <w:rPr>
                <w:rFonts w:hint="eastAsia"/>
                <w:color w:val="auto"/>
              </w:rPr>
              <w:t>）</w:t>
            </w:r>
          </w:p>
        </w:tc>
        <w:tc>
          <w:tcPr>
            <w:tcW w:w="1041" w:type="pct"/>
            <w:tcBorders>
              <w:top w:val="nil"/>
              <w:left w:val="nil"/>
              <w:bottom w:val="single" w:color="auto" w:sz="4" w:space="0"/>
              <w:right w:val="single" w:color="auto" w:sz="4" w:space="0"/>
              <w:tl2br w:val="nil"/>
              <w:tr2bl w:val="nil"/>
            </w:tcBorders>
            <w:vAlign w:val="center"/>
          </w:tcPr>
          <w:p w14:paraId="1F8E613F">
            <w:pPr>
              <w:pStyle w:val="84"/>
              <w:rPr>
                <w:color w:val="auto"/>
              </w:rPr>
            </w:pPr>
            <w:r>
              <w:rPr>
                <w:rFonts w:hint="eastAsia"/>
                <w:color w:val="auto"/>
              </w:rPr>
              <w:t>工频磁感应强度</w:t>
            </w:r>
          </w:p>
          <w:p w14:paraId="34356748">
            <w:pPr>
              <w:pStyle w:val="84"/>
              <w:rPr>
                <w:color w:val="auto"/>
              </w:rPr>
            </w:pPr>
            <w:r>
              <w:rPr>
                <w:rFonts w:hint="eastAsia"/>
                <w:color w:val="auto"/>
              </w:rPr>
              <w:t>（</w:t>
            </w:r>
            <w:r>
              <w:rPr>
                <w:color w:val="auto"/>
              </w:rPr>
              <w:t>μT</w:t>
            </w:r>
            <w:r>
              <w:rPr>
                <w:rFonts w:hint="eastAsia"/>
                <w:color w:val="auto"/>
              </w:rPr>
              <w:t>）</w:t>
            </w:r>
          </w:p>
        </w:tc>
        <w:tc>
          <w:tcPr>
            <w:tcW w:w="1016" w:type="pct"/>
            <w:tcBorders>
              <w:top w:val="nil"/>
              <w:left w:val="nil"/>
              <w:bottom w:val="single" w:color="auto" w:sz="4" w:space="0"/>
              <w:right w:val="single" w:color="auto" w:sz="4" w:space="0"/>
              <w:tl2br w:val="nil"/>
              <w:tr2bl w:val="nil"/>
            </w:tcBorders>
            <w:vAlign w:val="center"/>
          </w:tcPr>
          <w:p w14:paraId="7FC8143D">
            <w:pPr>
              <w:pStyle w:val="84"/>
              <w:rPr>
                <w:color w:val="auto"/>
              </w:rPr>
            </w:pPr>
            <w:r>
              <w:rPr>
                <w:rFonts w:hint="eastAsia"/>
                <w:color w:val="auto"/>
              </w:rPr>
              <w:t>工频电场强度</w:t>
            </w:r>
          </w:p>
          <w:p w14:paraId="39BD5542">
            <w:pPr>
              <w:pStyle w:val="84"/>
              <w:rPr>
                <w:color w:val="auto"/>
              </w:rPr>
            </w:pPr>
            <w:r>
              <w:rPr>
                <w:rFonts w:hint="eastAsia"/>
                <w:color w:val="auto"/>
              </w:rPr>
              <w:t>（</w:t>
            </w:r>
            <w:r>
              <w:rPr>
                <w:color w:val="auto"/>
              </w:rPr>
              <w:t>V/m</w:t>
            </w:r>
            <w:r>
              <w:rPr>
                <w:rFonts w:hint="eastAsia"/>
                <w:color w:val="auto"/>
              </w:rPr>
              <w:t>）</w:t>
            </w:r>
          </w:p>
        </w:tc>
        <w:tc>
          <w:tcPr>
            <w:tcW w:w="1096" w:type="pct"/>
            <w:tcBorders>
              <w:top w:val="nil"/>
              <w:left w:val="nil"/>
              <w:bottom w:val="single" w:color="auto" w:sz="4" w:space="0"/>
              <w:right w:val="single" w:color="auto" w:sz="4" w:space="0"/>
              <w:tl2br w:val="nil"/>
              <w:tr2bl w:val="nil"/>
            </w:tcBorders>
            <w:vAlign w:val="center"/>
          </w:tcPr>
          <w:p w14:paraId="2F7C8A70">
            <w:pPr>
              <w:pStyle w:val="84"/>
              <w:rPr>
                <w:color w:val="auto"/>
              </w:rPr>
            </w:pPr>
            <w:r>
              <w:rPr>
                <w:rFonts w:hint="eastAsia"/>
                <w:color w:val="auto"/>
              </w:rPr>
              <w:t>工频磁感应强度</w:t>
            </w:r>
          </w:p>
          <w:p w14:paraId="57D7ACC6">
            <w:pPr>
              <w:pStyle w:val="84"/>
              <w:rPr>
                <w:color w:val="auto"/>
              </w:rPr>
            </w:pPr>
            <w:r>
              <w:rPr>
                <w:rFonts w:hint="eastAsia"/>
                <w:color w:val="auto"/>
              </w:rPr>
              <w:t>（</w:t>
            </w:r>
            <w:r>
              <w:rPr>
                <w:color w:val="auto"/>
              </w:rPr>
              <w:t>μT</w:t>
            </w:r>
            <w:r>
              <w:rPr>
                <w:rFonts w:hint="eastAsia"/>
                <w:color w:val="auto"/>
              </w:rPr>
              <w:t>）</w:t>
            </w:r>
          </w:p>
        </w:tc>
      </w:tr>
      <w:tr w14:paraId="1462B4BB">
        <w:tblPrEx>
          <w:tblCellMar>
            <w:top w:w="0" w:type="dxa"/>
            <w:left w:w="108" w:type="dxa"/>
            <w:bottom w:w="0" w:type="dxa"/>
            <w:right w:w="108" w:type="dxa"/>
          </w:tblCellMar>
        </w:tblPrEx>
        <w:trPr>
          <w:trHeight w:val="331" w:hRule="atLeast"/>
          <w:jc w:val="center"/>
        </w:trPr>
        <w:tc>
          <w:tcPr>
            <w:tcW w:w="959" w:type="pct"/>
            <w:vMerge w:val="continue"/>
            <w:tcBorders>
              <w:top w:val="nil"/>
              <w:left w:val="single" w:color="auto" w:sz="4" w:space="0"/>
              <w:bottom w:val="single" w:color="auto" w:sz="4" w:space="0"/>
              <w:right w:val="single" w:color="auto" w:sz="4" w:space="0"/>
              <w:tl2br w:val="nil"/>
              <w:tr2bl w:val="nil"/>
            </w:tcBorders>
            <w:vAlign w:val="center"/>
          </w:tcPr>
          <w:p w14:paraId="50DD6687">
            <w:pPr>
              <w:pStyle w:val="84"/>
              <w:rPr>
                <w:color w:val="auto"/>
              </w:rPr>
            </w:pPr>
          </w:p>
        </w:tc>
        <w:tc>
          <w:tcPr>
            <w:tcW w:w="888" w:type="pct"/>
            <w:tcBorders>
              <w:top w:val="nil"/>
              <w:left w:val="nil"/>
              <w:bottom w:val="single" w:color="auto" w:sz="4" w:space="0"/>
              <w:right w:val="single" w:color="auto" w:sz="4" w:space="0"/>
              <w:tl2br w:val="nil"/>
              <w:tr2bl w:val="nil"/>
            </w:tcBorders>
            <w:vAlign w:val="center"/>
          </w:tcPr>
          <w:p w14:paraId="58B339F5">
            <w:pPr>
              <w:pStyle w:val="84"/>
              <w:rPr>
                <w:color w:val="auto"/>
              </w:rPr>
            </w:pPr>
            <w:r>
              <w:rPr>
                <w:color w:val="auto"/>
              </w:rPr>
              <w:t>E</w:t>
            </w:r>
          </w:p>
        </w:tc>
        <w:tc>
          <w:tcPr>
            <w:tcW w:w="1041" w:type="pct"/>
            <w:tcBorders>
              <w:top w:val="nil"/>
              <w:left w:val="nil"/>
              <w:bottom w:val="single" w:color="auto" w:sz="4" w:space="0"/>
              <w:right w:val="single" w:color="auto" w:sz="4" w:space="0"/>
              <w:tl2br w:val="nil"/>
              <w:tr2bl w:val="nil"/>
            </w:tcBorders>
            <w:vAlign w:val="center"/>
          </w:tcPr>
          <w:p w14:paraId="6EC361F0">
            <w:pPr>
              <w:pStyle w:val="84"/>
              <w:rPr>
                <w:color w:val="auto"/>
              </w:rPr>
            </w:pPr>
            <w:r>
              <w:rPr>
                <w:color w:val="auto"/>
              </w:rPr>
              <w:t>B</w:t>
            </w:r>
          </w:p>
        </w:tc>
        <w:tc>
          <w:tcPr>
            <w:tcW w:w="1016" w:type="pct"/>
            <w:tcBorders>
              <w:top w:val="nil"/>
              <w:left w:val="nil"/>
              <w:bottom w:val="single" w:color="auto" w:sz="4" w:space="0"/>
              <w:right w:val="single" w:color="auto" w:sz="4" w:space="0"/>
              <w:tl2br w:val="nil"/>
              <w:tr2bl w:val="nil"/>
            </w:tcBorders>
            <w:vAlign w:val="center"/>
          </w:tcPr>
          <w:p w14:paraId="589130A4">
            <w:pPr>
              <w:pStyle w:val="84"/>
              <w:rPr>
                <w:color w:val="auto"/>
              </w:rPr>
            </w:pPr>
            <w:r>
              <w:rPr>
                <w:color w:val="auto"/>
              </w:rPr>
              <w:t>E</w:t>
            </w:r>
          </w:p>
        </w:tc>
        <w:tc>
          <w:tcPr>
            <w:tcW w:w="1096" w:type="pct"/>
            <w:tcBorders>
              <w:top w:val="nil"/>
              <w:left w:val="nil"/>
              <w:bottom w:val="single" w:color="auto" w:sz="4" w:space="0"/>
              <w:right w:val="single" w:color="auto" w:sz="4" w:space="0"/>
              <w:tl2br w:val="nil"/>
              <w:tr2bl w:val="nil"/>
            </w:tcBorders>
            <w:vAlign w:val="center"/>
          </w:tcPr>
          <w:p w14:paraId="5503F88A">
            <w:pPr>
              <w:pStyle w:val="84"/>
              <w:rPr>
                <w:color w:val="auto"/>
              </w:rPr>
            </w:pPr>
            <w:r>
              <w:rPr>
                <w:color w:val="auto"/>
              </w:rPr>
              <w:t>B</w:t>
            </w:r>
          </w:p>
        </w:tc>
      </w:tr>
      <w:tr w14:paraId="013FE26D">
        <w:tblPrEx>
          <w:tblCellMar>
            <w:top w:w="0" w:type="dxa"/>
            <w:left w:w="108" w:type="dxa"/>
            <w:bottom w:w="0" w:type="dxa"/>
            <w:right w:w="108" w:type="dxa"/>
          </w:tblCellMar>
        </w:tblPrEx>
        <w:trPr>
          <w:trHeight w:val="331" w:hRule="atLeast"/>
          <w:jc w:val="center"/>
        </w:trPr>
        <w:tc>
          <w:tcPr>
            <w:tcW w:w="959" w:type="pct"/>
            <w:tcBorders>
              <w:top w:val="single" w:color="auto" w:sz="4" w:space="0"/>
              <w:left w:val="single" w:color="auto" w:sz="4" w:space="0"/>
              <w:bottom w:val="single" w:color="auto" w:sz="4" w:space="0"/>
              <w:right w:val="single" w:color="auto" w:sz="8" w:space="0"/>
              <w:tl2br w:val="nil"/>
              <w:tr2bl w:val="nil"/>
            </w:tcBorders>
            <w:vAlign w:val="center"/>
          </w:tcPr>
          <w:p w14:paraId="29BC214F">
            <w:pPr>
              <w:pStyle w:val="84"/>
              <w:rPr>
                <w:color w:val="auto"/>
              </w:rPr>
            </w:pPr>
            <w:r>
              <w:rPr>
                <w:color w:val="auto"/>
              </w:rPr>
              <w:t>0</w:t>
            </w:r>
          </w:p>
        </w:tc>
        <w:tc>
          <w:tcPr>
            <w:tcW w:w="888" w:type="pct"/>
            <w:tcBorders>
              <w:top w:val="single" w:color="auto" w:sz="4" w:space="0"/>
              <w:left w:val="nil"/>
              <w:bottom w:val="single" w:color="auto" w:sz="4" w:space="0"/>
              <w:right w:val="single" w:color="auto" w:sz="8" w:space="0"/>
              <w:tl2br w:val="nil"/>
              <w:tr2bl w:val="nil"/>
            </w:tcBorders>
            <w:vAlign w:val="center"/>
          </w:tcPr>
          <w:p w14:paraId="31569018">
            <w:pPr>
              <w:pStyle w:val="84"/>
              <w:rPr>
                <w:color w:val="auto"/>
              </w:rPr>
            </w:pPr>
            <w:r>
              <w:rPr>
                <w:rFonts w:hint="eastAsia"/>
                <w:color w:val="auto"/>
              </w:rPr>
              <w:t>1</w:t>
            </w:r>
            <w:r>
              <w:rPr>
                <w:color w:val="auto"/>
              </w:rPr>
              <w:t>215</w:t>
            </w:r>
          </w:p>
        </w:tc>
        <w:tc>
          <w:tcPr>
            <w:tcW w:w="1041" w:type="pct"/>
            <w:tcBorders>
              <w:top w:val="single" w:color="auto" w:sz="4" w:space="0"/>
              <w:left w:val="nil"/>
              <w:bottom w:val="single" w:color="auto" w:sz="4" w:space="0"/>
              <w:right w:val="single" w:color="auto" w:sz="4" w:space="0"/>
              <w:tl2br w:val="nil"/>
              <w:tr2bl w:val="nil"/>
            </w:tcBorders>
          </w:tcPr>
          <w:p w14:paraId="60E2ABA1">
            <w:pPr>
              <w:pStyle w:val="84"/>
              <w:rPr>
                <w:color w:val="auto"/>
              </w:rPr>
            </w:pPr>
            <w:r>
              <w:rPr>
                <w:rFonts w:hint="eastAsia"/>
                <w:color w:val="auto"/>
              </w:rPr>
              <w:t>1</w:t>
            </w:r>
            <w:r>
              <w:rPr>
                <w:color w:val="auto"/>
              </w:rPr>
              <w:t>6.228</w:t>
            </w:r>
          </w:p>
        </w:tc>
        <w:tc>
          <w:tcPr>
            <w:tcW w:w="1016" w:type="pct"/>
            <w:tcBorders>
              <w:top w:val="single" w:color="auto" w:sz="4" w:space="0"/>
              <w:left w:val="nil"/>
              <w:bottom w:val="single" w:color="auto" w:sz="4" w:space="0"/>
              <w:right w:val="single" w:color="auto" w:sz="8" w:space="0"/>
              <w:tl2br w:val="nil"/>
              <w:tr2bl w:val="nil"/>
            </w:tcBorders>
            <w:vAlign w:val="center"/>
          </w:tcPr>
          <w:p w14:paraId="72DF2131">
            <w:pPr>
              <w:pStyle w:val="84"/>
              <w:rPr>
                <w:color w:val="auto"/>
              </w:rPr>
            </w:pPr>
            <w:r>
              <w:rPr>
                <w:rFonts w:hint="eastAsia"/>
                <w:color w:val="auto"/>
              </w:rPr>
              <w:t>1</w:t>
            </w:r>
            <w:r>
              <w:rPr>
                <w:color w:val="auto"/>
              </w:rPr>
              <w:t>012</w:t>
            </w:r>
          </w:p>
        </w:tc>
        <w:tc>
          <w:tcPr>
            <w:tcW w:w="1096" w:type="pct"/>
            <w:tcBorders>
              <w:top w:val="single" w:color="auto" w:sz="4" w:space="0"/>
              <w:left w:val="nil"/>
              <w:bottom w:val="single" w:color="auto" w:sz="4" w:space="0"/>
              <w:right w:val="single" w:color="auto" w:sz="4" w:space="0"/>
              <w:tl2br w:val="nil"/>
              <w:tr2bl w:val="nil"/>
            </w:tcBorders>
          </w:tcPr>
          <w:p w14:paraId="75094F9B">
            <w:pPr>
              <w:pStyle w:val="84"/>
              <w:rPr>
                <w:color w:val="auto"/>
              </w:rPr>
            </w:pPr>
            <w:r>
              <w:rPr>
                <w:rFonts w:hint="eastAsia"/>
                <w:color w:val="auto"/>
              </w:rPr>
              <w:t>1</w:t>
            </w:r>
            <w:r>
              <w:rPr>
                <w:color w:val="auto"/>
              </w:rPr>
              <w:t>5.728</w:t>
            </w:r>
          </w:p>
        </w:tc>
      </w:tr>
      <w:tr w14:paraId="5FC27D46">
        <w:tblPrEx>
          <w:tblCellMar>
            <w:top w:w="0" w:type="dxa"/>
            <w:left w:w="108" w:type="dxa"/>
            <w:bottom w:w="0" w:type="dxa"/>
            <w:right w:w="108" w:type="dxa"/>
          </w:tblCellMar>
        </w:tblPrEx>
        <w:trPr>
          <w:trHeight w:val="331" w:hRule="atLeast"/>
          <w:jc w:val="center"/>
        </w:trPr>
        <w:tc>
          <w:tcPr>
            <w:tcW w:w="959" w:type="pct"/>
            <w:tcBorders>
              <w:top w:val="single" w:color="auto" w:sz="4" w:space="0"/>
              <w:left w:val="single" w:color="auto" w:sz="8" w:space="0"/>
              <w:bottom w:val="single" w:color="auto" w:sz="8" w:space="0"/>
              <w:right w:val="single" w:color="auto" w:sz="8" w:space="0"/>
              <w:tl2br w:val="nil"/>
              <w:tr2bl w:val="nil"/>
            </w:tcBorders>
            <w:vAlign w:val="center"/>
          </w:tcPr>
          <w:p w14:paraId="0ADE1F7B">
            <w:pPr>
              <w:pStyle w:val="84"/>
              <w:rPr>
                <w:color w:val="auto"/>
              </w:rPr>
            </w:pPr>
            <w:r>
              <w:rPr>
                <w:color w:val="auto"/>
              </w:rPr>
              <w:t>1</w:t>
            </w:r>
          </w:p>
        </w:tc>
        <w:tc>
          <w:tcPr>
            <w:tcW w:w="888" w:type="pct"/>
            <w:tcBorders>
              <w:top w:val="single" w:color="auto" w:sz="4" w:space="0"/>
              <w:left w:val="nil"/>
              <w:bottom w:val="single" w:color="auto" w:sz="8" w:space="0"/>
              <w:right w:val="single" w:color="auto" w:sz="8" w:space="0"/>
              <w:tl2br w:val="nil"/>
              <w:tr2bl w:val="nil"/>
            </w:tcBorders>
            <w:vAlign w:val="center"/>
          </w:tcPr>
          <w:p w14:paraId="066A67C9">
            <w:pPr>
              <w:pStyle w:val="84"/>
              <w:rPr>
                <w:color w:val="auto"/>
              </w:rPr>
            </w:pPr>
            <w:r>
              <w:rPr>
                <w:rFonts w:hint="eastAsia"/>
                <w:color w:val="auto"/>
              </w:rPr>
              <w:t>1</w:t>
            </w:r>
            <w:r>
              <w:rPr>
                <w:color w:val="auto"/>
              </w:rPr>
              <w:t>438</w:t>
            </w:r>
          </w:p>
        </w:tc>
        <w:tc>
          <w:tcPr>
            <w:tcW w:w="1041" w:type="pct"/>
            <w:tcBorders>
              <w:top w:val="single" w:color="auto" w:sz="4" w:space="0"/>
              <w:left w:val="nil"/>
              <w:bottom w:val="single" w:color="auto" w:sz="8" w:space="0"/>
              <w:right w:val="single" w:color="auto" w:sz="4" w:space="0"/>
              <w:tl2br w:val="nil"/>
              <w:tr2bl w:val="nil"/>
            </w:tcBorders>
          </w:tcPr>
          <w:p w14:paraId="3B1C4E8B">
            <w:pPr>
              <w:pStyle w:val="84"/>
              <w:rPr>
                <w:color w:val="auto"/>
              </w:rPr>
            </w:pPr>
            <w:r>
              <w:rPr>
                <w:rFonts w:hint="eastAsia"/>
                <w:color w:val="auto"/>
              </w:rPr>
              <w:t>1</w:t>
            </w:r>
            <w:r>
              <w:rPr>
                <w:color w:val="auto"/>
              </w:rPr>
              <w:t>6.595</w:t>
            </w:r>
          </w:p>
        </w:tc>
        <w:tc>
          <w:tcPr>
            <w:tcW w:w="1016" w:type="pct"/>
            <w:tcBorders>
              <w:top w:val="single" w:color="auto" w:sz="4" w:space="0"/>
              <w:left w:val="nil"/>
              <w:bottom w:val="single" w:color="auto" w:sz="8" w:space="0"/>
              <w:right w:val="single" w:color="auto" w:sz="8" w:space="0"/>
              <w:tl2br w:val="nil"/>
              <w:tr2bl w:val="nil"/>
            </w:tcBorders>
            <w:vAlign w:val="center"/>
          </w:tcPr>
          <w:p w14:paraId="47FDF563">
            <w:pPr>
              <w:pStyle w:val="84"/>
              <w:rPr>
                <w:color w:val="auto"/>
              </w:rPr>
            </w:pPr>
            <w:r>
              <w:rPr>
                <w:rFonts w:hint="eastAsia"/>
                <w:color w:val="auto"/>
              </w:rPr>
              <w:t>1</w:t>
            </w:r>
            <w:r>
              <w:rPr>
                <w:color w:val="auto"/>
              </w:rPr>
              <w:t>160</w:t>
            </w:r>
          </w:p>
        </w:tc>
        <w:tc>
          <w:tcPr>
            <w:tcW w:w="1096" w:type="pct"/>
            <w:tcBorders>
              <w:top w:val="single" w:color="auto" w:sz="4" w:space="0"/>
              <w:left w:val="nil"/>
              <w:bottom w:val="single" w:color="auto" w:sz="8" w:space="0"/>
              <w:right w:val="single" w:color="auto" w:sz="4" w:space="0"/>
              <w:tl2br w:val="nil"/>
              <w:tr2bl w:val="nil"/>
            </w:tcBorders>
          </w:tcPr>
          <w:p w14:paraId="74BBB2AD">
            <w:pPr>
              <w:pStyle w:val="84"/>
              <w:rPr>
                <w:color w:val="auto"/>
              </w:rPr>
            </w:pPr>
            <w:r>
              <w:rPr>
                <w:rFonts w:hint="eastAsia"/>
                <w:color w:val="auto"/>
              </w:rPr>
              <w:t>1</w:t>
            </w:r>
            <w:r>
              <w:rPr>
                <w:color w:val="auto"/>
              </w:rPr>
              <w:t>5.900</w:t>
            </w:r>
          </w:p>
        </w:tc>
      </w:tr>
      <w:tr w14:paraId="4919D02E">
        <w:tblPrEx>
          <w:tblCellMar>
            <w:top w:w="0" w:type="dxa"/>
            <w:left w:w="108" w:type="dxa"/>
            <w:bottom w:w="0" w:type="dxa"/>
            <w:right w:w="108" w:type="dxa"/>
          </w:tblCellMar>
        </w:tblPrEx>
        <w:trPr>
          <w:trHeight w:val="331" w:hRule="atLeast"/>
          <w:jc w:val="center"/>
        </w:trPr>
        <w:tc>
          <w:tcPr>
            <w:tcW w:w="959" w:type="pct"/>
            <w:tcBorders>
              <w:top w:val="single" w:color="auto" w:sz="4" w:space="0"/>
              <w:left w:val="single" w:color="auto" w:sz="8" w:space="0"/>
              <w:bottom w:val="single" w:color="auto" w:sz="8" w:space="0"/>
              <w:right w:val="single" w:color="auto" w:sz="8" w:space="0"/>
              <w:tl2br w:val="nil"/>
              <w:tr2bl w:val="nil"/>
            </w:tcBorders>
            <w:vAlign w:val="center"/>
          </w:tcPr>
          <w:p w14:paraId="434CCBF5">
            <w:pPr>
              <w:pStyle w:val="84"/>
              <w:rPr>
                <w:color w:val="auto"/>
              </w:rPr>
            </w:pPr>
            <w:r>
              <w:rPr>
                <w:color w:val="auto"/>
              </w:rPr>
              <w:t>2</w:t>
            </w:r>
          </w:p>
        </w:tc>
        <w:tc>
          <w:tcPr>
            <w:tcW w:w="888" w:type="pct"/>
            <w:tcBorders>
              <w:top w:val="single" w:color="auto" w:sz="4" w:space="0"/>
              <w:left w:val="nil"/>
              <w:bottom w:val="single" w:color="auto" w:sz="8" w:space="0"/>
              <w:right w:val="single" w:color="auto" w:sz="8" w:space="0"/>
              <w:tl2br w:val="nil"/>
              <w:tr2bl w:val="nil"/>
            </w:tcBorders>
            <w:vAlign w:val="center"/>
          </w:tcPr>
          <w:p w14:paraId="74395490">
            <w:pPr>
              <w:pStyle w:val="84"/>
              <w:rPr>
                <w:color w:val="auto"/>
              </w:rPr>
            </w:pPr>
            <w:r>
              <w:rPr>
                <w:rFonts w:hint="eastAsia"/>
                <w:color w:val="auto"/>
              </w:rPr>
              <w:t>1</w:t>
            </w:r>
            <w:r>
              <w:rPr>
                <w:color w:val="auto"/>
              </w:rPr>
              <w:t>920</w:t>
            </w:r>
          </w:p>
        </w:tc>
        <w:tc>
          <w:tcPr>
            <w:tcW w:w="1041" w:type="pct"/>
            <w:tcBorders>
              <w:top w:val="single" w:color="auto" w:sz="4" w:space="0"/>
              <w:left w:val="nil"/>
              <w:bottom w:val="single" w:color="auto" w:sz="8" w:space="0"/>
              <w:right w:val="single" w:color="auto" w:sz="4" w:space="0"/>
              <w:tl2br w:val="nil"/>
              <w:tr2bl w:val="nil"/>
            </w:tcBorders>
          </w:tcPr>
          <w:p w14:paraId="566DFAFE">
            <w:pPr>
              <w:pStyle w:val="84"/>
              <w:rPr>
                <w:color w:val="auto"/>
              </w:rPr>
            </w:pPr>
            <w:r>
              <w:rPr>
                <w:rFonts w:hint="eastAsia"/>
                <w:color w:val="auto"/>
              </w:rPr>
              <w:t>1</w:t>
            </w:r>
            <w:r>
              <w:rPr>
                <w:color w:val="auto"/>
              </w:rPr>
              <w:t>7.563</w:t>
            </w:r>
          </w:p>
        </w:tc>
        <w:tc>
          <w:tcPr>
            <w:tcW w:w="1016" w:type="pct"/>
            <w:tcBorders>
              <w:top w:val="single" w:color="auto" w:sz="4" w:space="0"/>
              <w:left w:val="nil"/>
              <w:bottom w:val="single" w:color="auto" w:sz="8" w:space="0"/>
              <w:right w:val="single" w:color="auto" w:sz="8" w:space="0"/>
              <w:tl2br w:val="nil"/>
              <w:tr2bl w:val="nil"/>
            </w:tcBorders>
            <w:vAlign w:val="center"/>
          </w:tcPr>
          <w:p w14:paraId="5442C4A7">
            <w:pPr>
              <w:pStyle w:val="84"/>
              <w:rPr>
                <w:color w:val="auto"/>
              </w:rPr>
            </w:pPr>
            <w:r>
              <w:rPr>
                <w:rFonts w:hint="eastAsia"/>
                <w:color w:val="auto"/>
              </w:rPr>
              <w:t>1</w:t>
            </w:r>
            <w:r>
              <w:rPr>
                <w:color w:val="auto"/>
              </w:rPr>
              <w:t>487</w:t>
            </w:r>
          </w:p>
        </w:tc>
        <w:tc>
          <w:tcPr>
            <w:tcW w:w="1096" w:type="pct"/>
            <w:tcBorders>
              <w:top w:val="single" w:color="auto" w:sz="4" w:space="0"/>
              <w:left w:val="nil"/>
              <w:bottom w:val="single" w:color="auto" w:sz="8" w:space="0"/>
              <w:right w:val="single" w:color="auto" w:sz="4" w:space="0"/>
              <w:tl2br w:val="nil"/>
              <w:tr2bl w:val="nil"/>
            </w:tcBorders>
          </w:tcPr>
          <w:p w14:paraId="207F2777">
            <w:pPr>
              <w:pStyle w:val="84"/>
              <w:rPr>
                <w:color w:val="auto"/>
              </w:rPr>
            </w:pPr>
            <w:r>
              <w:rPr>
                <w:rFonts w:hint="eastAsia"/>
                <w:color w:val="auto"/>
              </w:rPr>
              <w:t>1</w:t>
            </w:r>
            <w:r>
              <w:rPr>
                <w:color w:val="auto"/>
              </w:rPr>
              <w:t>6.345</w:t>
            </w:r>
          </w:p>
        </w:tc>
      </w:tr>
      <w:tr w14:paraId="03EDA81E">
        <w:tblPrEx>
          <w:tblCellMar>
            <w:top w:w="0" w:type="dxa"/>
            <w:left w:w="108" w:type="dxa"/>
            <w:bottom w:w="0" w:type="dxa"/>
            <w:right w:w="108" w:type="dxa"/>
          </w:tblCellMar>
        </w:tblPrEx>
        <w:trPr>
          <w:trHeight w:val="331" w:hRule="atLeast"/>
          <w:jc w:val="center"/>
        </w:trPr>
        <w:tc>
          <w:tcPr>
            <w:tcW w:w="959" w:type="pct"/>
            <w:tcBorders>
              <w:top w:val="single" w:color="auto" w:sz="4" w:space="0"/>
              <w:left w:val="single" w:color="auto" w:sz="8" w:space="0"/>
              <w:bottom w:val="single" w:color="auto" w:sz="8" w:space="0"/>
              <w:right w:val="single" w:color="auto" w:sz="8" w:space="0"/>
              <w:tl2br w:val="nil"/>
              <w:tr2bl w:val="nil"/>
            </w:tcBorders>
            <w:vAlign w:val="center"/>
          </w:tcPr>
          <w:p w14:paraId="7E544747">
            <w:pPr>
              <w:pStyle w:val="84"/>
              <w:rPr>
                <w:color w:val="auto"/>
              </w:rPr>
            </w:pPr>
            <w:r>
              <w:rPr>
                <w:color w:val="auto"/>
              </w:rPr>
              <w:t>3</w:t>
            </w:r>
          </w:p>
        </w:tc>
        <w:tc>
          <w:tcPr>
            <w:tcW w:w="888" w:type="pct"/>
            <w:tcBorders>
              <w:top w:val="single" w:color="auto" w:sz="4" w:space="0"/>
              <w:left w:val="nil"/>
              <w:bottom w:val="single" w:color="auto" w:sz="8" w:space="0"/>
              <w:right w:val="single" w:color="auto" w:sz="8" w:space="0"/>
              <w:tl2br w:val="nil"/>
              <w:tr2bl w:val="nil"/>
            </w:tcBorders>
            <w:vAlign w:val="center"/>
          </w:tcPr>
          <w:p w14:paraId="023F7571">
            <w:pPr>
              <w:pStyle w:val="84"/>
              <w:rPr>
                <w:color w:val="auto"/>
              </w:rPr>
            </w:pPr>
            <w:r>
              <w:rPr>
                <w:rFonts w:hint="eastAsia"/>
                <w:color w:val="auto"/>
              </w:rPr>
              <w:t>2</w:t>
            </w:r>
            <w:r>
              <w:rPr>
                <w:color w:val="auto"/>
              </w:rPr>
              <w:t>408</w:t>
            </w:r>
          </w:p>
        </w:tc>
        <w:tc>
          <w:tcPr>
            <w:tcW w:w="1041" w:type="pct"/>
            <w:tcBorders>
              <w:top w:val="single" w:color="auto" w:sz="4" w:space="0"/>
              <w:left w:val="nil"/>
              <w:bottom w:val="single" w:color="auto" w:sz="8" w:space="0"/>
              <w:right w:val="single" w:color="auto" w:sz="4" w:space="0"/>
              <w:tl2br w:val="nil"/>
              <w:tr2bl w:val="nil"/>
            </w:tcBorders>
          </w:tcPr>
          <w:p w14:paraId="57893343">
            <w:pPr>
              <w:pStyle w:val="84"/>
              <w:rPr>
                <w:color w:val="auto"/>
              </w:rPr>
            </w:pPr>
            <w:r>
              <w:rPr>
                <w:rFonts w:hint="eastAsia"/>
                <w:color w:val="auto"/>
              </w:rPr>
              <w:t>1</w:t>
            </w:r>
            <w:r>
              <w:rPr>
                <w:color w:val="auto"/>
              </w:rPr>
              <w:t>8.758</w:t>
            </w:r>
          </w:p>
        </w:tc>
        <w:tc>
          <w:tcPr>
            <w:tcW w:w="1016" w:type="pct"/>
            <w:tcBorders>
              <w:top w:val="single" w:color="auto" w:sz="4" w:space="0"/>
              <w:left w:val="nil"/>
              <w:bottom w:val="single" w:color="auto" w:sz="8" w:space="0"/>
              <w:right w:val="single" w:color="auto" w:sz="8" w:space="0"/>
              <w:tl2br w:val="nil"/>
              <w:tr2bl w:val="nil"/>
            </w:tcBorders>
            <w:vAlign w:val="center"/>
          </w:tcPr>
          <w:p w14:paraId="4580688F">
            <w:pPr>
              <w:pStyle w:val="84"/>
              <w:rPr>
                <w:color w:val="auto"/>
              </w:rPr>
            </w:pPr>
            <w:r>
              <w:rPr>
                <w:rFonts w:hint="eastAsia"/>
                <w:color w:val="auto"/>
              </w:rPr>
              <w:t>1</w:t>
            </w:r>
            <w:r>
              <w:rPr>
                <w:color w:val="auto"/>
              </w:rPr>
              <w:t>820</w:t>
            </w:r>
          </w:p>
        </w:tc>
        <w:tc>
          <w:tcPr>
            <w:tcW w:w="1096" w:type="pct"/>
            <w:tcBorders>
              <w:top w:val="single" w:color="auto" w:sz="4" w:space="0"/>
              <w:left w:val="nil"/>
              <w:bottom w:val="single" w:color="auto" w:sz="8" w:space="0"/>
              <w:right w:val="single" w:color="auto" w:sz="4" w:space="0"/>
              <w:tl2br w:val="nil"/>
              <w:tr2bl w:val="nil"/>
            </w:tcBorders>
          </w:tcPr>
          <w:p w14:paraId="6A3810E9">
            <w:pPr>
              <w:pStyle w:val="84"/>
              <w:rPr>
                <w:color w:val="auto"/>
              </w:rPr>
            </w:pPr>
            <w:r>
              <w:rPr>
                <w:rFonts w:hint="eastAsia"/>
                <w:color w:val="auto"/>
              </w:rPr>
              <w:t>1</w:t>
            </w:r>
            <w:r>
              <w:rPr>
                <w:color w:val="auto"/>
              </w:rPr>
              <w:t>6.867</w:t>
            </w:r>
          </w:p>
        </w:tc>
      </w:tr>
      <w:tr w14:paraId="0253F0D4">
        <w:tblPrEx>
          <w:tblCellMar>
            <w:top w:w="0" w:type="dxa"/>
            <w:left w:w="108" w:type="dxa"/>
            <w:bottom w:w="0" w:type="dxa"/>
            <w:right w:w="108" w:type="dxa"/>
          </w:tblCellMar>
        </w:tblPrEx>
        <w:trPr>
          <w:trHeight w:val="331" w:hRule="atLeast"/>
          <w:jc w:val="center"/>
        </w:trPr>
        <w:tc>
          <w:tcPr>
            <w:tcW w:w="959" w:type="pct"/>
            <w:tcBorders>
              <w:top w:val="single" w:color="auto" w:sz="4" w:space="0"/>
              <w:left w:val="single" w:color="auto" w:sz="8" w:space="0"/>
              <w:bottom w:val="single" w:color="auto" w:sz="8" w:space="0"/>
              <w:right w:val="single" w:color="auto" w:sz="8" w:space="0"/>
              <w:tl2br w:val="nil"/>
              <w:tr2bl w:val="nil"/>
            </w:tcBorders>
            <w:vAlign w:val="center"/>
          </w:tcPr>
          <w:p w14:paraId="4F5748D6">
            <w:pPr>
              <w:pStyle w:val="84"/>
              <w:rPr>
                <w:color w:val="auto"/>
              </w:rPr>
            </w:pPr>
            <w:r>
              <w:rPr>
                <w:color w:val="auto"/>
              </w:rPr>
              <w:t>4</w:t>
            </w:r>
          </w:p>
        </w:tc>
        <w:tc>
          <w:tcPr>
            <w:tcW w:w="888" w:type="pct"/>
            <w:tcBorders>
              <w:top w:val="single" w:color="auto" w:sz="4" w:space="0"/>
              <w:left w:val="nil"/>
              <w:bottom w:val="single" w:color="auto" w:sz="8" w:space="0"/>
              <w:right w:val="single" w:color="auto" w:sz="8" w:space="0"/>
              <w:tl2br w:val="nil"/>
              <w:tr2bl w:val="nil"/>
            </w:tcBorders>
            <w:vAlign w:val="center"/>
          </w:tcPr>
          <w:p w14:paraId="62920D96">
            <w:pPr>
              <w:pStyle w:val="84"/>
              <w:rPr>
                <w:color w:val="auto"/>
              </w:rPr>
            </w:pPr>
            <w:r>
              <w:rPr>
                <w:rFonts w:hint="eastAsia"/>
                <w:color w:val="auto"/>
              </w:rPr>
              <w:t>2</w:t>
            </w:r>
            <w:r>
              <w:rPr>
                <w:color w:val="auto"/>
              </w:rPr>
              <w:t>730</w:t>
            </w:r>
          </w:p>
        </w:tc>
        <w:tc>
          <w:tcPr>
            <w:tcW w:w="1041" w:type="pct"/>
            <w:tcBorders>
              <w:top w:val="single" w:color="auto" w:sz="4" w:space="0"/>
              <w:left w:val="nil"/>
              <w:bottom w:val="single" w:color="auto" w:sz="8" w:space="0"/>
              <w:right w:val="single" w:color="auto" w:sz="4" w:space="0"/>
              <w:tl2br w:val="nil"/>
              <w:tr2bl w:val="nil"/>
            </w:tcBorders>
          </w:tcPr>
          <w:p w14:paraId="18201726">
            <w:pPr>
              <w:pStyle w:val="84"/>
              <w:rPr>
                <w:color w:val="auto"/>
              </w:rPr>
            </w:pPr>
            <w:r>
              <w:rPr>
                <w:rFonts w:hint="eastAsia"/>
                <w:color w:val="auto"/>
              </w:rPr>
              <w:t>1</w:t>
            </w:r>
            <w:r>
              <w:rPr>
                <w:color w:val="auto"/>
              </w:rPr>
              <w:t>9.653</w:t>
            </w:r>
          </w:p>
        </w:tc>
        <w:tc>
          <w:tcPr>
            <w:tcW w:w="1016" w:type="pct"/>
            <w:tcBorders>
              <w:top w:val="single" w:color="auto" w:sz="4" w:space="0"/>
              <w:left w:val="nil"/>
              <w:bottom w:val="single" w:color="auto" w:sz="8" w:space="0"/>
              <w:right w:val="single" w:color="auto" w:sz="8" w:space="0"/>
              <w:tl2br w:val="nil"/>
              <w:tr2bl w:val="nil"/>
            </w:tcBorders>
            <w:vAlign w:val="center"/>
          </w:tcPr>
          <w:p w14:paraId="2224D69C">
            <w:pPr>
              <w:pStyle w:val="84"/>
              <w:rPr>
                <w:color w:val="auto"/>
              </w:rPr>
            </w:pPr>
            <w:r>
              <w:rPr>
                <w:rFonts w:hint="eastAsia"/>
                <w:color w:val="auto"/>
              </w:rPr>
              <w:t>2</w:t>
            </w:r>
            <w:r>
              <w:rPr>
                <w:color w:val="auto"/>
              </w:rPr>
              <w:t>054</w:t>
            </w:r>
          </w:p>
        </w:tc>
        <w:tc>
          <w:tcPr>
            <w:tcW w:w="1096" w:type="pct"/>
            <w:tcBorders>
              <w:top w:val="single" w:color="auto" w:sz="4" w:space="0"/>
              <w:left w:val="nil"/>
              <w:bottom w:val="single" w:color="auto" w:sz="8" w:space="0"/>
              <w:right w:val="single" w:color="auto" w:sz="4" w:space="0"/>
              <w:tl2br w:val="nil"/>
              <w:tr2bl w:val="nil"/>
            </w:tcBorders>
          </w:tcPr>
          <w:p w14:paraId="7A49F549">
            <w:pPr>
              <w:pStyle w:val="84"/>
              <w:rPr>
                <w:color w:val="auto"/>
              </w:rPr>
            </w:pPr>
            <w:r>
              <w:rPr>
                <w:rFonts w:hint="eastAsia"/>
                <w:color w:val="auto"/>
              </w:rPr>
              <w:t>1</w:t>
            </w:r>
            <w:r>
              <w:rPr>
                <w:color w:val="auto"/>
              </w:rPr>
              <w:t>7.217</w:t>
            </w:r>
          </w:p>
        </w:tc>
      </w:tr>
      <w:tr w14:paraId="137A62C4">
        <w:tblPrEx>
          <w:tblCellMar>
            <w:top w:w="0" w:type="dxa"/>
            <w:left w:w="108" w:type="dxa"/>
            <w:bottom w:w="0" w:type="dxa"/>
            <w:right w:w="108" w:type="dxa"/>
          </w:tblCellMar>
        </w:tblPrEx>
        <w:trPr>
          <w:trHeight w:val="331" w:hRule="atLeast"/>
          <w:jc w:val="center"/>
        </w:trPr>
        <w:tc>
          <w:tcPr>
            <w:tcW w:w="959" w:type="pct"/>
            <w:tcBorders>
              <w:top w:val="single" w:color="auto" w:sz="4" w:space="0"/>
              <w:left w:val="single" w:color="auto" w:sz="8" w:space="0"/>
              <w:bottom w:val="single" w:color="auto" w:sz="8" w:space="0"/>
              <w:right w:val="single" w:color="auto" w:sz="8" w:space="0"/>
              <w:tl2br w:val="nil"/>
              <w:tr2bl w:val="nil"/>
            </w:tcBorders>
            <w:shd w:val="clear" w:color="auto" w:fill="auto"/>
            <w:vAlign w:val="center"/>
          </w:tcPr>
          <w:p w14:paraId="694A9981">
            <w:pPr>
              <w:pStyle w:val="84"/>
              <w:rPr>
                <w:color w:val="auto"/>
              </w:rPr>
            </w:pPr>
            <w:r>
              <w:rPr>
                <w:color w:val="auto"/>
              </w:rPr>
              <w:t>5</w:t>
            </w:r>
          </w:p>
        </w:tc>
        <w:tc>
          <w:tcPr>
            <w:tcW w:w="888" w:type="pct"/>
            <w:tcBorders>
              <w:top w:val="single" w:color="auto" w:sz="8" w:space="0"/>
              <w:left w:val="nil"/>
              <w:bottom w:val="single" w:color="auto" w:sz="8" w:space="0"/>
              <w:right w:val="single" w:color="auto" w:sz="8" w:space="0"/>
              <w:tl2br w:val="nil"/>
              <w:tr2bl w:val="nil"/>
            </w:tcBorders>
            <w:shd w:val="pct25" w:color="auto" w:fill="auto"/>
            <w:vAlign w:val="center"/>
          </w:tcPr>
          <w:p w14:paraId="6DEFD54F">
            <w:pPr>
              <w:pStyle w:val="84"/>
              <w:rPr>
                <w:b/>
                <w:color w:val="auto"/>
              </w:rPr>
            </w:pPr>
            <w:r>
              <w:rPr>
                <w:rFonts w:hint="eastAsia"/>
                <w:b/>
                <w:color w:val="auto"/>
              </w:rPr>
              <w:t>2</w:t>
            </w:r>
            <w:r>
              <w:rPr>
                <w:b/>
                <w:color w:val="auto"/>
              </w:rPr>
              <w:t>796</w:t>
            </w:r>
          </w:p>
        </w:tc>
        <w:tc>
          <w:tcPr>
            <w:tcW w:w="1041" w:type="pct"/>
            <w:tcBorders>
              <w:top w:val="single" w:color="auto" w:sz="8" w:space="0"/>
              <w:left w:val="nil"/>
              <w:bottom w:val="single" w:color="auto" w:sz="8" w:space="0"/>
              <w:right w:val="single" w:color="auto" w:sz="4" w:space="0"/>
              <w:tl2br w:val="nil"/>
              <w:tr2bl w:val="nil"/>
            </w:tcBorders>
            <w:shd w:val="pct25" w:color="auto" w:fill="auto"/>
          </w:tcPr>
          <w:p w14:paraId="24D73AAD">
            <w:pPr>
              <w:pStyle w:val="84"/>
              <w:rPr>
                <w:b/>
                <w:color w:val="auto"/>
              </w:rPr>
            </w:pPr>
            <w:r>
              <w:rPr>
                <w:rFonts w:hint="eastAsia"/>
                <w:b/>
                <w:color w:val="auto"/>
              </w:rPr>
              <w:t>1</w:t>
            </w:r>
            <w:r>
              <w:rPr>
                <w:b/>
                <w:color w:val="auto"/>
              </w:rPr>
              <w:t>9.820</w:t>
            </w:r>
          </w:p>
        </w:tc>
        <w:tc>
          <w:tcPr>
            <w:tcW w:w="1016" w:type="pct"/>
            <w:tcBorders>
              <w:top w:val="single" w:color="auto" w:sz="8" w:space="0"/>
              <w:left w:val="nil"/>
              <w:bottom w:val="single" w:color="auto" w:sz="8" w:space="0"/>
              <w:right w:val="single" w:color="auto" w:sz="8" w:space="0"/>
              <w:tl2br w:val="nil"/>
              <w:tr2bl w:val="nil"/>
            </w:tcBorders>
            <w:shd w:val="pct25" w:color="auto" w:fill="auto"/>
            <w:vAlign w:val="center"/>
          </w:tcPr>
          <w:p w14:paraId="6FF2C5CD">
            <w:pPr>
              <w:pStyle w:val="84"/>
              <w:rPr>
                <w:b/>
                <w:color w:val="auto"/>
              </w:rPr>
            </w:pPr>
            <w:r>
              <w:rPr>
                <w:rFonts w:hint="eastAsia"/>
                <w:b/>
                <w:color w:val="auto"/>
              </w:rPr>
              <w:t>2</w:t>
            </w:r>
            <w:r>
              <w:rPr>
                <w:b/>
                <w:color w:val="auto"/>
              </w:rPr>
              <w:t>137</w:t>
            </w:r>
          </w:p>
        </w:tc>
        <w:tc>
          <w:tcPr>
            <w:tcW w:w="1096" w:type="pct"/>
            <w:tcBorders>
              <w:top w:val="single" w:color="auto" w:sz="8" w:space="0"/>
              <w:left w:val="nil"/>
              <w:bottom w:val="single" w:color="auto" w:sz="8" w:space="0"/>
              <w:right w:val="single" w:color="auto" w:sz="4" w:space="0"/>
              <w:tl2br w:val="nil"/>
              <w:tr2bl w:val="nil"/>
            </w:tcBorders>
            <w:shd w:val="pct25" w:color="auto" w:fill="auto"/>
          </w:tcPr>
          <w:p w14:paraId="4F9B4A33">
            <w:pPr>
              <w:pStyle w:val="84"/>
              <w:rPr>
                <w:b/>
                <w:color w:val="auto"/>
              </w:rPr>
            </w:pPr>
            <w:r>
              <w:rPr>
                <w:rFonts w:hint="eastAsia"/>
                <w:b/>
                <w:color w:val="auto"/>
              </w:rPr>
              <w:t>1</w:t>
            </w:r>
            <w:r>
              <w:rPr>
                <w:b/>
                <w:color w:val="auto"/>
              </w:rPr>
              <w:t>7.199</w:t>
            </w:r>
          </w:p>
        </w:tc>
      </w:tr>
      <w:tr w14:paraId="5C80D65E">
        <w:tblPrEx>
          <w:tblCellMar>
            <w:top w:w="0" w:type="dxa"/>
            <w:left w:w="108" w:type="dxa"/>
            <w:bottom w:w="0" w:type="dxa"/>
            <w:right w:w="108" w:type="dxa"/>
          </w:tblCellMar>
        </w:tblPrEx>
        <w:trPr>
          <w:trHeight w:val="331" w:hRule="atLeast"/>
          <w:jc w:val="center"/>
        </w:trPr>
        <w:tc>
          <w:tcPr>
            <w:tcW w:w="959" w:type="pct"/>
            <w:tcBorders>
              <w:top w:val="single" w:color="auto" w:sz="4" w:space="0"/>
              <w:left w:val="single" w:color="auto" w:sz="8" w:space="0"/>
              <w:bottom w:val="single" w:color="auto" w:sz="8" w:space="0"/>
              <w:right w:val="single" w:color="auto" w:sz="8" w:space="0"/>
              <w:tl2br w:val="nil"/>
              <w:tr2bl w:val="nil"/>
            </w:tcBorders>
            <w:vAlign w:val="center"/>
          </w:tcPr>
          <w:p w14:paraId="592BC3AE">
            <w:pPr>
              <w:pStyle w:val="84"/>
              <w:rPr>
                <w:color w:val="auto"/>
              </w:rPr>
            </w:pPr>
            <w:r>
              <w:rPr>
                <w:color w:val="auto"/>
              </w:rPr>
              <w:t>6</w:t>
            </w:r>
          </w:p>
        </w:tc>
        <w:tc>
          <w:tcPr>
            <w:tcW w:w="888" w:type="pct"/>
            <w:tcBorders>
              <w:top w:val="single" w:color="auto" w:sz="4" w:space="0"/>
              <w:left w:val="nil"/>
              <w:bottom w:val="single" w:color="auto" w:sz="8" w:space="0"/>
              <w:right w:val="single" w:color="auto" w:sz="8" w:space="0"/>
              <w:tl2br w:val="nil"/>
              <w:tr2bl w:val="nil"/>
            </w:tcBorders>
            <w:vAlign w:val="center"/>
          </w:tcPr>
          <w:p w14:paraId="7EFED92D">
            <w:pPr>
              <w:pStyle w:val="84"/>
              <w:rPr>
                <w:color w:val="auto"/>
              </w:rPr>
            </w:pPr>
            <w:r>
              <w:rPr>
                <w:rFonts w:hint="eastAsia"/>
                <w:color w:val="auto"/>
              </w:rPr>
              <w:t>2</w:t>
            </w:r>
            <w:r>
              <w:rPr>
                <w:color w:val="auto"/>
              </w:rPr>
              <w:t>623</w:t>
            </w:r>
          </w:p>
        </w:tc>
        <w:tc>
          <w:tcPr>
            <w:tcW w:w="1041" w:type="pct"/>
            <w:tcBorders>
              <w:top w:val="single" w:color="auto" w:sz="4" w:space="0"/>
              <w:left w:val="nil"/>
              <w:bottom w:val="single" w:color="auto" w:sz="8" w:space="0"/>
              <w:right w:val="single" w:color="auto" w:sz="4" w:space="0"/>
              <w:tl2br w:val="nil"/>
              <w:tr2bl w:val="nil"/>
            </w:tcBorders>
          </w:tcPr>
          <w:p w14:paraId="11DE93EE">
            <w:pPr>
              <w:pStyle w:val="84"/>
              <w:rPr>
                <w:color w:val="auto"/>
              </w:rPr>
            </w:pPr>
            <w:r>
              <w:rPr>
                <w:rFonts w:hint="eastAsia"/>
                <w:color w:val="auto"/>
              </w:rPr>
              <w:t>1</w:t>
            </w:r>
            <w:r>
              <w:rPr>
                <w:color w:val="auto"/>
              </w:rPr>
              <w:t>9.189</w:t>
            </w:r>
          </w:p>
        </w:tc>
        <w:tc>
          <w:tcPr>
            <w:tcW w:w="1016" w:type="pct"/>
            <w:tcBorders>
              <w:top w:val="single" w:color="auto" w:sz="4" w:space="0"/>
              <w:left w:val="nil"/>
              <w:bottom w:val="single" w:color="auto" w:sz="8" w:space="0"/>
              <w:right w:val="single" w:color="auto" w:sz="8" w:space="0"/>
              <w:tl2br w:val="nil"/>
              <w:tr2bl w:val="nil"/>
            </w:tcBorders>
            <w:vAlign w:val="center"/>
          </w:tcPr>
          <w:p w14:paraId="22DDB940">
            <w:pPr>
              <w:pStyle w:val="84"/>
              <w:rPr>
                <w:color w:val="auto"/>
              </w:rPr>
            </w:pPr>
            <w:r>
              <w:rPr>
                <w:rFonts w:hint="eastAsia"/>
                <w:color w:val="auto"/>
              </w:rPr>
              <w:t>2</w:t>
            </w:r>
            <w:r>
              <w:rPr>
                <w:color w:val="auto"/>
              </w:rPr>
              <w:t>073</w:t>
            </w:r>
          </w:p>
        </w:tc>
        <w:tc>
          <w:tcPr>
            <w:tcW w:w="1096" w:type="pct"/>
            <w:tcBorders>
              <w:top w:val="single" w:color="auto" w:sz="4" w:space="0"/>
              <w:left w:val="nil"/>
              <w:bottom w:val="single" w:color="auto" w:sz="8" w:space="0"/>
              <w:right w:val="single" w:color="auto" w:sz="4" w:space="0"/>
              <w:tl2br w:val="nil"/>
              <w:tr2bl w:val="nil"/>
            </w:tcBorders>
          </w:tcPr>
          <w:p w14:paraId="2F189109">
            <w:pPr>
              <w:pStyle w:val="84"/>
              <w:rPr>
                <w:color w:val="auto"/>
              </w:rPr>
            </w:pPr>
            <w:r>
              <w:rPr>
                <w:rFonts w:hint="eastAsia"/>
                <w:color w:val="auto"/>
              </w:rPr>
              <w:t>1</w:t>
            </w:r>
            <w:r>
              <w:rPr>
                <w:color w:val="auto"/>
              </w:rPr>
              <w:t>6.759</w:t>
            </w:r>
          </w:p>
        </w:tc>
      </w:tr>
      <w:tr w14:paraId="288216E7">
        <w:tblPrEx>
          <w:tblCellMar>
            <w:top w:w="0" w:type="dxa"/>
            <w:left w:w="108" w:type="dxa"/>
            <w:bottom w:w="0" w:type="dxa"/>
            <w:right w:w="108" w:type="dxa"/>
          </w:tblCellMar>
        </w:tblPrEx>
        <w:trPr>
          <w:trHeight w:val="331" w:hRule="atLeast"/>
          <w:jc w:val="center"/>
        </w:trPr>
        <w:tc>
          <w:tcPr>
            <w:tcW w:w="959" w:type="pct"/>
            <w:tcBorders>
              <w:top w:val="single" w:color="auto" w:sz="4" w:space="0"/>
              <w:left w:val="single" w:color="auto" w:sz="8" w:space="0"/>
              <w:bottom w:val="single" w:color="auto" w:sz="8" w:space="0"/>
              <w:right w:val="single" w:color="auto" w:sz="8" w:space="0"/>
              <w:tl2br w:val="nil"/>
              <w:tr2bl w:val="nil"/>
            </w:tcBorders>
            <w:vAlign w:val="center"/>
          </w:tcPr>
          <w:p w14:paraId="55ACB4A8">
            <w:pPr>
              <w:pStyle w:val="84"/>
              <w:rPr>
                <w:color w:val="auto"/>
              </w:rPr>
            </w:pPr>
            <w:r>
              <w:rPr>
                <w:color w:val="auto"/>
              </w:rPr>
              <w:t>7</w:t>
            </w:r>
          </w:p>
        </w:tc>
        <w:tc>
          <w:tcPr>
            <w:tcW w:w="888" w:type="pct"/>
            <w:tcBorders>
              <w:top w:val="single" w:color="auto" w:sz="4" w:space="0"/>
              <w:left w:val="nil"/>
              <w:bottom w:val="single" w:color="auto" w:sz="8" w:space="0"/>
              <w:right w:val="single" w:color="auto" w:sz="8" w:space="0"/>
              <w:tl2br w:val="nil"/>
              <w:tr2bl w:val="nil"/>
            </w:tcBorders>
            <w:vAlign w:val="center"/>
          </w:tcPr>
          <w:p w14:paraId="5D9B6912">
            <w:pPr>
              <w:pStyle w:val="84"/>
              <w:rPr>
                <w:color w:val="auto"/>
              </w:rPr>
            </w:pPr>
            <w:r>
              <w:rPr>
                <w:rFonts w:hint="eastAsia"/>
                <w:color w:val="auto"/>
              </w:rPr>
              <w:t>2</w:t>
            </w:r>
            <w:r>
              <w:rPr>
                <w:color w:val="auto"/>
              </w:rPr>
              <w:t>306</w:t>
            </w:r>
          </w:p>
        </w:tc>
        <w:tc>
          <w:tcPr>
            <w:tcW w:w="1041" w:type="pct"/>
            <w:tcBorders>
              <w:top w:val="single" w:color="auto" w:sz="4" w:space="0"/>
              <w:left w:val="nil"/>
              <w:bottom w:val="single" w:color="auto" w:sz="8" w:space="0"/>
              <w:right w:val="single" w:color="auto" w:sz="4" w:space="0"/>
              <w:tl2br w:val="nil"/>
              <w:tr2bl w:val="nil"/>
            </w:tcBorders>
          </w:tcPr>
          <w:p w14:paraId="2E1AC1CA">
            <w:pPr>
              <w:pStyle w:val="84"/>
              <w:rPr>
                <w:color w:val="auto"/>
              </w:rPr>
            </w:pPr>
            <w:r>
              <w:rPr>
                <w:rFonts w:hint="eastAsia"/>
                <w:color w:val="auto"/>
              </w:rPr>
              <w:t>1</w:t>
            </w:r>
            <w:r>
              <w:rPr>
                <w:color w:val="auto"/>
              </w:rPr>
              <w:t>8.011</w:t>
            </w:r>
          </w:p>
        </w:tc>
        <w:tc>
          <w:tcPr>
            <w:tcW w:w="1016" w:type="pct"/>
            <w:tcBorders>
              <w:top w:val="single" w:color="auto" w:sz="4" w:space="0"/>
              <w:left w:val="nil"/>
              <w:bottom w:val="single" w:color="auto" w:sz="8" w:space="0"/>
              <w:right w:val="single" w:color="auto" w:sz="8" w:space="0"/>
              <w:tl2br w:val="nil"/>
              <w:tr2bl w:val="nil"/>
            </w:tcBorders>
            <w:vAlign w:val="center"/>
          </w:tcPr>
          <w:p w14:paraId="53892B96">
            <w:pPr>
              <w:pStyle w:val="84"/>
              <w:rPr>
                <w:color w:val="auto"/>
              </w:rPr>
            </w:pPr>
            <w:r>
              <w:rPr>
                <w:rFonts w:hint="eastAsia"/>
                <w:color w:val="auto"/>
              </w:rPr>
              <w:t>1</w:t>
            </w:r>
            <w:r>
              <w:rPr>
                <w:color w:val="auto"/>
              </w:rPr>
              <w:t>902</w:t>
            </w:r>
          </w:p>
        </w:tc>
        <w:tc>
          <w:tcPr>
            <w:tcW w:w="1096" w:type="pct"/>
            <w:tcBorders>
              <w:top w:val="single" w:color="auto" w:sz="4" w:space="0"/>
              <w:left w:val="nil"/>
              <w:bottom w:val="single" w:color="auto" w:sz="8" w:space="0"/>
              <w:right w:val="single" w:color="auto" w:sz="4" w:space="0"/>
              <w:tl2br w:val="nil"/>
              <w:tr2bl w:val="nil"/>
            </w:tcBorders>
          </w:tcPr>
          <w:p w14:paraId="505A0517">
            <w:pPr>
              <w:pStyle w:val="84"/>
              <w:rPr>
                <w:color w:val="auto"/>
              </w:rPr>
            </w:pPr>
            <w:r>
              <w:rPr>
                <w:rFonts w:hint="eastAsia"/>
                <w:color w:val="auto"/>
              </w:rPr>
              <w:t>1</w:t>
            </w:r>
            <w:r>
              <w:rPr>
                <w:color w:val="auto"/>
              </w:rPr>
              <w:t>5.983</w:t>
            </w:r>
          </w:p>
        </w:tc>
      </w:tr>
      <w:tr w14:paraId="786B7527">
        <w:tblPrEx>
          <w:tblCellMar>
            <w:top w:w="0" w:type="dxa"/>
            <w:left w:w="108" w:type="dxa"/>
            <w:bottom w:w="0" w:type="dxa"/>
            <w:right w:w="108" w:type="dxa"/>
          </w:tblCellMar>
        </w:tblPrEx>
        <w:trPr>
          <w:trHeight w:val="331" w:hRule="atLeast"/>
          <w:jc w:val="center"/>
        </w:trPr>
        <w:tc>
          <w:tcPr>
            <w:tcW w:w="959" w:type="pct"/>
            <w:tcBorders>
              <w:top w:val="single" w:color="auto" w:sz="4" w:space="0"/>
              <w:left w:val="single" w:color="auto" w:sz="8" w:space="0"/>
              <w:bottom w:val="single" w:color="auto" w:sz="8" w:space="0"/>
              <w:right w:val="single" w:color="auto" w:sz="8" w:space="0"/>
              <w:tl2br w:val="nil"/>
              <w:tr2bl w:val="nil"/>
            </w:tcBorders>
            <w:vAlign w:val="center"/>
          </w:tcPr>
          <w:p w14:paraId="21B563B4">
            <w:pPr>
              <w:pStyle w:val="84"/>
              <w:rPr>
                <w:color w:val="auto"/>
              </w:rPr>
            </w:pPr>
            <w:r>
              <w:rPr>
                <w:color w:val="auto"/>
              </w:rPr>
              <w:t>8</w:t>
            </w:r>
          </w:p>
        </w:tc>
        <w:tc>
          <w:tcPr>
            <w:tcW w:w="888" w:type="pct"/>
            <w:tcBorders>
              <w:top w:val="single" w:color="auto" w:sz="4" w:space="0"/>
              <w:left w:val="nil"/>
              <w:bottom w:val="single" w:color="auto" w:sz="8" w:space="0"/>
              <w:right w:val="single" w:color="auto" w:sz="8" w:space="0"/>
              <w:tl2br w:val="nil"/>
              <w:tr2bl w:val="nil"/>
            </w:tcBorders>
            <w:vAlign w:val="center"/>
          </w:tcPr>
          <w:p w14:paraId="46BEA451">
            <w:pPr>
              <w:pStyle w:val="84"/>
              <w:rPr>
                <w:color w:val="auto"/>
              </w:rPr>
            </w:pPr>
            <w:r>
              <w:rPr>
                <w:rFonts w:hint="eastAsia"/>
                <w:color w:val="auto"/>
              </w:rPr>
              <w:t>1</w:t>
            </w:r>
            <w:r>
              <w:rPr>
                <w:color w:val="auto"/>
              </w:rPr>
              <w:t>944</w:t>
            </w:r>
          </w:p>
        </w:tc>
        <w:tc>
          <w:tcPr>
            <w:tcW w:w="1041" w:type="pct"/>
            <w:tcBorders>
              <w:top w:val="single" w:color="auto" w:sz="4" w:space="0"/>
              <w:left w:val="nil"/>
              <w:bottom w:val="single" w:color="auto" w:sz="8" w:space="0"/>
              <w:right w:val="single" w:color="auto" w:sz="4" w:space="0"/>
              <w:tl2br w:val="nil"/>
              <w:tr2bl w:val="nil"/>
            </w:tcBorders>
          </w:tcPr>
          <w:p w14:paraId="1AB28C8C">
            <w:pPr>
              <w:pStyle w:val="84"/>
              <w:rPr>
                <w:color w:val="auto"/>
              </w:rPr>
            </w:pPr>
            <w:r>
              <w:rPr>
                <w:rFonts w:hint="eastAsia"/>
                <w:color w:val="auto"/>
              </w:rPr>
              <w:t>1</w:t>
            </w:r>
            <w:r>
              <w:rPr>
                <w:color w:val="auto"/>
              </w:rPr>
              <w:t>6.607</w:t>
            </w:r>
          </w:p>
        </w:tc>
        <w:tc>
          <w:tcPr>
            <w:tcW w:w="1016" w:type="pct"/>
            <w:tcBorders>
              <w:top w:val="single" w:color="auto" w:sz="4" w:space="0"/>
              <w:left w:val="nil"/>
              <w:bottom w:val="single" w:color="auto" w:sz="8" w:space="0"/>
              <w:right w:val="single" w:color="auto" w:sz="8" w:space="0"/>
              <w:tl2br w:val="nil"/>
              <w:tr2bl w:val="nil"/>
            </w:tcBorders>
            <w:vAlign w:val="center"/>
          </w:tcPr>
          <w:p w14:paraId="4EC69786">
            <w:pPr>
              <w:pStyle w:val="84"/>
              <w:rPr>
                <w:color w:val="auto"/>
              </w:rPr>
            </w:pPr>
            <w:r>
              <w:rPr>
                <w:rFonts w:hint="eastAsia"/>
                <w:color w:val="auto"/>
              </w:rPr>
              <w:t>1</w:t>
            </w:r>
            <w:r>
              <w:rPr>
                <w:color w:val="auto"/>
              </w:rPr>
              <w:t>678</w:t>
            </w:r>
          </w:p>
        </w:tc>
        <w:tc>
          <w:tcPr>
            <w:tcW w:w="1096" w:type="pct"/>
            <w:tcBorders>
              <w:top w:val="single" w:color="auto" w:sz="4" w:space="0"/>
              <w:left w:val="nil"/>
              <w:bottom w:val="single" w:color="auto" w:sz="8" w:space="0"/>
              <w:right w:val="single" w:color="auto" w:sz="4" w:space="0"/>
              <w:tl2br w:val="nil"/>
              <w:tr2bl w:val="nil"/>
            </w:tcBorders>
          </w:tcPr>
          <w:p w14:paraId="33AFC027">
            <w:pPr>
              <w:pStyle w:val="84"/>
              <w:rPr>
                <w:color w:val="auto"/>
              </w:rPr>
            </w:pPr>
            <w:r>
              <w:rPr>
                <w:rFonts w:hint="eastAsia"/>
                <w:color w:val="auto"/>
              </w:rPr>
              <w:t>1</w:t>
            </w:r>
            <w:r>
              <w:rPr>
                <w:color w:val="auto"/>
              </w:rPr>
              <w:t>5.016</w:t>
            </w:r>
          </w:p>
        </w:tc>
      </w:tr>
      <w:tr w14:paraId="3F6450EE">
        <w:tblPrEx>
          <w:tblCellMar>
            <w:top w:w="0" w:type="dxa"/>
            <w:left w:w="108" w:type="dxa"/>
            <w:bottom w:w="0" w:type="dxa"/>
            <w:right w:w="108" w:type="dxa"/>
          </w:tblCellMar>
        </w:tblPrEx>
        <w:trPr>
          <w:trHeight w:val="331" w:hRule="atLeast"/>
          <w:jc w:val="center"/>
        </w:trPr>
        <w:tc>
          <w:tcPr>
            <w:tcW w:w="959" w:type="pct"/>
            <w:tcBorders>
              <w:top w:val="single" w:color="auto" w:sz="4" w:space="0"/>
              <w:left w:val="single" w:color="auto" w:sz="8" w:space="0"/>
              <w:bottom w:val="single" w:color="auto" w:sz="8" w:space="0"/>
              <w:right w:val="single" w:color="auto" w:sz="8" w:space="0"/>
              <w:tl2br w:val="nil"/>
              <w:tr2bl w:val="nil"/>
            </w:tcBorders>
            <w:vAlign w:val="center"/>
          </w:tcPr>
          <w:p w14:paraId="4D7A42F7">
            <w:pPr>
              <w:pStyle w:val="84"/>
              <w:rPr>
                <w:color w:val="auto"/>
              </w:rPr>
            </w:pPr>
            <w:r>
              <w:rPr>
                <w:color w:val="auto"/>
              </w:rPr>
              <w:t>9</w:t>
            </w:r>
          </w:p>
        </w:tc>
        <w:tc>
          <w:tcPr>
            <w:tcW w:w="888" w:type="pct"/>
            <w:tcBorders>
              <w:top w:val="single" w:color="auto" w:sz="4" w:space="0"/>
              <w:left w:val="nil"/>
              <w:bottom w:val="single" w:color="auto" w:sz="8" w:space="0"/>
              <w:right w:val="single" w:color="auto" w:sz="8" w:space="0"/>
              <w:tl2br w:val="nil"/>
              <w:tr2bl w:val="nil"/>
            </w:tcBorders>
            <w:vAlign w:val="center"/>
          </w:tcPr>
          <w:p w14:paraId="6667E9DA">
            <w:pPr>
              <w:pStyle w:val="84"/>
              <w:rPr>
                <w:color w:val="auto"/>
              </w:rPr>
            </w:pPr>
            <w:r>
              <w:rPr>
                <w:rFonts w:hint="eastAsia"/>
                <w:color w:val="auto"/>
              </w:rPr>
              <w:t>1</w:t>
            </w:r>
            <w:r>
              <w:rPr>
                <w:color w:val="auto"/>
              </w:rPr>
              <w:t>603</w:t>
            </w:r>
          </w:p>
        </w:tc>
        <w:tc>
          <w:tcPr>
            <w:tcW w:w="1041" w:type="pct"/>
            <w:tcBorders>
              <w:top w:val="single" w:color="auto" w:sz="4" w:space="0"/>
              <w:left w:val="nil"/>
              <w:bottom w:val="single" w:color="auto" w:sz="8" w:space="0"/>
              <w:right w:val="single" w:color="auto" w:sz="4" w:space="0"/>
              <w:tl2br w:val="nil"/>
              <w:tr2bl w:val="nil"/>
            </w:tcBorders>
          </w:tcPr>
          <w:p w14:paraId="3B832E28">
            <w:pPr>
              <w:pStyle w:val="84"/>
              <w:rPr>
                <w:color w:val="auto"/>
              </w:rPr>
            </w:pPr>
            <w:r>
              <w:rPr>
                <w:rFonts w:hint="eastAsia"/>
                <w:color w:val="auto"/>
              </w:rPr>
              <w:t>1</w:t>
            </w:r>
            <w:r>
              <w:rPr>
                <w:color w:val="auto"/>
              </w:rPr>
              <w:t>5.201</w:t>
            </w:r>
          </w:p>
        </w:tc>
        <w:tc>
          <w:tcPr>
            <w:tcW w:w="1016" w:type="pct"/>
            <w:tcBorders>
              <w:top w:val="single" w:color="auto" w:sz="4" w:space="0"/>
              <w:left w:val="nil"/>
              <w:bottom w:val="single" w:color="auto" w:sz="8" w:space="0"/>
              <w:right w:val="single" w:color="auto" w:sz="8" w:space="0"/>
              <w:tl2br w:val="nil"/>
              <w:tr2bl w:val="nil"/>
            </w:tcBorders>
            <w:vAlign w:val="center"/>
          </w:tcPr>
          <w:p w14:paraId="328E85D4">
            <w:pPr>
              <w:pStyle w:val="84"/>
              <w:rPr>
                <w:color w:val="auto"/>
              </w:rPr>
            </w:pPr>
            <w:r>
              <w:rPr>
                <w:rFonts w:hint="eastAsia"/>
                <w:color w:val="auto"/>
              </w:rPr>
              <w:t>1</w:t>
            </w:r>
            <w:r>
              <w:rPr>
                <w:color w:val="auto"/>
              </w:rPr>
              <w:t>443</w:t>
            </w:r>
          </w:p>
        </w:tc>
        <w:tc>
          <w:tcPr>
            <w:tcW w:w="1096" w:type="pct"/>
            <w:tcBorders>
              <w:top w:val="single" w:color="auto" w:sz="4" w:space="0"/>
              <w:left w:val="nil"/>
              <w:bottom w:val="single" w:color="auto" w:sz="8" w:space="0"/>
              <w:right w:val="single" w:color="auto" w:sz="4" w:space="0"/>
              <w:tl2br w:val="nil"/>
              <w:tr2bl w:val="nil"/>
            </w:tcBorders>
          </w:tcPr>
          <w:p w14:paraId="20B0F2EE">
            <w:pPr>
              <w:pStyle w:val="84"/>
              <w:rPr>
                <w:color w:val="auto"/>
              </w:rPr>
            </w:pPr>
            <w:r>
              <w:rPr>
                <w:rFonts w:hint="eastAsia"/>
                <w:color w:val="auto"/>
              </w:rPr>
              <w:t>1</w:t>
            </w:r>
            <w:r>
              <w:rPr>
                <w:color w:val="auto"/>
              </w:rPr>
              <w:t>3.988</w:t>
            </w:r>
          </w:p>
        </w:tc>
      </w:tr>
      <w:tr w14:paraId="287B3839">
        <w:tblPrEx>
          <w:tblCellMar>
            <w:top w:w="0" w:type="dxa"/>
            <w:left w:w="108" w:type="dxa"/>
            <w:bottom w:w="0" w:type="dxa"/>
            <w:right w:w="108" w:type="dxa"/>
          </w:tblCellMar>
        </w:tblPrEx>
        <w:trPr>
          <w:trHeight w:val="331" w:hRule="atLeast"/>
          <w:jc w:val="center"/>
        </w:trPr>
        <w:tc>
          <w:tcPr>
            <w:tcW w:w="959" w:type="pct"/>
            <w:tcBorders>
              <w:top w:val="single" w:color="auto" w:sz="4" w:space="0"/>
              <w:left w:val="single" w:color="auto" w:sz="8" w:space="0"/>
              <w:bottom w:val="single" w:color="auto" w:sz="8" w:space="0"/>
              <w:right w:val="single" w:color="auto" w:sz="8" w:space="0"/>
              <w:tl2br w:val="nil"/>
              <w:tr2bl w:val="nil"/>
            </w:tcBorders>
            <w:vAlign w:val="center"/>
          </w:tcPr>
          <w:p w14:paraId="06818458">
            <w:pPr>
              <w:pStyle w:val="84"/>
              <w:rPr>
                <w:color w:val="auto"/>
              </w:rPr>
            </w:pPr>
            <w:r>
              <w:rPr>
                <w:color w:val="auto"/>
              </w:rPr>
              <w:t>10</w:t>
            </w:r>
          </w:p>
        </w:tc>
        <w:tc>
          <w:tcPr>
            <w:tcW w:w="888" w:type="pct"/>
            <w:tcBorders>
              <w:top w:val="single" w:color="auto" w:sz="4" w:space="0"/>
              <w:left w:val="nil"/>
              <w:bottom w:val="single" w:color="auto" w:sz="8" w:space="0"/>
              <w:right w:val="single" w:color="auto" w:sz="8" w:space="0"/>
              <w:tl2br w:val="nil"/>
              <w:tr2bl w:val="nil"/>
            </w:tcBorders>
            <w:vAlign w:val="center"/>
          </w:tcPr>
          <w:p w14:paraId="31BEDB31">
            <w:pPr>
              <w:pStyle w:val="84"/>
              <w:rPr>
                <w:color w:val="auto"/>
              </w:rPr>
            </w:pPr>
            <w:r>
              <w:rPr>
                <w:rFonts w:hint="eastAsia"/>
                <w:color w:val="auto"/>
              </w:rPr>
              <w:t>1</w:t>
            </w:r>
            <w:r>
              <w:rPr>
                <w:color w:val="auto"/>
              </w:rPr>
              <w:t>309</w:t>
            </w:r>
          </w:p>
        </w:tc>
        <w:tc>
          <w:tcPr>
            <w:tcW w:w="1041" w:type="pct"/>
            <w:tcBorders>
              <w:top w:val="single" w:color="auto" w:sz="4" w:space="0"/>
              <w:left w:val="nil"/>
              <w:bottom w:val="single" w:color="auto" w:sz="8" w:space="0"/>
              <w:right w:val="single" w:color="auto" w:sz="4" w:space="0"/>
              <w:tl2br w:val="nil"/>
              <w:tr2bl w:val="nil"/>
            </w:tcBorders>
          </w:tcPr>
          <w:p w14:paraId="01EBBBA0">
            <w:pPr>
              <w:pStyle w:val="84"/>
              <w:rPr>
                <w:color w:val="auto"/>
              </w:rPr>
            </w:pPr>
            <w:r>
              <w:rPr>
                <w:rFonts w:hint="eastAsia"/>
                <w:color w:val="auto"/>
              </w:rPr>
              <w:t>1</w:t>
            </w:r>
            <w:r>
              <w:rPr>
                <w:color w:val="auto"/>
              </w:rPr>
              <w:t>3.902</w:t>
            </w:r>
          </w:p>
        </w:tc>
        <w:tc>
          <w:tcPr>
            <w:tcW w:w="1016" w:type="pct"/>
            <w:tcBorders>
              <w:top w:val="single" w:color="auto" w:sz="4" w:space="0"/>
              <w:left w:val="nil"/>
              <w:bottom w:val="single" w:color="auto" w:sz="8" w:space="0"/>
              <w:right w:val="single" w:color="auto" w:sz="8" w:space="0"/>
              <w:tl2br w:val="nil"/>
              <w:tr2bl w:val="nil"/>
            </w:tcBorders>
            <w:vAlign w:val="center"/>
          </w:tcPr>
          <w:p w14:paraId="4B898DEA">
            <w:pPr>
              <w:pStyle w:val="84"/>
              <w:rPr>
                <w:color w:val="auto"/>
              </w:rPr>
            </w:pPr>
            <w:r>
              <w:rPr>
                <w:rFonts w:hint="eastAsia"/>
                <w:color w:val="auto"/>
              </w:rPr>
              <w:t>1</w:t>
            </w:r>
            <w:r>
              <w:rPr>
                <w:color w:val="auto"/>
              </w:rPr>
              <w:t>222</w:t>
            </w:r>
          </w:p>
        </w:tc>
        <w:tc>
          <w:tcPr>
            <w:tcW w:w="1096" w:type="pct"/>
            <w:tcBorders>
              <w:top w:val="single" w:color="auto" w:sz="4" w:space="0"/>
              <w:left w:val="nil"/>
              <w:bottom w:val="single" w:color="auto" w:sz="8" w:space="0"/>
              <w:right w:val="single" w:color="auto" w:sz="4" w:space="0"/>
              <w:tl2br w:val="nil"/>
              <w:tr2bl w:val="nil"/>
            </w:tcBorders>
          </w:tcPr>
          <w:p w14:paraId="77162AF7">
            <w:pPr>
              <w:pStyle w:val="84"/>
              <w:rPr>
                <w:color w:val="auto"/>
              </w:rPr>
            </w:pPr>
            <w:r>
              <w:rPr>
                <w:rFonts w:hint="eastAsia"/>
                <w:color w:val="auto"/>
              </w:rPr>
              <w:t>1</w:t>
            </w:r>
            <w:r>
              <w:rPr>
                <w:color w:val="auto"/>
              </w:rPr>
              <w:t>2.984</w:t>
            </w:r>
          </w:p>
        </w:tc>
      </w:tr>
      <w:tr w14:paraId="1604B053">
        <w:tblPrEx>
          <w:tblCellMar>
            <w:top w:w="0" w:type="dxa"/>
            <w:left w:w="108" w:type="dxa"/>
            <w:bottom w:w="0" w:type="dxa"/>
            <w:right w:w="108" w:type="dxa"/>
          </w:tblCellMar>
        </w:tblPrEx>
        <w:trPr>
          <w:trHeight w:val="331" w:hRule="atLeast"/>
          <w:jc w:val="center"/>
        </w:trPr>
        <w:tc>
          <w:tcPr>
            <w:tcW w:w="959" w:type="pct"/>
            <w:tcBorders>
              <w:top w:val="single" w:color="auto" w:sz="4" w:space="0"/>
              <w:left w:val="single" w:color="auto" w:sz="8" w:space="0"/>
              <w:bottom w:val="single" w:color="auto" w:sz="8" w:space="0"/>
              <w:right w:val="single" w:color="auto" w:sz="8" w:space="0"/>
              <w:tl2br w:val="nil"/>
              <w:tr2bl w:val="nil"/>
            </w:tcBorders>
            <w:vAlign w:val="center"/>
          </w:tcPr>
          <w:p w14:paraId="1A28AB2A">
            <w:pPr>
              <w:pStyle w:val="84"/>
              <w:rPr>
                <w:color w:val="auto"/>
              </w:rPr>
            </w:pPr>
            <w:r>
              <w:rPr>
                <w:color w:val="auto"/>
              </w:rPr>
              <w:t>11</w:t>
            </w:r>
          </w:p>
        </w:tc>
        <w:tc>
          <w:tcPr>
            <w:tcW w:w="888" w:type="pct"/>
            <w:tcBorders>
              <w:top w:val="single" w:color="auto" w:sz="4" w:space="0"/>
              <w:left w:val="nil"/>
              <w:bottom w:val="single" w:color="auto" w:sz="8" w:space="0"/>
              <w:right w:val="single" w:color="auto" w:sz="8" w:space="0"/>
              <w:tl2br w:val="nil"/>
              <w:tr2bl w:val="nil"/>
            </w:tcBorders>
            <w:vAlign w:val="center"/>
          </w:tcPr>
          <w:p w14:paraId="253B3689">
            <w:pPr>
              <w:pStyle w:val="84"/>
              <w:rPr>
                <w:color w:val="auto"/>
              </w:rPr>
            </w:pPr>
            <w:r>
              <w:rPr>
                <w:rFonts w:hint="eastAsia"/>
                <w:color w:val="auto"/>
              </w:rPr>
              <w:t>1</w:t>
            </w:r>
            <w:r>
              <w:rPr>
                <w:color w:val="auto"/>
              </w:rPr>
              <w:t>068</w:t>
            </w:r>
          </w:p>
        </w:tc>
        <w:tc>
          <w:tcPr>
            <w:tcW w:w="1041" w:type="pct"/>
            <w:tcBorders>
              <w:top w:val="single" w:color="auto" w:sz="4" w:space="0"/>
              <w:left w:val="nil"/>
              <w:bottom w:val="single" w:color="auto" w:sz="8" w:space="0"/>
              <w:right w:val="single" w:color="auto" w:sz="4" w:space="0"/>
              <w:tl2br w:val="nil"/>
              <w:tr2bl w:val="nil"/>
            </w:tcBorders>
          </w:tcPr>
          <w:p w14:paraId="6BA7FC29">
            <w:pPr>
              <w:pStyle w:val="84"/>
              <w:rPr>
                <w:color w:val="auto"/>
              </w:rPr>
            </w:pPr>
            <w:r>
              <w:rPr>
                <w:rFonts w:hint="eastAsia"/>
                <w:color w:val="auto"/>
              </w:rPr>
              <w:t>1</w:t>
            </w:r>
            <w:r>
              <w:rPr>
                <w:color w:val="auto"/>
              </w:rPr>
              <w:t>2.745</w:t>
            </w:r>
          </w:p>
        </w:tc>
        <w:tc>
          <w:tcPr>
            <w:tcW w:w="1016" w:type="pct"/>
            <w:tcBorders>
              <w:top w:val="single" w:color="auto" w:sz="4" w:space="0"/>
              <w:left w:val="nil"/>
              <w:bottom w:val="single" w:color="auto" w:sz="8" w:space="0"/>
              <w:right w:val="single" w:color="auto" w:sz="8" w:space="0"/>
              <w:tl2br w:val="nil"/>
              <w:tr2bl w:val="nil"/>
            </w:tcBorders>
            <w:vAlign w:val="center"/>
          </w:tcPr>
          <w:p w14:paraId="26819B4B">
            <w:pPr>
              <w:pStyle w:val="84"/>
              <w:rPr>
                <w:color w:val="auto"/>
              </w:rPr>
            </w:pPr>
            <w:r>
              <w:rPr>
                <w:rFonts w:hint="eastAsia"/>
                <w:color w:val="auto"/>
              </w:rPr>
              <w:t>1</w:t>
            </w:r>
            <w:r>
              <w:rPr>
                <w:color w:val="auto"/>
              </w:rPr>
              <w:t>028</w:t>
            </w:r>
          </w:p>
        </w:tc>
        <w:tc>
          <w:tcPr>
            <w:tcW w:w="1096" w:type="pct"/>
            <w:tcBorders>
              <w:top w:val="single" w:color="auto" w:sz="4" w:space="0"/>
              <w:left w:val="nil"/>
              <w:bottom w:val="single" w:color="auto" w:sz="8" w:space="0"/>
              <w:right w:val="single" w:color="auto" w:sz="4" w:space="0"/>
              <w:tl2br w:val="nil"/>
              <w:tr2bl w:val="nil"/>
            </w:tcBorders>
          </w:tcPr>
          <w:p w14:paraId="552F6363">
            <w:pPr>
              <w:pStyle w:val="84"/>
              <w:rPr>
                <w:color w:val="auto"/>
              </w:rPr>
            </w:pPr>
            <w:r>
              <w:rPr>
                <w:rFonts w:hint="eastAsia"/>
                <w:color w:val="auto"/>
              </w:rPr>
              <w:t>1</w:t>
            </w:r>
            <w:r>
              <w:rPr>
                <w:color w:val="auto"/>
              </w:rPr>
              <w:t>2.048</w:t>
            </w:r>
          </w:p>
        </w:tc>
      </w:tr>
      <w:tr w14:paraId="7A2005FA">
        <w:tblPrEx>
          <w:tblCellMar>
            <w:top w:w="0" w:type="dxa"/>
            <w:left w:w="108" w:type="dxa"/>
            <w:bottom w:w="0" w:type="dxa"/>
            <w:right w:w="108" w:type="dxa"/>
          </w:tblCellMar>
        </w:tblPrEx>
        <w:trPr>
          <w:trHeight w:val="331" w:hRule="atLeast"/>
          <w:jc w:val="center"/>
        </w:trPr>
        <w:tc>
          <w:tcPr>
            <w:tcW w:w="959" w:type="pct"/>
            <w:tcBorders>
              <w:top w:val="single" w:color="auto" w:sz="4" w:space="0"/>
              <w:left w:val="single" w:color="auto" w:sz="8" w:space="0"/>
              <w:bottom w:val="single" w:color="auto" w:sz="8" w:space="0"/>
              <w:right w:val="single" w:color="auto" w:sz="8" w:space="0"/>
              <w:tl2br w:val="nil"/>
              <w:tr2bl w:val="nil"/>
            </w:tcBorders>
            <w:vAlign w:val="center"/>
          </w:tcPr>
          <w:p w14:paraId="4CED0E15">
            <w:pPr>
              <w:pStyle w:val="84"/>
              <w:rPr>
                <w:color w:val="auto"/>
              </w:rPr>
            </w:pPr>
            <w:r>
              <w:rPr>
                <w:color w:val="auto"/>
              </w:rPr>
              <w:t>12</w:t>
            </w:r>
          </w:p>
        </w:tc>
        <w:tc>
          <w:tcPr>
            <w:tcW w:w="888" w:type="pct"/>
            <w:tcBorders>
              <w:top w:val="single" w:color="auto" w:sz="4" w:space="0"/>
              <w:left w:val="nil"/>
              <w:bottom w:val="single" w:color="auto" w:sz="8" w:space="0"/>
              <w:right w:val="single" w:color="auto" w:sz="8" w:space="0"/>
              <w:tl2br w:val="nil"/>
              <w:tr2bl w:val="nil"/>
            </w:tcBorders>
            <w:vAlign w:val="center"/>
          </w:tcPr>
          <w:p w14:paraId="3D4222BB">
            <w:pPr>
              <w:pStyle w:val="84"/>
              <w:rPr>
                <w:color w:val="auto"/>
              </w:rPr>
            </w:pPr>
            <w:r>
              <w:rPr>
                <w:rFonts w:hint="eastAsia"/>
                <w:color w:val="auto"/>
              </w:rPr>
              <w:t>8</w:t>
            </w:r>
            <w:r>
              <w:rPr>
                <w:color w:val="auto"/>
              </w:rPr>
              <w:t>74</w:t>
            </w:r>
          </w:p>
        </w:tc>
        <w:tc>
          <w:tcPr>
            <w:tcW w:w="1041" w:type="pct"/>
            <w:tcBorders>
              <w:top w:val="single" w:color="auto" w:sz="4" w:space="0"/>
              <w:left w:val="nil"/>
              <w:bottom w:val="single" w:color="auto" w:sz="8" w:space="0"/>
              <w:right w:val="single" w:color="auto" w:sz="4" w:space="0"/>
              <w:tl2br w:val="nil"/>
              <w:tr2bl w:val="nil"/>
            </w:tcBorders>
          </w:tcPr>
          <w:p w14:paraId="2D3B3760">
            <w:pPr>
              <w:pStyle w:val="84"/>
              <w:rPr>
                <w:color w:val="auto"/>
              </w:rPr>
            </w:pPr>
            <w:r>
              <w:rPr>
                <w:rFonts w:hint="eastAsia"/>
                <w:color w:val="auto"/>
              </w:rPr>
              <w:t>1</w:t>
            </w:r>
            <w:r>
              <w:rPr>
                <w:color w:val="auto"/>
              </w:rPr>
              <w:t>1.732</w:t>
            </w:r>
          </w:p>
        </w:tc>
        <w:tc>
          <w:tcPr>
            <w:tcW w:w="1016" w:type="pct"/>
            <w:tcBorders>
              <w:top w:val="single" w:color="auto" w:sz="4" w:space="0"/>
              <w:left w:val="nil"/>
              <w:bottom w:val="single" w:color="auto" w:sz="8" w:space="0"/>
              <w:right w:val="single" w:color="auto" w:sz="8" w:space="0"/>
              <w:tl2br w:val="nil"/>
              <w:tr2bl w:val="nil"/>
            </w:tcBorders>
            <w:vAlign w:val="center"/>
          </w:tcPr>
          <w:p w14:paraId="53C836BD">
            <w:pPr>
              <w:pStyle w:val="84"/>
              <w:rPr>
                <w:color w:val="auto"/>
              </w:rPr>
            </w:pPr>
            <w:r>
              <w:rPr>
                <w:rFonts w:hint="eastAsia"/>
                <w:color w:val="auto"/>
              </w:rPr>
              <w:t>8</w:t>
            </w:r>
            <w:r>
              <w:rPr>
                <w:color w:val="auto"/>
              </w:rPr>
              <w:t>63</w:t>
            </w:r>
          </w:p>
        </w:tc>
        <w:tc>
          <w:tcPr>
            <w:tcW w:w="1096" w:type="pct"/>
            <w:tcBorders>
              <w:top w:val="single" w:color="auto" w:sz="4" w:space="0"/>
              <w:left w:val="nil"/>
              <w:bottom w:val="single" w:color="auto" w:sz="8" w:space="0"/>
              <w:right w:val="single" w:color="auto" w:sz="4" w:space="0"/>
              <w:tl2br w:val="nil"/>
              <w:tr2bl w:val="nil"/>
            </w:tcBorders>
          </w:tcPr>
          <w:p w14:paraId="42E8DAD5">
            <w:pPr>
              <w:pStyle w:val="84"/>
              <w:rPr>
                <w:color w:val="auto"/>
              </w:rPr>
            </w:pPr>
            <w:r>
              <w:rPr>
                <w:rFonts w:hint="eastAsia"/>
                <w:color w:val="auto"/>
              </w:rPr>
              <w:t>1</w:t>
            </w:r>
            <w:r>
              <w:rPr>
                <w:color w:val="auto"/>
              </w:rPr>
              <w:t>1.196</w:t>
            </w:r>
          </w:p>
        </w:tc>
      </w:tr>
      <w:tr w14:paraId="5F806282">
        <w:tblPrEx>
          <w:tblCellMar>
            <w:top w:w="0" w:type="dxa"/>
            <w:left w:w="108" w:type="dxa"/>
            <w:bottom w:w="0" w:type="dxa"/>
            <w:right w:w="108" w:type="dxa"/>
          </w:tblCellMar>
        </w:tblPrEx>
        <w:trPr>
          <w:trHeight w:val="331" w:hRule="atLeast"/>
          <w:jc w:val="center"/>
        </w:trPr>
        <w:tc>
          <w:tcPr>
            <w:tcW w:w="959" w:type="pct"/>
            <w:tcBorders>
              <w:top w:val="single" w:color="auto" w:sz="4" w:space="0"/>
              <w:left w:val="single" w:color="auto" w:sz="8" w:space="0"/>
              <w:bottom w:val="single" w:color="auto" w:sz="8" w:space="0"/>
              <w:right w:val="single" w:color="auto" w:sz="8" w:space="0"/>
              <w:tl2br w:val="nil"/>
              <w:tr2bl w:val="nil"/>
            </w:tcBorders>
            <w:vAlign w:val="center"/>
          </w:tcPr>
          <w:p w14:paraId="3992378A">
            <w:pPr>
              <w:pStyle w:val="84"/>
              <w:rPr>
                <w:color w:val="auto"/>
              </w:rPr>
            </w:pPr>
            <w:r>
              <w:rPr>
                <w:color w:val="auto"/>
              </w:rPr>
              <w:t>13</w:t>
            </w:r>
          </w:p>
        </w:tc>
        <w:tc>
          <w:tcPr>
            <w:tcW w:w="888" w:type="pct"/>
            <w:tcBorders>
              <w:top w:val="single" w:color="auto" w:sz="4" w:space="0"/>
              <w:left w:val="nil"/>
              <w:bottom w:val="single" w:color="auto" w:sz="8" w:space="0"/>
              <w:right w:val="single" w:color="auto" w:sz="8" w:space="0"/>
              <w:tl2br w:val="nil"/>
              <w:tr2bl w:val="nil"/>
            </w:tcBorders>
            <w:vAlign w:val="center"/>
          </w:tcPr>
          <w:p w14:paraId="39697C61">
            <w:pPr>
              <w:pStyle w:val="84"/>
              <w:rPr>
                <w:color w:val="auto"/>
              </w:rPr>
            </w:pPr>
            <w:r>
              <w:rPr>
                <w:rFonts w:hint="eastAsia"/>
                <w:color w:val="auto"/>
              </w:rPr>
              <w:t>7</w:t>
            </w:r>
            <w:r>
              <w:rPr>
                <w:color w:val="auto"/>
              </w:rPr>
              <w:t>21</w:t>
            </w:r>
          </w:p>
        </w:tc>
        <w:tc>
          <w:tcPr>
            <w:tcW w:w="1041" w:type="pct"/>
            <w:tcBorders>
              <w:top w:val="single" w:color="auto" w:sz="4" w:space="0"/>
              <w:left w:val="nil"/>
              <w:bottom w:val="single" w:color="auto" w:sz="8" w:space="0"/>
              <w:right w:val="single" w:color="auto" w:sz="4" w:space="0"/>
              <w:tl2br w:val="nil"/>
              <w:tr2bl w:val="nil"/>
            </w:tcBorders>
          </w:tcPr>
          <w:p w14:paraId="1ED56783">
            <w:pPr>
              <w:pStyle w:val="84"/>
              <w:rPr>
                <w:color w:val="auto"/>
              </w:rPr>
            </w:pPr>
            <w:r>
              <w:rPr>
                <w:rFonts w:hint="eastAsia"/>
                <w:color w:val="auto"/>
              </w:rPr>
              <w:t>1</w:t>
            </w:r>
            <w:r>
              <w:rPr>
                <w:color w:val="auto"/>
              </w:rPr>
              <w:t>0.849</w:t>
            </w:r>
          </w:p>
        </w:tc>
        <w:tc>
          <w:tcPr>
            <w:tcW w:w="1016" w:type="pct"/>
            <w:tcBorders>
              <w:top w:val="single" w:color="auto" w:sz="4" w:space="0"/>
              <w:left w:val="nil"/>
              <w:bottom w:val="single" w:color="auto" w:sz="8" w:space="0"/>
              <w:right w:val="single" w:color="auto" w:sz="8" w:space="0"/>
              <w:tl2br w:val="nil"/>
              <w:tr2bl w:val="nil"/>
            </w:tcBorders>
            <w:vAlign w:val="center"/>
          </w:tcPr>
          <w:p w14:paraId="7BF0D0FF">
            <w:pPr>
              <w:pStyle w:val="84"/>
              <w:rPr>
                <w:color w:val="auto"/>
              </w:rPr>
            </w:pPr>
            <w:r>
              <w:rPr>
                <w:rFonts w:hint="eastAsia"/>
                <w:color w:val="auto"/>
              </w:rPr>
              <w:t>7</w:t>
            </w:r>
            <w:r>
              <w:rPr>
                <w:color w:val="auto"/>
              </w:rPr>
              <w:t>26</w:t>
            </w:r>
          </w:p>
        </w:tc>
        <w:tc>
          <w:tcPr>
            <w:tcW w:w="1096" w:type="pct"/>
            <w:tcBorders>
              <w:top w:val="single" w:color="auto" w:sz="4" w:space="0"/>
              <w:left w:val="nil"/>
              <w:bottom w:val="single" w:color="auto" w:sz="8" w:space="0"/>
              <w:right w:val="single" w:color="auto" w:sz="4" w:space="0"/>
              <w:tl2br w:val="nil"/>
              <w:tr2bl w:val="nil"/>
            </w:tcBorders>
          </w:tcPr>
          <w:p w14:paraId="608EC09E">
            <w:pPr>
              <w:pStyle w:val="84"/>
              <w:rPr>
                <w:color w:val="auto"/>
              </w:rPr>
            </w:pPr>
            <w:r>
              <w:rPr>
                <w:rFonts w:hint="eastAsia"/>
                <w:color w:val="auto"/>
              </w:rPr>
              <w:t>1</w:t>
            </w:r>
            <w:r>
              <w:rPr>
                <w:color w:val="auto"/>
              </w:rPr>
              <w:t>0.432</w:t>
            </w:r>
          </w:p>
        </w:tc>
      </w:tr>
      <w:tr w14:paraId="596DC56C">
        <w:tblPrEx>
          <w:tblCellMar>
            <w:top w:w="0" w:type="dxa"/>
            <w:left w:w="108" w:type="dxa"/>
            <w:bottom w:w="0" w:type="dxa"/>
            <w:right w:w="108" w:type="dxa"/>
          </w:tblCellMar>
        </w:tblPrEx>
        <w:trPr>
          <w:trHeight w:val="331" w:hRule="atLeast"/>
          <w:jc w:val="center"/>
        </w:trPr>
        <w:tc>
          <w:tcPr>
            <w:tcW w:w="959" w:type="pct"/>
            <w:tcBorders>
              <w:top w:val="single" w:color="auto" w:sz="4" w:space="0"/>
              <w:left w:val="single" w:color="auto" w:sz="8" w:space="0"/>
              <w:bottom w:val="single" w:color="auto" w:sz="8" w:space="0"/>
              <w:right w:val="single" w:color="auto" w:sz="8" w:space="0"/>
              <w:tl2br w:val="nil"/>
              <w:tr2bl w:val="nil"/>
            </w:tcBorders>
            <w:vAlign w:val="center"/>
          </w:tcPr>
          <w:p w14:paraId="5B5011C2">
            <w:pPr>
              <w:pStyle w:val="84"/>
              <w:rPr>
                <w:color w:val="auto"/>
              </w:rPr>
            </w:pPr>
            <w:r>
              <w:rPr>
                <w:color w:val="auto"/>
              </w:rPr>
              <w:t>14</w:t>
            </w:r>
          </w:p>
        </w:tc>
        <w:tc>
          <w:tcPr>
            <w:tcW w:w="888" w:type="pct"/>
            <w:tcBorders>
              <w:top w:val="single" w:color="auto" w:sz="4" w:space="0"/>
              <w:left w:val="nil"/>
              <w:bottom w:val="single" w:color="auto" w:sz="8" w:space="0"/>
              <w:right w:val="single" w:color="auto" w:sz="8" w:space="0"/>
              <w:tl2br w:val="nil"/>
              <w:tr2bl w:val="nil"/>
            </w:tcBorders>
            <w:vAlign w:val="center"/>
          </w:tcPr>
          <w:p w14:paraId="29C614F9">
            <w:pPr>
              <w:pStyle w:val="84"/>
              <w:rPr>
                <w:color w:val="auto"/>
              </w:rPr>
            </w:pPr>
            <w:r>
              <w:rPr>
                <w:rFonts w:hint="eastAsia"/>
                <w:color w:val="auto"/>
              </w:rPr>
              <w:t>6</w:t>
            </w:r>
            <w:r>
              <w:rPr>
                <w:color w:val="auto"/>
              </w:rPr>
              <w:t>00</w:t>
            </w:r>
          </w:p>
        </w:tc>
        <w:tc>
          <w:tcPr>
            <w:tcW w:w="1041" w:type="pct"/>
            <w:tcBorders>
              <w:top w:val="single" w:color="auto" w:sz="4" w:space="0"/>
              <w:left w:val="nil"/>
              <w:bottom w:val="single" w:color="auto" w:sz="8" w:space="0"/>
              <w:right w:val="single" w:color="auto" w:sz="4" w:space="0"/>
              <w:tl2br w:val="nil"/>
              <w:tr2bl w:val="nil"/>
            </w:tcBorders>
          </w:tcPr>
          <w:p w14:paraId="2F1F519A">
            <w:pPr>
              <w:pStyle w:val="84"/>
              <w:rPr>
                <w:color w:val="auto"/>
              </w:rPr>
            </w:pPr>
            <w:r>
              <w:rPr>
                <w:rFonts w:hint="eastAsia"/>
                <w:color w:val="auto"/>
              </w:rPr>
              <w:t>1</w:t>
            </w:r>
            <w:r>
              <w:rPr>
                <w:color w:val="auto"/>
              </w:rPr>
              <w:t>0.079</w:t>
            </w:r>
          </w:p>
        </w:tc>
        <w:tc>
          <w:tcPr>
            <w:tcW w:w="1016" w:type="pct"/>
            <w:tcBorders>
              <w:top w:val="single" w:color="auto" w:sz="4" w:space="0"/>
              <w:left w:val="nil"/>
              <w:bottom w:val="single" w:color="auto" w:sz="8" w:space="0"/>
              <w:right w:val="single" w:color="auto" w:sz="8" w:space="0"/>
              <w:tl2br w:val="nil"/>
              <w:tr2bl w:val="nil"/>
            </w:tcBorders>
            <w:vAlign w:val="center"/>
          </w:tcPr>
          <w:p w14:paraId="5F8A3CD0">
            <w:pPr>
              <w:pStyle w:val="84"/>
              <w:rPr>
                <w:color w:val="auto"/>
              </w:rPr>
            </w:pPr>
            <w:r>
              <w:rPr>
                <w:rFonts w:hint="eastAsia"/>
                <w:color w:val="auto"/>
              </w:rPr>
              <w:t>6</w:t>
            </w:r>
            <w:r>
              <w:rPr>
                <w:color w:val="auto"/>
              </w:rPr>
              <w:t>14</w:t>
            </w:r>
          </w:p>
        </w:tc>
        <w:tc>
          <w:tcPr>
            <w:tcW w:w="1096" w:type="pct"/>
            <w:tcBorders>
              <w:top w:val="single" w:color="auto" w:sz="4" w:space="0"/>
              <w:left w:val="nil"/>
              <w:bottom w:val="single" w:color="auto" w:sz="8" w:space="0"/>
              <w:right w:val="single" w:color="auto" w:sz="4" w:space="0"/>
              <w:tl2br w:val="nil"/>
              <w:tr2bl w:val="nil"/>
            </w:tcBorders>
          </w:tcPr>
          <w:p w14:paraId="554BD66C">
            <w:pPr>
              <w:pStyle w:val="84"/>
              <w:rPr>
                <w:color w:val="auto"/>
              </w:rPr>
            </w:pPr>
            <w:r>
              <w:rPr>
                <w:rFonts w:hint="eastAsia"/>
                <w:color w:val="auto"/>
              </w:rPr>
              <w:t>9</w:t>
            </w:r>
            <w:r>
              <w:rPr>
                <w:color w:val="auto"/>
              </w:rPr>
              <w:t>.749</w:t>
            </w:r>
          </w:p>
        </w:tc>
      </w:tr>
      <w:tr w14:paraId="166165B5">
        <w:tblPrEx>
          <w:tblCellMar>
            <w:top w:w="0" w:type="dxa"/>
            <w:left w:w="108" w:type="dxa"/>
            <w:bottom w:w="0" w:type="dxa"/>
            <w:right w:w="108" w:type="dxa"/>
          </w:tblCellMar>
        </w:tblPrEx>
        <w:trPr>
          <w:trHeight w:val="331" w:hRule="atLeast"/>
          <w:jc w:val="center"/>
        </w:trPr>
        <w:tc>
          <w:tcPr>
            <w:tcW w:w="959" w:type="pct"/>
            <w:tcBorders>
              <w:top w:val="nil"/>
              <w:left w:val="single" w:color="auto" w:sz="8" w:space="0"/>
              <w:bottom w:val="single" w:color="auto" w:sz="4" w:space="0"/>
              <w:right w:val="single" w:color="auto" w:sz="8" w:space="0"/>
              <w:tl2br w:val="nil"/>
              <w:tr2bl w:val="nil"/>
            </w:tcBorders>
            <w:vAlign w:val="center"/>
          </w:tcPr>
          <w:p w14:paraId="633BB86B">
            <w:pPr>
              <w:pStyle w:val="84"/>
              <w:rPr>
                <w:color w:val="auto"/>
              </w:rPr>
            </w:pPr>
            <w:r>
              <w:rPr>
                <w:color w:val="auto"/>
              </w:rPr>
              <w:t>15</w:t>
            </w:r>
          </w:p>
        </w:tc>
        <w:tc>
          <w:tcPr>
            <w:tcW w:w="888" w:type="pct"/>
            <w:tcBorders>
              <w:top w:val="nil"/>
              <w:left w:val="nil"/>
              <w:bottom w:val="single" w:color="auto" w:sz="4" w:space="0"/>
              <w:right w:val="single" w:color="auto" w:sz="8" w:space="0"/>
              <w:tl2br w:val="nil"/>
              <w:tr2bl w:val="nil"/>
            </w:tcBorders>
            <w:vAlign w:val="center"/>
          </w:tcPr>
          <w:p w14:paraId="051EC833">
            <w:pPr>
              <w:pStyle w:val="84"/>
              <w:rPr>
                <w:color w:val="auto"/>
              </w:rPr>
            </w:pPr>
            <w:r>
              <w:rPr>
                <w:rFonts w:hint="eastAsia"/>
                <w:color w:val="auto"/>
              </w:rPr>
              <w:t>5</w:t>
            </w:r>
            <w:r>
              <w:rPr>
                <w:color w:val="auto"/>
              </w:rPr>
              <w:t>04</w:t>
            </w:r>
          </w:p>
        </w:tc>
        <w:tc>
          <w:tcPr>
            <w:tcW w:w="1041" w:type="pct"/>
            <w:tcBorders>
              <w:top w:val="nil"/>
              <w:left w:val="nil"/>
              <w:bottom w:val="single" w:color="auto" w:sz="4" w:space="0"/>
              <w:right w:val="single" w:color="auto" w:sz="4" w:space="0"/>
              <w:tl2br w:val="nil"/>
              <w:tr2bl w:val="nil"/>
            </w:tcBorders>
          </w:tcPr>
          <w:p w14:paraId="08F31284">
            <w:pPr>
              <w:pStyle w:val="84"/>
              <w:rPr>
                <w:color w:val="auto"/>
              </w:rPr>
            </w:pPr>
            <w:r>
              <w:rPr>
                <w:rFonts w:hint="eastAsia"/>
                <w:color w:val="auto"/>
              </w:rPr>
              <w:t>9</w:t>
            </w:r>
            <w:r>
              <w:rPr>
                <w:color w:val="auto"/>
              </w:rPr>
              <w:t>.404</w:t>
            </w:r>
          </w:p>
        </w:tc>
        <w:tc>
          <w:tcPr>
            <w:tcW w:w="1016" w:type="pct"/>
            <w:tcBorders>
              <w:top w:val="nil"/>
              <w:left w:val="nil"/>
              <w:bottom w:val="single" w:color="auto" w:sz="4" w:space="0"/>
              <w:right w:val="single" w:color="auto" w:sz="8" w:space="0"/>
              <w:tl2br w:val="nil"/>
              <w:tr2bl w:val="nil"/>
            </w:tcBorders>
            <w:vAlign w:val="center"/>
          </w:tcPr>
          <w:p w14:paraId="7019F817">
            <w:pPr>
              <w:pStyle w:val="84"/>
              <w:rPr>
                <w:color w:val="auto"/>
              </w:rPr>
            </w:pPr>
            <w:r>
              <w:rPr>
                <w:rFonts w:hint="eastAsia"/>
                <w:color w:val="auto"/>
              </w:rPr>
              <w:t>5</w:t>
            </w:r>
            <w:r>
              <w:rPr>
                <w:color w:val="auto"/>
              </w:rPr>
              <w:t>22</w:t>
            </w:r>
          </w:p>
        </w:tc>
        <w:tc>
          <w:tcPr>
            <w:tcW w:w="1096" w:type="pct"/>
            <w:tcBorders>
              <w:top w:val="nil"/>
              <w:left w:val="nil"/>
              <w:bottom w:val="single" w:color="auto" w:sz="4" w:space="0"/>
              <w:right w:val="single" w:color="auto" w:sz="4" w:space="0"/>
              <w:tl2br w:val="nil"/>
              <w:tr2bl w:val="nil"/>
            </w:tcBorders>
          </w:tcPr>
          <w:p w14:paraId="2F4F75A7">
            <w:pPr>
              <w:pStyle w:val="84"/>
              <w:rPr>
                <w:color w:val="auto"/>
              </w:rPr>
            </w:pPr>
            <w:r>
              <w:rPr>
                <w:rFonts w:hint="eastAsia"/>
                <w:color w:val="auto"/>
              </w:rPr>
              <w:t>9</w:t>
            </w:r>
            <w:r>
              <w:rPr>
                <w:color w:val="auto"/>
              </w:rPr>
              <w:t>.139</w:t>
            </w:r>
          </w:p>
        </w:tc>
      </w:tr>
      <w:tr w14:paraId="27A33698">
        <w:tblPrEx>
          <w:tblCellMar>
            <w:top w:w="0" w:type="dxa"/>
            <w:left w:w="108" w:type="dxa"/>
            <w:bottom w:w="0" w:type="dxa"/>
            <w:right w:w="108" w:type="dxa"/>
          </w:tblCellMar>
        </w:tblPrEx>
        <w:trPr>
          <w:trHeight w:val="331" w:hRule="atLeast"/>
          <w:jc w:val="center"/>
        </w:trPr>
        <w:tc>
          <w:tcPr>
            <w:tcW w:w="959" w:type="pct"/>
            <w:tcBorders>
              <w:top w:val="nil"/>
              <w:left w:val="single" w:color="auto" w:sz="8" w:space="0"/>
              <w:bottom w:val="single" w:color="auto" w:sz="4" w:space="0"/>
              <w:right w:val="single" w:color="auto" w:sz="8" w:space="0"/>
              <w:tl2br w:val="nil"/>
              <w:tr2bl w:val="nil"/>
            </w:tcBorders>
            <w:vAlign w:val="center"/>
          </w:tcPr>
          <w:p w14:paraId="318782A8">
            <w:pPr>
              <w:pStyle w:val="84"/>
              <w:rPr>
                <w:color w:val="auto"/>
              </w:rPr>
            </w:pPr>
            <w:r>
              <w:rPr>
                <w:color w:val="auto"/>
              </w:rPr>
              <w:t>16</w:t>
            </w:r>
          </w:p>
        </w:tc>
        <w:tc>
          <w:tcPr>
            <w:tcW w:w="888" w:type="pct"/>
            <w:tcBorders>
              <w:top w:val="nil"/>
              <w:left w:val="nil"/>
              <w:bottom w:val="single" w:color="auto" w:sz="4" w:space="0"/>
              <w:right w:val="single" w:color="auto" w:sz="8" w:space="0"/>
              <w:tl2br w:val="nil"/>
              <w:tr2bl w:val="nil"/>
            </w:tcBorders>
            <w:vAlign w:val="center"/>
          </w:tcPr>
          <w:p w14:paraId="36AC3FD2">
            <w:pPr>
              <w:pStyle w:val="84"/>
              <w:rPr>
                <w:color w:val="auto"/>
              </w:rPr>
            </w:pPr>
            <w:r>
              <w:rPr>
                <w:rFonts w:hint="eastAsia"/>
                <w:color w:val="auto"/>
              </w:rPr>
              <w:t>4</w:t>
            </w:r>
            <w:r>
              <w:rPr>
                <w:color w:val="auto"/>
              </w:rPr>
              <w:t>27</w:t>
            </w:r>
          </w:p>
        </w:tc>
        <w:tc>
          <w:tcPr>
            <w:tcW w:w="1041" w:type="pct"/>
            <w:tcBorders>
              <w:top w:val="nil"/>
              <w:left w:val="nil"/>
              <w:bottom w:val="single" w:color="auto" w:sz="4" w:space="0"/>
              <w:right w:val="single" w:color="auto" w:sz="4" w:space="0"/>
              <w:tl2br w:val="nil"/>
              <w:tr2bl w:val="nil"/>
            </w:tcBorders>
          </w:tcPr>
          <w:p w14:paraId="09193E7F">
            <w:pPr>
              <w:pStyle w:val="84"/>
              <w:rPr>
                <w:color w:val="auto"/>
              </w:rPr>
            </w:pPr>
            <w:r>
              <w:rPr>
                <w:rFonts w:hint="eastAsia"/>
                <w:color w:val="auto"/>
              </w:rPr>
              <w:t>8</w:t>
            </w:r>
            <w:r>
              <w:rPr>
                <w:color w:val="auto"/>
              </w:rPr>
              <w:t>.810</w:t>
            </w:r>
          </w:p>
        </w:tc>
        <w:tc>
          <w:tcPr>
            <w:tcW w:w="1016" w:type="pct"/>
            <w:tcBorders>
              <w:top w:val="nil"/>
              <w:left w:val="nil"/>
              <w:bottom w:val="single" w:color="auto" w:sz="4" w:space="0"/>
              <w:right w:val="single" w:color="auto" w:sz="8" w:space="0"/>
              <w:tl2br w:val="nil"/>
              <w:tr2bl w:val="nil"/>
            </w:tcBorders>
            <w:vAlign w:val="center"/>
          </w:tcPr>
          <w:p w14:paraId="287F547F">
            <w:pPr>
              <w:pStyle w:val="84"/>
              <w:rPr>
                <w:color w:val="auto"/>
              </w:rPr>
            </w:pPr>
            <w:r>
              <w:rPr>
                <w:rFonts w:hint="eastAsia"/>
                <w:color w:val="auto"/>
              </w:rPr>
              <w:t>4</w:t>
            </w:r>
            <w:r>
              <w:rPr>
                <w:color w:val="auto"/>
              </w:rPr>
              <w:t>47</w:t>
            </w:r>
          </w:p>
        </w:tc>
        <w:tc>
          <w:tcPr>
            <w:tcW w:w="1096" w:type="pct"/>
            <w:tcBorders>
              <w:top w:val="nil"/>
              <w:left w:val="nil"/>
              <w:bottom w:val="single" w:color="auto" w:sz="4" w:space="0"/>
              <w:right w:val="single" w:color="auto" w:sz="4" w:space="0"/>
              <w:tl2br w:val="nil"/>
              <w:tr2bl w:val="nil"/>
            </w:tcBorders>
          </w:tcPr>
          <w:p w14:paraId="37D9551E">
            <w:pPr>
              <w:pStyle w:val="84"/>
              <w:rPr>
                <w:color w:val="auto"/>
              </w:rPr>
            </w:pPr>
            <w:r>
              <w:rPr>
                <w:rFonts w:hint="eastAsia"/>
                <w:color w:val="auto"/>
              </w:rPr>
              <w:t>8</w:t>
            </w:r>
            <w:r>
              <w:rPr>
                <w:color w:val="auto"/>
              </w:rPr>
              <w:t>.595</w:t>
            </w:r>
          </w:p>
        </w:tc>
      </w:tr>
      <w:tr w14:paraId="1376B538">
        <w:tblPrEx>
          <w:tblCellMar>
            <w:top w:w="0" w:type="dxa"/>
            <w:left w:w="108" w:type="dxa"/>
            <w:bottom w:w="0" w:type="dxa"/>
            <w:right w:w="108" w:type="dxa"/>
          </w:tblCellMar>
        </w:tblPrEx>
        <w:trPr>
          <w:trHeight w:val="331" w:hRule="atLeast"/>
          <w:jc w:val="center"/>
        </w:trPr>
        <w:tc>
          <w:tcPr>
            <w:tcW w:w="959" w:type="pct"/>
            <w:tcBorders>
              <w:top w:val="nil"/>
              <w:left w:val="single" w:color="auto" w:sz="8" w:space="0"/>
              <w:bottom w:val="single" w:color="auto" w:sz="4" w:space="0"/>
              <w:right w:val="single" w:color="auto" w:sz="8" w:space="0"/>
              <w:tl2br w:val="nil"/>
              <w:tr2bl w:val="nil"/>
            </w:tcBorders>
            <w:vAlign w:val="center"/>
          </w:tcPr>
          <w:p w14:paraId="3B721EC4">
            <w:pPr>
              <w:pStyle w:val="84"/>
              <w:rPr>
                <w:color w:val="auto"/>
              </w:rPr>
            </w:pPr>
            <w:r>
              <w:rPr>
                <w:color w:val="auto"/>
              </w:rPr>
              <w:t>17</w:t>
            </w:r>
          </w:p>
        </w:tc>
        <w:tc>
          <w:tcPr>
            <w:tcW w:w="888" w:type="pct"/>
            <w:tcBorders>
              <w:top w:val="nil"/>
              <w:left w:val="nil"/>
              <w:bottom w:val="single" w:color="auto" w:sz="4" w:space="0"/>
              <w:right w:val="single" w:color="auto" w:sz="8" w:space="0"/>
              <w:tl2br w:val="nil"/>
              <w:tr2bl w:val="nil"/>
            </w:tcBorders>
            <w:vAlign w:val="center"/>
          </w:tcPr>
          <w:p w14:paraId="24130BDD">
            <w:pPr>
              <w:pStyle w:val="84"/>
              <w:rPr>
                <w:color w:val="auto"/>
              </w:rPr>
            </w:pPr>
            <w:r>
              <w:rPr>
                <w:rFonts w:hint="eastAsia"/>
                <w:color w:val="auto"/>
              </w:rPr>
              <w:t>3</w:t>
            </w:r>
            <w:r>
              <w:rPr>
                <w:color w:val="auto"/>
              </w:rPr>
              <w:t>66</w:t>
            </w:r>
          </w:p>
        </w:tc>
        <w:tc>
          <w:tcPr>
            <w:tcW w:w="1041" w:type="pct"/>
            <w:tcBorders>
              <w:top w:val="nil"/>
              <w:left w:val="nil"/>
              <w:bottom w:val="single" w:color="auto" w:sz="4" w:space="0"/>
              <w:right w:val="single" w:color="auto" w:sz="4" w:space="0"/>
              <w:tl2br w:val="nil"/>
              <w:tr2bl w:val="nil"/>
            </w:tcBorders>
          </w:tcPr>
          <w:p w14:paraId="09BADBC7">
            <w:pPr>
              <w:pStyle w:val="84"/>
              <w:rPr>
                <w:color w:val="auto"/>
              </w:rPr>
            </w:pPr>
            <w:r>
              <w:rPr>
                <w:rFonts w:hint="eastAsia"/>
                <w:color w:val="auto"/>
              </w:rPr>
              <w:t>8</w:t>
            </w:r>
            <w:r>
              <w:rPr>
                <w:color w:val="auto"/>
              </w:rPr>
              <w:t>.284</w:t>
            </w:r>
          </w:p>
        </w:tc>
        <w:tc>
          <w:tcPr>
            <w:tcW w:w="1016" w:type="pct"/>
            <w:tcBorders>
              <w:top w:val="nil"/>
              <w:left w:val="nil"/>
              <w:bottom w:val="single" w:color="auto" w:sz="4" w:space="0"/>
              <w:right w:val="single" w:color="auto" w:sz="8" w:space="0"/>
              <w:tl2br w:val="nil"/>
              <w:tr2bl w:val="nil"/>
            </w:tcBorders>
            <w:vAlign w:val="center"/>
          </w:tcPr>
          <w:p w14:paraId="608E2780">
            <w:pPr>
              <w:pStyle w:val="84"/>
              <w:rPr>
                <w:color w:val="auto"/>
              </w:rPr>
            </w:pPr>
            <w:r>
              <w:rPr>
                <w:rFonts w:hint="eastAsia"/>
                <w:color w:val="auto"/>
              </w:rPr>
              <w:t>3</w:t>
            </w:r>
            <w:r>
              <w:rPr>
                <w:color w:val="auto"/>
              </w:rPr>
              <w:t>85</w:t>
            </w:r>
          </w:p>
        </w:tc>
        <w:tc>
          <w:tcPr>
            <w:tcW w:w="1096" w:type="pct"/>
            <w:tcBorders>
              <w:top w:val="nil"/>
              <w:left w:val="nil"/>
              <w:bottom w:val="single" w:color="auto" w:sz="4" w:space="0"/>
              <w:right w:val="single" w:color="auto" w:sz="4" w:space="0"/>
              <w:tl2br w:val="nil"/>
              <w:tr2bl w:val="nil"/>
            </w:tcBorders>
          </w:tcPr>
          <w:p w14:paraId="488E3AE8">
            <w:pPr>
              <w:pStyle w:val="84"/>
              <w:rPr>
                <w:color w:val="auto"/>
              </w:rPr>
            </w:pPr>
            <w:r>
              <w:rPr>
                <w:rFonts w:hint="eastAsia"/>
                <w:color w:val="auto"/>
              </w:rPr>
              <w:t>8</w:t>
            </w:r>
            <w:r>
              <w:rPr>
                <w:color w:val="auto"/>
              </w:rPr>
              <w:t>.107</w:t>
            </w:r>
          </w:p>
        </w:tc>
      </w:tr>
      <w:tr w14:paraId="672455A6">
        <w:tblPrEx>
          <w:tblCellMar>
            <w:top w:w="0" w:type="dxa"/>
            <w:left w:w="108" w:type="dxa"/>
            <w:bottom w:w="0" w:type="dxa"/>
            <w:right w:w="108" w:type="dxa"/>
          </w:tblCellMar>
        </w:tblPrEx>
        <w:trPr>
          <w:trHeight w:val="331" w:hRule="atLeast"/>
          <w:jc w:val="center"/>
        </w:trPr>
        <w:tc>
          <w:tcPr>
            <w:tcW w:w="959" w:type="pct"/>
            <w:tcBorders>
              <w:top w:val="nil"/>
              <w:left w:val="single" w:color="auto" w:sz="8" w:space="0"/>
              <w:bottom w:val="single" w:color="auto" w:sz="4" w:space="0"/>
              <w:right w:val="single" w:color="auto" w:sz="8" w:space="0"/>
              <w:tl2br w:val="nil"/>
              <w:tr2bl w:val="nil"/>
            </w:tcBorders>
            <w:vAlign w:val="center"/>
          </w:tcPr>
          <w:p w14:paraId="4C12DE24">
            <w:pPr>
              <w:pStyle w:val="84"/>
              <w:rPr>
                <w:color w:val="auto"/>
              </w:rPr>
            </w:pPr>
            <w:r>
              <w:rPr>
                <w:color w:val="auto"/>
              </w:rPr>
              <w:t>18</w:t>
            </w:r>
          </w:p>
        </w:tc>
        <w:tc>
          <w:tcPr>
            <w:tcW w:w="888" w:type="pct"/>
            <w:tcBorders>
              <w:top w:val="nil"/>
              <w:left w:val="nil"/>
              <w:bottom w:val="single" w:color="auto" w:sz="4" w:space="0"/>
              <w:right w:val="single" w:color="auto" w:sz="8" w:space="0"/>
              <w:tl2br w:val="nil"/>
              <w:tr2bl w:val="nil"/>
            </w:tcBorders>
            <w:vAlign w:val="center"/>
          </w:tcPr>
          <w:p w14:paraId="0AE0D8C8">
            <w:pPr>
              <w:pStyle w:val="84"/>
              <w:rPr>
                <w:color w:val="auto"/>
              </w:rPr>
            </w:pPr>
            <w:r>
              <w:rPr>
                <w:rFonts w:hint="eastAsia"/>
                <w:color w:val="auto"/>
              </w:rPr>
              <w:t>3</w:t>
            </w:r>
            <w:r>
              <w:rPr>
                <w:color w:val="auto"/>
              </w:rPr>
              <w:t>16</w:t>
            </w:r>
          </w:p>
        </w:tc>
        <w:tc>
          <w:tcPr>
            <w:tcW w:w="1041" w:type="pct"/>
            <w:tcBorders>
              <w:top w:val="nil"/>
              <w:left w:val="nil"/>
              <w:bottom w:val="single" w:color="auto" w:sz="4" w:space="0"/>
              <w:right w:val="single" w:color="auto" w:sz="4" w:space="0"/>
              <w:tl2br w:val="nil"/>
              <w:tr2bl w:val="nil"/>
            </w:tcBorders>
          </w:tcPr>
          <w:p w14:paraId="6EE931FE">
            <w:pPr>
              <w:pStyle w:val="84"/>
              <w:rPr>
                <w:color w:val="auto"/>
              </w:rPr>
            </w:pPr>
            <w:r>
              <w:rPr>
                <w:rFonts w:hint="eastAsia"/>
                <w:color w:val="auto"/>
              </w:rPr>
              <w:t>7</w:t>
            </w:r>
            <w:r>
              <w:rPr>
                <w:color w:val="auto"/>
              </w:rPr>
              <w:t>.816</w:t>
            </w:r>
          </w:p>
        </w:tc>
        <w:tc>
          <w:tcPr>
            <w:tcW w:w="1016" w:type="pct"/>
            <w:tcBorders>
              <w:top w:val="nil"/>
              <w:left w:val="nil"/>
              <w:bottom w:val="single" w:color="auto" w:sz="4" w:space="0"/>
              <w:right w:val="single" w:color="auto" w:sz="8" w:space="0"/>
              <w:tl2br w:val="nil"/>
              <w:tr2bl w:val="nil"/>
            </w:tcBorders>
            <w:vAlign w:val="center"/>
          </w:tcPr>
          <w:p w14:paraId="032FC61A">
            <w:pPr>
              <w:pStyle w:val="84"/>
              <w:rPr>
                <w:color w:val="auto"/>
              </w:rPr>
            </w:pPr>
            <w:r>
              <w:rPr>
                <w:rFonts w:hint="eastAsia"/>
                <w:color w:val="auto"/>
              </w:rPr>
              <w:t>3</w:t>
            </w:r>
            <w:r>
              <w:rPr>
                <w:color w:val="auto"/>
              </w:rPr>
              <w:t>34</w:t>
            </w:r>
          </w:p>
        </w:tc>
        <w:tc>
          <w:tcPr>
            <w:tcW w:w="1096" w:type="pct"/>
            <w:tcBorders>
              <w:top w:val="nil"/>
              <w:left w:val="nil"/>
              <w:bottom w:val="single" w:color="auto" w:sz="4" w:space="0"/>
              <w:right w:val="single" w:color="auto" w:sz="4" w:space="0"/>
              <w:tl2br w:val="nil"/>
              <w:tr2bl w:val="nil"/>
            </w:tcBorders>
          </w:tcPr>
          <w:p w14:paraId="5ACF8B6A">
            <w:pPr>
              <w:pStyle w:val="84"/>
              <w:rPr>
                <w:color w:val="auto"/>
              </w:rPr>
            </w:pPr>
            <w:r>
              <w:rPr>
                <w:rFonts w:hint="eastAsia"/>
                <w:color w:val="auto"/>
              </w:rPr>
              <w:t>7</w:t>
            </w:r>
            <w:r>
              <w:rPr>
                <w:color w:val="auto"/>
              </w:rPr>
              <w:t>.669</w:t>
            </w:r>
          </w:p>
        </w:tc>
      </w:tr>
      <w:tr w14:paraId="07343DA3">
        <w:tblPrEx>
          <w:tblCellMar>
            <w:top w:w="0" w:type="dxa"/>
            <w:left w:w="108" w:type="dxa"/>
            <w:bottom w:w="0" w:type="dxa"/>
            <w:right w:w="108" w:type="dxa"/>
          </w:tblCellMar>
        </w:tblPrEx>
        <w:trPr>
          <w:trHeight w:val="331" w:hRule="atLeast"/>
          <w:jc w:val="center"/>
        </w:trPr>
        <w:tc>
          <w:tcPr>
            <w:tcW w:w="959" w:type="pct"/>
            <w:tcBorders>
              <w:top w:val="nil"/>
              <w:left w:val="single" w:color="auto" w:sz="8" w:space="0"/>
              <w:bottom w:val="single" w:color="auto" w:sz="4" w:space="0"/>
              <w:right w:val="single" w:color="auto" w:sz="8" w:space="0"/>
              <w:tl2br w:val="nil"/>
              <w:tr2bl w:val="nil"/>
            </w:tcBorders>
            <w:vAlign w:val="center"/>
          </w:tcPr>
          <w:p w14:paraId="77F6A09C">
            <w:pPr>
              <w:pStyle w:val="84"/>
              <w:rPr>
                <w:color w:val="auto"/>
              </w:rPr>
            </w:pPr>
            <w:r>
              <w:rPr>
                <w:color w:val="auto"/>
              </w:rPr>
              <w:t>19</w:t>
            </w:r>
          </w:p>
        </w:tc>
        <w:tc>
          <w:tcPr>
            <w:tcW w:w="888" w:type="pct"/>
            <w:tcBorders>
              <w:top w:val="nil"/>
              <w:left w:val="nil"/>
              <w:bottom w:val="single" w:color="auto" w:sz="4" w:space="0"/>
              <w:right w:val="single" w:color="auto" w:sz="8" w:space="0"/>
              <w:tl2br w:val="nil"/>
              <w:tr2bl w:val="nil"/>
            </w:tcBorders>
            <w:vAlign w:val="center"/>
          </w:tcPr>
          <w:p w14:paraId="4B7C82AC">
            <w:pPr>
              <w:pStyle w:val="84"/>
              <w:rPr>
                <w:color w:val="auto"/>
              </w:rPr>
            </w:pPr>
            <w:r>
              <w:rPr>
                <w:rFonts w:hint="eastAsia"/>
                <w:color w:val="auto"/>
              </w:rPr>
              <w:t>2</w:t>
            </w:r>
            <w:r>
              <w:rPr>
                <w:color w:val="auto"/>
              </w:rPr>
              <w:t>76</w:t>
            </w:r>
          </w:p>
        </w:tc>
        <w:tc>
          <w:tcPr>
            <w:tcW w:w="1041" w:type="pct"/>
            <w:tcBorders>
              <w:top w:val="nil"/>
              <w:left w:val="nil"/>
              <w:bottom w:val="single" w:color="auto" w:sz="4" w:space="0"/>
              <w:right w:val="single" w:color="auto" w:sz="4" w:space="0"/>
              <w:tl2br w:val="nil"/>
              <w:tr2bl w:val="nil"/>
            </w:tcBorders>
          </w:tcPr>
          <w:p w14:paraId="02ADE006">
            <w:pPr>
              <w:pStyle w:val="84"/>
              <w:rPr>
                <w:color w:val="auto"/>
              </w:rPr>
            </w:pPr>
            <w:r>
              <w:rPr>
                <w:rFonts w:hint="eastAsia"/>
                <w:color w:val="auto"/>
              </w:rPr>
              <w:t>7</w:t>
            </w:r>
            <w:r>
              <w:rPr>
                <w:color w:val="auto"/>
              </w:rPr>
              <w:t>.397</w:t>
            </w:r>
          </w:p>
        </w:tc>
        <w:tc>
          <w:tcPr>
            <w:tcW w:w="1016" w:type="pct"/>
            <w:tcBorders>
              <w:top w:val="nil"/>
              <w:left w:val="nil"/>
              <w:bottom w:val="single" w:color="auto" w:sz="4" w:space="0"/>
              <w:right w:val="single" w:color="auto" w:sz="8" w:space="0"/>
              <w:tl2br w:val="nil"/>
              <w:tr2bl w:val="nil"/>
            </w:tcBorders>
            <w:vAlign w:val="center"/>
          </w:tcPr>
          <w:p w14:paraId="6377E9FE">
            <w:pPr>
              <w:pStyle w:val="84"/>
              <w:rPr>
                <w:color w:val="auto"/>
              </w:rPr>
            </w:pPr>
            <w:r>
              <w:rPr>
                <w:rFonts w:hint="eastAsia"/>
                <w:color w:val="auto"/>
              </w:rPr>
              <w:t>2</w:t>
            </w:r>
            <w:r>
              <w:rPr>
                <w:color w:val="auto"/>
              </w:rPr>
              <w:t>92</w:t>
            </w:r>
          </w:p>
        </w:tc>
        <w:tc>
          <w:tcPr>
            <w:tcW w:w="1096" w:type="pct"/>
            <w:tcBorders>
              <w:top w:val="nil"/>
              <w:left w:val="nil"/>
              <w:bottom w:val="single" w:color="auto" w:sz="4" w:space="0"/>
              <w:right w:val="single" w:color="auto" w:sz="4" w:space="0"/>
              <w:tl2br w:val="nil"/>
              <w:tr2bl w:val="nil"/>
            </w:tcBorders>
          </w:tcPr>
          <w:p w14:paraId="0A58AEBD">
            <w:pPr>
              <w:pStyle w:val="84"/>
              <w:rPr>
                <w:color w:val="auto"/>
              </w:rPr>
            </w:pPr>
            <w:r>
              <w:rPr>
                <w:rFonts w:hint="eastAsia"/>
                <w:color w:val="auto"/>
              </w:rPr>
              <w:t>7</w:t>
            </w:r>
            <w:r>
              <w:rPr>
                <w:color w:val="auto"/>
              </w:rPr>
              <w:t>.274</w:t>
            </w:r>
          </w:p>
        </w:tc>
      </w:tr>
      <w:tr w14:paraId="13E3AAF5">
        <w:tblPrEx>
          <w:tblCellMar>
            <w:top w:w="0" w:type="dxa"/>
            <w:left w:w="108" w:type="dxa"/>
            <w:bottom w:w="0" w:type="dxa"/>
            <w:right w:w="108" w:type="dxa"/>
          </w:tblCellMar>
        </w:tblPrEx>
        <w:trPr>
          <w:trHeight w:val="331" w:hRule="atLeast"/>
          <w:jc w:val="center"/>
        </w:trPr>
        <w:tc>
          <w:tcPr>
            <w:tcW w:w="959" w:type="pct"/>
            <w:tcBorders>
              <w:top w:val="single" w:color="auto" w:sz="4" w:space="0"/>
              <w:left w:val="single" w:color="auto" w:sz="4" w:space="0"/>
              <w:bottom w:val="single" w:color="auto" w:sz="4" w:space="0"/>
              <w:right w:val="single" w:color="auto" w:sz="4" w:space="0"/>
              <w:tl2br w:val="nil"/>
              <w:tr2bl w:val="nil"/>
            </w:tcBorders>
            <w:vAlign w:val="center"/>
          </w:tcPr>
          <w:p w14:paraId="7A2D59CC">
            <w:pPr>
              <w:pStyle w:val="84"/>
              <w:rPr>
                <w:color w:val="auto"/>
              </w:rPr>
            </w:pPr>
            <w:r>
              <w:rPr>
                <w:color w:val="auto"/>
              </w:rPr>
              <w:t>20</w:t>
            </w:r>
          </w:p>
        </w:tc>
        <w:tc>
          <w:tcPr>
            <w:tcW w:w="888" w:type="pct"/>
            <w:tcBorders>
              <w:top w:val="single" w:color="auto" w:sz="4" w:space="0"/>
              <w:left w:val="single" w:color="auto" w:sz="4" w:space="0"/>
              <w:bottom w:val="single" w:color="auto" w:sz="4" w:space="0"/>
              <w:right w:val="single" w:color="auto" w:sz="4" w:space="0"/>
              <w:tl2br w:val="nil"/>
              <w:tr2bl w:val="nil"/>
            </w:tcBorders>
            <w:vAlign w:val="center"/>
          </w:tcPr>
          <w:p w14:paraId="38DAE12B">
            <w:pPr>
              <w:pStyle w:val="84"/>
              <w:rPr>
                <w:color w:val="auto"/>
              </w:rPr>
            </w:pPr>
            <w:r>
              <w:rPr>
                <w:rFonts w:hint="eastAsia"/>
                <w:color w:val="auto"/>
              </w:rPr>
              <w:t>2</w:t>
            </w:r>
            <w:r>
              <w:rPr>
                <w:color w:val="auto"/>
              </w:rPr>
              <w:t>43</w:t>
            </w:r>
          </w:p>
        </w:tc>
        <w:tc>
          <w:tcPr>
            <w:tcW w:w="1041" w:type="pct"/>
            <w:tcBorders>
              <w:top w:val="single" w:color="auto" w:sz="4" w:space="0"/>
              <w:left w:val="single" w:color="auto" w:sz="4" w:space="0"/>
              <w:bottom w:val="single" w:color="auto" w:sz="4" w:space="0"/>
              <w:right w:val="single" w:color="auto" w:sz="4" w:space="0"/>
              <w:tl2br w:val="nil"/>
              <w:tr2bl w:val="nil"/>
            </w:tcBorders>
          </w:tcPr>
          <w:p w14:paraId="3FFD046A">
            <w:pPr>
              <w:pStyle w:val="84"/>
              <w:rPr>
                <w:color w:val="auto"/>
              </w:rPr>
            </w:pPr>
            <w:r>
              <w:rPr>
                <w:rFonts w:hint="eastAsia"/>
                <w:color w:val="auto"/>
              </w:rPr>
              <w:t>7</w:t>
            </w:r>
            <w:r>
              <w:rPr>
                <w:color w:val="auto"/>
              </w:rPr>
              <w:t>.020</w:t>
            </w:r>
          </w:p>
        </w:tc>
        <w:tc>
          <w:tcPr>
            <w:tcW w:w="1016" w:type="pct"/>
            <w:tcBorders>
              <w:top w:val="single" w:color="auto" w:sz="4" w:space="0"/>
              <w:left w:val="single" w:color="auto" w:sz="4" w:space="0"/>
              <w:bottom w:val="single" w:color="auto" w:sz="4" w:space="0"/>
              <w:right w:val="single" w:color="auto" w:sz="4" w:space="0"/>
              <w:tl2br w:val="nil"/>
              <w:tr2bl w:val="nil"/>
            </w:tcBorders>
            <w:vAlign w:val="center"/>
          </w:tcPr>
          <w:p w14:paraId="689F2F85">
            <w:pPr>
              <w:pStyle w:val="84"/>
              <w:rPr>
                <w:color w:val="auto"/>
              </w:rPr>
            </w:pPr>
            <w:r>
              <w:rPr>
                <w:rFonts w:hint="eastAsia"/>
                <w:color w:val="auto"/>
              </w:rPr>
              <w:t>2</w:t>
            </w:r>
            <w:r>
              <w:rPr>
                <w:color w:val="auto"/>
              </w:rPr>
              <w:t>58</w:t>
            </w:r>
          </w:p>
        </w:tc>
        <w:tc>
          <w:tcPr>
            <w:tcW w:w="1096" w:type="pct"/>
            <w:tcBorders>
              <w:top w:val="single" w:color="auto" w:sz="4" w:space="0"/>
              <w:left w:val="single" w:color="auto" w:sz="4" w:space="0"/>
              <w:bottom w:val="single" w:color="auto" w:sz="4" w:space="0"/>
              <w:right w:val="single" w:color="auto" w:sz="4" w:space="0"/>
              <w:tl2br w:val="nil"/>
              <w:tr2bl w:val="nil"/>
            </w:tcBorders>
          </w:tcPr>
          <w:p w14:paraId="3DEEF96D">
            <w:pPr>
              <w:pStyle w:val="84"/>
              <w:rPr>
                <w:color w:val="auto"/>
              </w:rPr>
            </w:pPr>
            <w:r>
              <w:rPr>
                <w:rFonts w:hint="eastAsia"/>
                <w:color w:val="auto"/>
              </w:rPr>
              <w:t>6</w:t>
            </w:r>
            <w:r>
              <w:rPr>
                <w:color w:val="auto"/>
              </w:rPr>
              <w:t>.916</w:t>
            </w:r>
          </w:p>
        </w:tc>
      </w:tr>
      <w:tr w14:paraId="14EC2471">
        <w:tblPrEx>
          <w:tblCellMar>
            <w:top w:w="0" w:type="dxa"/>
            <w:left w:w="108" w:type="dxa"/>
            <w:bottom w:w="0" w:type="dxa"/>
            <w:right w:w="108" w:type="dxa"/>
          </w:tblCellMar>
        </w:tblPrEx>
        <w:trPr>
          <w:trHeight w:val="331" w:hRule="atLeast"/>
          <w:jc w:val="center"/>
        </w:trPr>
        <w:tc>
          <w:tcPr>
            <w:tcW w:w="959" w:type="pct"/>
            <w:tcBorders>
              <w:top w:val="single" w:color="auto" w:sz="4" w:space="0"/>
              <w:left w:val="single" w:color="auto" w:sz="4" w:space="0"/>
              <w:bottom w:val="single" w:color="auto" w:sz="4" w:space="0"/>
              <w:right w:val="single" w:color="auto" w:sz="4" w:space="0"/>
              <w:tl2br w:val="nil"/>
              <w:tr2bl w:val="nil"/>
            </w:tcBorders>
            <w:vAlign w:val="center"/>
          </w:tcPr>
          <w:p w14:paraId="2022431C">
            <w:pPr>
              <w:pStyle w:val="84"/>
              <w:rPr>
                <w:color w:val="auto"/>
              </w:rPr>
            </w:pPr>
            <w:r>
              <w:rPr>
                <w:color w:val="auto"/>
              </w:rPr>
              <w:t>21</w:t>
            </w:r>
          </w:p>
        </w:tc>
        <w:tc>
          <w:tcPr>
            <w:tcW w:w="888" w:type="pct"/>
            <w:tcBorders>
              <w:top w:val="single" w:color="auto" w:sz="4" w:space="0"/>
              <w:left w:val="single" w:color="auto" w:sz="4" w:space="0"/>
              <w:bottom w:val="single" w:color="auto" w:sz="4" w:space="0"/>
              <w:right w:val="single" w:color="auto" w:sz="4" w:space="0"/>
              <w:tl2br w:val="nil"/>
              <w:tr2bl w:val="nil"/>
            </w:tcBorders>
            <w:vAlign w:val="center"/>
          </w:tcPr>
          <w:p w14:paraId="5D75554C">
            <w:pPr>
              <w:pStyle w:val="84"/>
              <w:rPr>
                <w:color w:val="auto"/>
              </w:rPr>
            </w:pPr>
            <w:r>
              <w:rPr>
                <w:rFonts w:hint="eastAsia"/>
                <w:color w:val="auto"/>
              </w:rPr>
              <w:t>2</w:t>
            </w:r>
            <w:r>
              <w:rPr>
                <w:color w:val="auto"/>
              </w:rPr>
              <w:t>15</w:t>
            </w:r>
          </w:p>
        </w:tc>
        <w:tc>
          <w:tcPr>
            <w:tcW w:w="1041" w:type="pct"/>
            <w:tcBorders>
              <w:top w:val="single" w:color="auto" w:sz="4" w:space="0"/>
              <w:left w:val="single" w:color="auto" w:sz="4" w:space="0"/>
              <w:bottom w:val="single" w:color="auto" w:sz="4" w:space="0"/>
              <w:right w:val="single" w:color="auto" w:sz="4" w:space="0"/>
              <w:tl2br w:val="nil"/>
              <w:tr2bl w:val="nil"/>
            </w:tcBorders>
          </w:tcPr>
          <w:p w14:paraId="7956336D">
            <w:pPr>
              <w:pStyle w:val="84"/>
              <w:rPr>
                <w:color w:val="auto"/>
              </w:rPr>
            </w:pPr>
            <w:r>
              <w:rPr>
                <w:rFonts w:hint="eastAsia"/>
                <w:color w:val="auto"/>
              </w:rPr>
              <w:t>6</w:t>
            </w:r>
            <w:r>
              <w:rPr>
                <w:color w:val="auto"/>
              </w:rPr>
              <w:t>.680</w:t>
            </w:r>
          </w:p>
        </w:tc>
        <w:tc>
          <w:tcPr>
            <w:tcW w:w="1016" w:type="pct"/>
            <w:tcBorders>
              <w:top w:val="single" w:color="auto" w:sz="4" w:space="0"/>
              <w:left w:val="single" w:color="auto" w:sz="4" w:space="0"/>
              <w:bottom w:val="single" w:color="auto" w:sz="4" w:space="0"/>
              <w:right w:val="single" w:color="auto" w:sz="4" w:space="0"/>
              <w:tl2br w:val="nil"/>
              <w:tr2bl w:val="nil"/>
            </w:tcBorders>
            <w:vAlign w:val="center"/>
          </w:tcPr>
          <w:p w14:paraId="7AFFCF3C">
            <w:pPr>
              <w:pStyle w:val="84"/>
              <w:rPr>
                <w:color w:val="auto"/>
              </w:rPr>
            </w:pPr>
            <w:r>
              <w:rPr>
                <w:rFonts w:hint="eastAsia"/>
                <w:color w:val="auto"/>
              </w:rPr>
              <w:t>2</w:t>
            </w:r>
            <w:r>
              <w:rPr>
                <w:color w:val="auto"/>
              </w:rPr>
              <w:t>28</w:t>
            </w:r>
          </w:p>
        </w:tc>
        <w:tc>
          <w:tcPr>
            <w:tcW w:w="1096" w:type="pct"/>
            <w:tcBorders>
              <w:top w:val="single" w:color="auto" w:sz="4" w:space="0"/>
              <w:left w:val="single" w:color="auto" w:sz="4" w:space="0"/>
              <w:bottom w:val="single" w:color="auto" w:sz="4" w:space="0"/>
              <w:right w:val="single" w:color="auto" w:sz="4" w:space="0"/>
              <w:tl2br w:val="nil"/>
              <w:tr2bl w:val="nil"/>
            </w:tcBorders>
          </w:tcPr>
          <w:p w14:paraId="42BE2DB4">
            <w:pPr>
              <w:pStyle w:val="84"/>
              <w:rPr>
                <w:color w:val="auto"/>
              </w:rPr>
            </w:pPr>
            <w:r>
              <w:rPr>
                <w:rFonts w:hint="eastAsia"/>
                <w:color w:val="auto"/>
              </w:rPr>
              <w:t>6</w:t>
            </w:r>
            <w:r>
              <w:rPr>
                <w:color w:val="auto"/>
              </w:rPr>
              <w:t>.590</w:t>
            </w:r>
          </w:p>
        </w:tc>
      </w:tr>
      <w:tr w14:paraId="190C39F2">
        <w:tblPrEx>
          <w:tblCellMar>
            <w:top w:w="0" w:type="dxa"/>
            <w:left w:w="108" w:type="dxa"/>
            <w:bottom w:w="0" w:type="dxa"/>
            <w:right w:w="108" w:type="dxa"/>
          </w:tblCellMar>
        </w:tblPrEx>
        <w:trPr>
          <w:trHeight w:val="331" w:hRule="atLeast"/>
          <w:jc w:val="center"/>
        </w:trPr>
        <w:tc>
          <w:tcPr>
            <w:tcW w:w="959" w:type="pct"/>
            <w:tcBorders>
              <w:top w:val="single" w:color="auto" w:sz="4" w:space="0"/>
              <w:left w:val="single" w:color="auto" w:sz="4" w:space="0"/>
              <w:bottom w:val="single" w:color="auto" w:sz="4" w:space="0"/>
              <w:right w:val="single" w:color="auto" w:sz="4" w:space="0"/>
              <w:tl2br w:val="nil"/>
              <w:tr2bl w:val="nil"/>
            </w:tcBorders>
            <w:vAlign w:val="center"/>
          </w:tcPr>
          <w:p w14:paraId="423EB28E">
            <w:pPr>
              <w:pStyle w:val="84"/>
              <w:rPr>
                <w:color w:val="auto"/>
              </w:rPr>
            </w:pPr>
            <w:r>
              <w:rPr>
                <w:color w:val="auto"/>
              </w:rPr>
              <w:t>22</w:t>
            </w:r>
          </w:p>
        </w:tc>
        <w:tc>
          <w:tcPr>
            <w:tcW w:w="888" w:type="pct"/>
            <w:tcBorders>
              <w:top w:val="single" w:color="auto" w:sz="4" w:space="0"/>
              <w:left w:val="single" w:color="auto" w:sz="4" w:space="0"/>
              <w:bottom w:val="single" w:color="auto" w:sz="4" w:space="0"/>
              <w:right w:val="single" w:color="auto" w:sz="4" w:space="0"/>
              <w:tl2br w:val="nil"/>
              <w:tr2bl w:val="nil"/>
            </w:tcBorders>
            <w:vAlign w:val="center"/>
          </w:tcPr>
          <w:p w14:paraId="7A54D191">
            <w:pPr>
              <w:pStyle w:val="84"/>
              <w:rPr>
                <w:color w:val="auto"/>
              </w:rPr>
            </w:pPr>
            <w:r>
              <w:rPr>
                <w:rFonts w:hint="eastAsia"/>
                <w:color w:val="auto"/>
              </w:rPr>
              <w:t>1</w:t>
            </w:r>
            <w:r>
              <w:rPr>
                <w:color w:val="auto"/>
              </w:rPr>
              <w:t>92</w:t>
            </w:r>
          </w:p>
        </w:tc>
        <w:tc>
          <w:tcPr>
            <w:tcW w:w="1041" w:type="pct"/>
            <w:tcBorders>
              <w:top w:val="single" w:color="auto" w:sz="4" w:space="0"/>
              <w:left w:val="single" w:color="auto" w:sz="4" w:space="0"/>
              <w:bottom w:val="single" w:color="auto" w:sz="4" w:space="0"/>
              <w:right w:val="single" w:color="auto" w:sz="4" w:space="0"/>
              <w:tl2br w:val="nil"/>
              <w:tr2bl w:val="nil"/>
            </w:tcBorders>
          </w:tcPr>
          <w:p w14:paraId="22F89BAB">
            <w:pPr>
              <w:pStyle w:val="84"/>
              <w:rPr>
                <w:color w:val="auto"/>
              </w:rPr>
            </w:pPr>
            <w:r>
              <w:rPr>
                <w:rFonts w:hint="eastAsia"/>
                <w:color w:val="auto"/>
              </w:rPr>
              <w:t>6</w:t>
            </w:r>
            <w:r>
              <w:rPr>
                <w:color w:val="auto"/>
              </w:rPr>
              <w:t>.371</w:t>
            </w:r>
          </w:p>
        </w:tc>
        <w:tc>
          <w:tcPr>
            <w:tcW w:w="1016" w:type="pct"/>
            <w:tcBorders>
              <w:top w:val="single" w:color="auto" w:sz="4" w:space="0"/>
              <w:left w:val="single" w:color="auto" w:sz="4" w:space="0"/>
              <w:bottom w:val="single" w:color="auto" w:sz="4" w:space="0"/>
              <w:right w:val="single" w:color="auto" w:sz="4" w:space="0"/>
              <w:tl2br w:val="nil"/>
              <w:tr2bl w:val="nil"/>
            </w:tcBorders>
            <w:vAlign w:val="center"/>
          </w:tcPr>
          <w:p w14:paraId="3678A97E">
            <w:pPr>
              <w:pStyle w:val="84"/>
              <w:rPr>
                <w:color w:val="auto"/>
              </w:rPr>
            </w:pPr>
            <w:r>
              <w:rPr>
                <w:rFonts w:hint="eastAsia"/>
                <w:color w:val="auto"/>
              </w:rPr>
              <w:t>2</w:t>
            </w:r>
            <w:r>
              <w:rPr>
                <w:color w:val="auto"/>
              </w:rPr>
              <w:t>04</w:t>
            </w:r>
          </w:p>
        </w:tc>
        <w:tc>
          <w:tcPr>
            <w:tcW w:w="1096" w:type="pct"/>
            <w:tcBorders>
              <w:top w:val="single" w:color="auto" w:sz="4" w:space="0"/>
              <w:left w:val="single" w:color="auto" w:sz="4" w:space="0"/>
              <w:bottom w:val="single" w:color="auto" w:sz="4" w:space="0"/>
              <w:right w:val="single" w:color="auto" w:sz="4" w:space="0"/>
              <w:tl2br w:val="nil"/>
              <w:tr2bl w:val="nil"/>
            </w:tcBorders>
          </w:tcPr>
          <w:p w14:paraId="4E0B0D5B">
            <w:pPr>
              <w:pStyle w:val="84"/>
              <w:rPr>
                <w:color w:val="auto"/>
              </w:rPr>
            </w:pPr>
            <w:r>
              <w:rPr>
                <w:rFonts w:hint="eastAsia"/>
                <w:color w:val="auto"/>
              </w:rPr>
              <w:t>6</w:t>
            </w:r>
            <w:r>
              <w:rPr>
                <w:color w:val="auto"/>
              </w:rPr>
              <w:t>.293</w:t>
            </w:r>
          </w:p>
        </w:tc>
      </w:tr>
      <w:tr w14:paraId="253A87D5">
        <w:tblPrEx>
          <w:tblCellMar>
            <w:top w:w="0" w:type="dxa"/>
            <w:left w:w="108" w:type="dxa"/>
            <w:bottom w:w="0" w:type="dxa"/>
            <w:right w:w="108" w:type="dxa"/>
          </w:tblCellMar>
        </w:tblPrEx>
        <w:trPr>
          <w:trHeight w:val="331" w:hRule="atLeast"/>
          <w:jc w:val="center"/>
        </w:trPr>
        <w:tc>
          <w:tcPr>
            <w:tcW w:w="959" w:type="pct"/>
            <w:tcBorders>
              <w:top w:val="single" w:color="auto" w:sz="4" w:space="0"/>
              <w:left w:val="single" w:color="auto" w:sz="4" w:space="0"/>
              <w:bottom w:val="single" w:color="auto" w:sz="4" w:space="0"/>
              <w:right w:val="single" w:color="auto" w:sz="4" w:space="0"/>
              <w:tl2br w:val="nil"/>
              <w:tr2bl w:val="nil"/>
            </w:tcBorders>
            <w:vAlign w:val="center"/>
          </w:tcPr>
          <w:p w14:paraId="0517C33F">
            <w:pPr>
              <w:pStyle w:val="84"/>
              <w:rPr>
                <w:color w:val="auto"/>
              </w:rPr>
            </w:pPr>
            <w:r>
              <w:rPr>
                <w:color w:val="auto"/>
              </w:rPr>
              <w:t>23</w:t>
            </w:r>
          </w:p>
        </w:tc>
        <w:tc>
          <w:tcPr>
            <w:tcW w:w="888" w:type="pct"/>
            <w:tcBorders>
              <w:top w:val="single" w:color="auto" w:sz="4" w:space="0"/>
              <w:left w:val="single" w:color="auto" w:sz="4" w:space="0"/>
              <w:bottom w:val="single" w:color="auto" w:sz="4" w:space="0"/>
              <w:right w:val="single" w:color="auto" w:sz="4" w:space="0"/>
              <w:tl2br w:val="nil"/>
              <w:tr2bl w:val="nil"/>
            </w:tcBorders>
            <w:vAlign w:val="center"/>
          </w:tcPr>
          <w:p w14:paraId="7BAA028D">
            <w:pPr>
              <w:pStyle w:val="84"/>
              <w:rPr>
                <w:color w:val="auto"/>
              </w:rPr>
            </w:pPr>
            <w:r>
              <w:rPr>
                <w:rFonts w:hint="eastAsia"/>
                <w:color w:val="auto"/>
              </w:rPr>
              <w:t>1</w:t>
            </w:r>
            <w:r>
              <w:rPr>
                <w:color w:val="auto"/>
              </w:rPr>
              <w:t>73</w:t>
            </w:r>
          </w:p>
        </w:tc>
        <w:tc>
          <w:tcPr>
            <w:tcW w:w="1041" w:type="pct"/>
            <w:tcBorders>
              <w:top w:val="single" w:color="auto" w:sz="4" w:space="0"/>
              <w:left w:val="single" w:color="auto" w:sz="4" w:space="0"/>
              <w:bottom w:val="single" w:color="auto" w:sz="4" w:space="0"/>
              <w:right w:val="single" w:color="auto" w:sz="4" w:space="0"/>
              <w:tl2br w:val="nil"/>
              <w:tr2bl w:val="nil"/>
            </w:tcBorders>
          </w:tcPr>
          <w:p w14:paraId="4430E40B">
            <w:pPr>
              <w:pStyle w:val="84"/>
              <w:rPr>
                <w:color w:val="auto"/>
              </w:rPr>
            </w:pPr>
            <w:r>
              <w:rPr>
                <w:rFonts w:hint="eastAsia"/>
                <w:color w:val="auto"/>
              </w:rPr>
              <w:t>6</w:t>
            </w:r>
            <w:r>
              <w:rPr>
                <w:color w:val="auto"/>
              </w:rPr>
              <w:t>.089</w:t>
            </w:r>
          </w:p>
        </w:tc>
        <w:tc>
          <w:tcPr>
            <w:tcW w:w="1016" w:type="pct"/>
            <w:tcBorders>
              <w:top w:val="single" w:color="auto" w:sz="4" w:space="0"/>
              <w:left w:val="single" w:color="auto" w:sz="4" w:space="0"/>
              <w:bottom w:val="single" w:color="auto" w:sz="4" w:space="0"/>
              <w:right w:val="single" w:color="auto" w:sz="4" w:space="0"/>
              <w:tl2br w:val="nil"/>
              <w:tr2bl w:val="nil"/>
            </w:tcBorders>
            <w:vAlign w:val="center"/>
          </w:tcPr>
          <w:p w14:paraId="22A9478D">
            <w:pPr>
              <w:pStyle w:val="84"/>
              <w:rPr>
                <w:color w:val="auto"/>
              </w:rPr>
            </w:pPr>
            <w:r>
              <w:rPr>
                <w:rFonts w:hint="eastAsia"/>
                <w:color w:val="auto"/>
              </w:rPr>
              <w:t>1</w:t>
            </w:r>
            <w:r>
              <w:rPr>
                <w:color w:val="auto"/>
              </w:rPr>
              <w:t>83</w:t>
            </w:r>
          </w:p>
        </w:tc>
        <w:tc>
          <w:tcPr>
            <w:tcW w:w="1096" w:type="pct"/>
            <w:tcBorders>
              <w:top w:val="single" w:color="auto" w:sz="4" w:space="0"/>
              <w:left w:val="single" w:color="auto" w:sz="4" w:space="0"/>
              <w:bottom w:val="single" w:color="auto" w:sz="4" w:space="0"/>
              <w:right w:val="single" w:color="auto" w:sz="4" w:space="0"/>
              <w:tl2br w:val="nil"/>
              <w:tr2bl w:val="nil"/>
            </w:tcBorders>
          </w:tcPr>
          <w:p w14:paraId="532A9F9F">
            <w:pPr>
              <w:pStyle w:val="84"/>
              <w:rPr>
                <w:color w:val="auto"/>
              </w:rPr>
            </w:pPr>
            <w:r>
              <w:rPr>
                <w:rFonts w:hint="eastAsia"/>
                <w:color w:val="auto"/>
              </w:rPr>
              <w:t>6</w:t>
            </w:r>
            <w:r>
              <w:rPr>
                <w:color w:val="auto"/>
              </w:rPr>
              <w:t>.021</w:t>
            </w:r>
          </w:p>
        </w:tc>
      </w:tr>
      <w:tr w14:paraId="0D27D72B">
        <w:tblPrEx>
          <w:tblCellMar>
            <w:top w:w="0" w:type="dxa"/>
            <w:left w:w="108" w:type="dxa"/>
            <w:bottom w:w="0" w:type="dxa"/>
            <w:right w:w="108" w:type="dxa"/>
          </w:tblCellMar>
        </w:tblPrEx>
        <w:trPr>
          <w:trHeight w:val="331" w:hRule="atLeast"/>
          <w:jc w:val="center"/>
        </w:trPr>
        <w:tc>
          <w:tcPr>
            <w:tcW w:w="959" w:type="pct"/>
            <w:tcBorders>
              <w:top w:val="single" w:color="auto" w:sz="4" w:space="0"/>
              <w:left w:val="single" w:color="auto" w:sz="4" w:space="0"/>
              <w:bottom w:val="single" w:color="auto" w:sz="4" w:space="0"/>
              <w:right w:val="single" w:color="auto" w:sz="4" w:space="0"/>
              <w:tl2br w:val="nil"/>
              <w:tr2bl w:val="nil"/>
            </w:tcBorders>
            <w:vAlign w:val="center"/>
          </w:tcPr>
          <w:p w14:paraId="5179AD87">
            <w:pPr>
              <w:pStyle w:val="84"/>
              <w:rPr>
                <w:color w:val="auto"/>
              </w:rPr>
            </w:pPr>
            <w:r>
              <w:rPr>
                <w:color w:val="auto"/>
              </w:rPr>
              <w:t>24</w:t>
            </w:r>
          </w:p>
        </w:tc>
        <w:tc>
          <w:tcPr>
            <w:tcW w:w="888" w:type="pct"/>
            <w:tcBorders>
              <w:top w:val="single" w:color="auto" w:sz="4" w:space="0"/>
              <w:left w:val="single" w:color="auto" w:sz="4" w:space="0"/>
              <w:bottom w:val="single" w:color="auto" w:sz="4" w:space="0"/>
              <w:right w:val="single" w:color="auto" w:sz="4" w:space="0"/>
              <w:tl2br w:val="nil"/>
              <w:tr2bl w:val="nil"/>
            </w:tcBorders>
            <w:vAlign w:val="center"/>
          </w:tcPr>
          <w:p w14:paraId="4402E1E5">
            <w:pPr>
              <w:pStyle w:val="84"/>
              <w:rPr>
                <w:color w:val="auto"/>
              </w:rPr>
            </w:pPr>
            <w:r>
              <w:rPr>
                <w:rFonts w:hint="eastAsia"/>
                <w:color w:val="auto"/>
              </w:rPr>
              <w:t>1</w:t>
            </w:r>
            <w:r>
              <w:rPr>
                <w:color w:val="auto"/>
              </w:rPr>
              <w:t>56</w:t>
            </w:r>
          </w:p>
        </w:tc>
        <w:tc>
          <w:tcPr>
            <w:tcW w:w="1041" w:type="pct"/>
            <w:tcBorders>
              <w:top w:val="single" w:color="auto" w:sz="4" w:space="0"/>
              <w:left w:val="single" w:color="auto" w:sz="4" w:space="0"/>
              <w:bottom w:val="single" w:color="auto" w:sz="4" w:space="0"/>
              <w:right w:val="single" w:color="auto" w:sz="4" w:space="0"/>
              <w:tl2br w:val="nil"/>
              <w:tr2bl w:val="nil"/>
            </w:tcBorders>
          </w:tcPr>
          <w:p w14:paraId="3DA0DD77">
            <w:pPr>
              <w:pStyle w:val="84"/>
              <w:rPr>
                <w:color w:val="auto"/>
              </w:rPr>
            </w:pPr>
            <w:r>
              <w:rPr>
                <w:rFonts w:hint="eastAsia"/>
                <w:color w:val="auto"/>
              </w:rPr>
              <w:t>5</w:t>
            </w:r>
            <w:r>
              <w:rPr>
                <w:color w:val="auto"/>
              </w:rPr>
              <w:t>.831</w:t>
            </w:r>
          </w:p>
        </w:tc>
        <w:tc>
          <w:tcPr>
            <w:tcW w:w="1016" w:type="pct"/>
            <w:tcBorders>
              <w:top w:val="single" w:color="auto" w:sz="4" w:space="0"/>
              <w:left w:val="single" w:color="auto" w:sz="4" w:space="0"/>
              <w:bottom w:val="single" w:color="auto" w:sz="4" w:space="0"/>
              <w:right w:val="single" w:color="auto" w:sz="4" w:space="0"/>
              <w:tl2br w:val="nil"/>
              <w:tr2bl w:val="nil"/>
            </w:tcBorders>
            <w:vAlign w:val="center"/>
          </w:tcPr>
          <w:p w14:paraId="5F5CFED0">
            <w:pPr>
              <w:pStyle w:val="84"/>
              <w:rPr>
                <w:color w:val="auto"/>
              </w:rPr>
            </w:pPr>
            <w:r>
              <w:rPr>
                <w:rFonts w:hint="eastAsia"/>
                <w:color w:val="auto"/>
              </w:rPr>
              <w:t>1</w:t>
            </w:r>
            <w:r>
              <w:rPr>
                <w:color w:val="auto"/>
              </w:rPr>
              <w:t>65</w:t>
            </w:r>
          </w:p>
        </w:tc>
        <w:tc>
          <w:tcPr>
            <w:tcW w:w="1096" w:type="pct"/>
            <w:tcBorders>
              <w:top w:val="single" w:color="auto" w:sz="4" w:space="0"/>
              <w:left w:val="single" w:color="auto" w:sz="4" w:space="0"/>
              <w:bottom w:val="single" w:color="auto" w:sz="4" w:space="0"/>
              <w:right w:val="single" w:color="auto" w:sz="4" w:space="0"/>
              <w:tl2br w:val="nil"/>
              <w:tr2bl w:val="nil"/>
            </w:tcBorders>
          </w:tcPr>
          <w:p w14:paraId="0DA85093">
            <w:pPr>
              <w:pStyle w:val="84"/>
              <w:rPr>
                <w:color w:val="auto"/>
              </w:rPr>
            </w:pPr>
            <w:r>
              <w:rPr>
                <w:rFonts w:hint="eastAsia"/>
                <w:color w:val="auto"/>
              </w:rPr>
              <w:t>5</w:t>
            </w:r>
            <w:r>
              <w:rPr>
                <w:color w:val="auto"/>
              </w:rPr>
              <w:t>.772</w:t>
            </w:r>
          </w:p>
        </w:tc>
      </w:tr>
      <w:tr w14:paraId="55BCC18C">
        <w:tblPrEx>
          <w:tblCellMar>
            <w:top w:w="0" w:type="dxa"/>
            <w:left w:w="108" w:type="dxa"/>
            <w:bottom w:w="0" w:type="dxa"/>
            <w:right w:w="108" w:type="dxa"/>
          </w:tblCellMar>
        </w:tblPrEx>
        <w:trPr>
          <w:trHeight w:val="331" w:hRule="atLeast"/>
          <w:jc w:val="center"/>
        </w:trPr>
        <w:tc>
          <w:tcPr>
            <w:tcW w:w="959" w:type="pct"/>
            <w:tcBorders>
              <w:top w:val="single" w:color="auto" w:sz="4" w:space="0"/>
              <w:left w:val="single" w:color="auto" w:sz="4" w:space="0"/>
              <w:bottom w:val="single" w:color="auto" w:sz="4" w:space="0"/>
              <w:right w:val="single" w:color="auto" w:sz="4" w:space="0"/>
              <w:tl2br w:val="nil"/>
              <w:tr2bl w:val="nil"/>
            </w:tcBorders>
            <w:vAlign w:val="center"/>
          </w:tcPr>
          <w:p w14:paraId="4C765633">
            <w:pPr>
              <w:pStyle w:val="84"/>
              <w:rPr>
                <w:color w:val="auto"/>
              </w:rPr>
            </w:pPr>
            <w:r>
              <w:rPr>
                <w:color w:val="auto"/>
              </w:rPr>
              <w:t>25</w:t>
            </w:r>
          </w:p>
        </w:tc>
        <w:tc>
          <w:tcPr>
            <w:tcW w:w="888" w:type="pct"/>
            <w:tcBorders>
              <w:top w:val="single" w:color="auto" w:sz="4" w:space="0"/>
              <w:left w:val="single" w:color="auto" w:sz="4" w:space="0"/>
              <w:bottom w:val="single" w:color="auto" w:sz="4" w:space="0"/>
              <w:right w:val="single" w:color="auto" w:sz="4" w:space="0"/>
              <w:tl2br w:val="nil"/>
              <w:tr2bl w:val="nil"/>
            </w:tcBorders>
            <w:vAlign w:val="center"/>
          </w:tcPr>
          <w:p w14:paraId="72D5CA9A">
            <w:pPr>
              <w:pStyle w:val="84"/>
              <w:rPr>
                <w:color w:val="auto"/>
              </w:rPr>
            </w:pPr>
            <w:r>
              <w:rPr>
                <w:rFonts w:hint="eastAsia"/>
                <w:color w:val="auto"/>
              </w:rPr>
              <w:t>1</w:t>
            </w:r>
            <w:r>
              <w:rPr>
                <w:color w:val="auto"/>
              </w:rPr>
              <w:t>42</w:t>
            </w:r>
          </w:p>
        </w:tc>
        <w:tc>
          <w:tcPr>
            <w:tcW w:w="1041" w:type="pct"/>
            <w:tcBorders>
              <w:top w:val="single" w:color="auto" w:sz="4" w:space="0"/>
              <w:left w:val="single" w:color="auto" w:sz="4" w:space="0"/>
              <w:bottom w:val="single" w:color="auto" w:sz="4" w:space="0"/>
              <w:right w:val="single" w:color="auto" w:sz="4" w:space="0"/>
              <w:tl2br w:val="nil"/>
              <w:tr2bl w:val="nil"/>
            </w:tcBorders>
          </w:tcPr>
          <w:p w14:paraId="0ECA5B40">
            <w:pPr>
              <w:pStyle w:val="84"/>
              <w:rPr>
                <w:color w:val="auto"/>
              </w:rPr>
            </w:pPr>
            <w:r>
              <w:rPr>
                <w:rFonts w:hint="eastAsia"/>
                <w:color w:val="auto"/>
              </w:rPr>
              <w:t>5</w:t>
            </w:r>
            <w:r>
              <w:rPr>
                <w:color w:val="auto"/>
              </w:rPr>
              <w:t>.593</w:t>
            </w:r>
          </w:p>
        </w:tc>
        <w:tc>
          <w:tcPr>
            <w:tcW w:w="1016" w:type="pct"/>
            <w:tcBorders>
              <w:top w:val="single" w:color="auto" w:sz="4" w:space="0"/>
              <w:left w:val="single" w:color="auto" w:sz="4" w:space="0"/>
              <w:bottom w:val="single" w:color="auto" w:sz="4" w:space="0"/>
              <w:right w:val="single" w:color="auto" w:sz="4" w:space="0"/>
              <w:tl2br w:val="nil"/>
              <w:tr2bl w:val="nil"/>
            </w:tcBorders>
            <w:vAlign w:val="center"/>
          </w:tcPr>
          <w:p w14:paraId="041B6FE9">
            <w:pPr>
              <w:pStyle w:val="84"/>
              <w:rPr>
                <w:color w:val="auto"/>
              </w:rPr>
            </w:pPr>
            <w:r>
              <w:rPr>
                <w:rFonts w:hint="eastAsia"/>
                <w:color w:val="auto"/>
              </w:rPr>
              <w:t>1</w:t>
            </w:r>
            <w:r>
              <w:rPr>
                <w:color w:val="auto"/>
              </w:rPr>
              <w:t>49</w:t>
            </w:r>
          </w:p>
        </w:tc>
        <w:tc>
          <w:tcPr>
            <w:tcW w:w="1096" w:type="pct"/>
            <w:tcBorders>
              <w:top w:val="single" w:color="auto" w:sz="4" w:space="0"/>
              <w:left w:val="single" w:color="auto" w:sz="4" w:space="0"/>
              <w:bottom w:val="single" w:color="auto" w:sz="4" w:space="0"/>
              <w:right w:val="single" w:color="auto" w:sz="4" w:space="0"/>
              <w:tl2br w:val="nil"/>
              <w:tr2bl w:val="nil"/>
            </w:tcBorders>
          </w:tcPr>
          <w:p w14:paraId="2BA0DFF7">
            <w:pPr>
              <w:pStyle w:val="84"/>
              <w:rPr>
                <w:color w:val="auto"/>
              </w:rPr>
            </w:pPr>
            <w:r>
              <w:rPr>
                <w:rFonts w:hint="eastAsia"/>
                <w:color w:val="auto"/>
              </w:rPr>
              <w:t>5</w:t>
            </w:r>
            <w:r>
              <w:rPr>
                <w:color w:val="auto"/>
              </w:rPr>
              <w:t>.542</w:t>
            </w:r>
          </w:p>
        </w:tc>
      </w:tr>
      <w:tr w14:paraId="7A06D68E">
        <w:tblPrEx>
          <w:tblCellMar>
            <w:top w:w="0" w:type="dxa"/>
            <w:left w:w="108" w:type="dxa"/>
            <w:bottom w:w="0" w:type="dxa"/>
            <w:right w:w="108" w:type="dxa"/>
          </w:tblCellMar>
        </w:tblPrEx>
        <w:trPr>
          <w:trHeight w:val="331" w:hRule="atLeast"/>
          <w:jc w:val="center"/>
        </w:trPr>
        <w:tc>
          <w:tcPr>
            <w:tcW w:w="959" w:type="pct"/>
            <w:tcBorders>
              <w:top w:val="single" w:color="auto" w:sz="4" w:space="0"/>
              <w:left w:val="single" w:color="auto" w:sz="4" w:space="0"/>
              <w:bottom w:val="single" w:color="auto" w:sz="4" w:space="0"/>
              <w:right w:val="single" w:color="auto" w:sz="4" w:space="0"/>
              <w:tl2br w:val="nil"/>
              <w:tr2bl w:val="nil"/>
            </w:tcBorders>
            <w:vAlign w:val="center"/>
          </w:tcPr>
          <w:p w14:paraId="455A0840">
            <w:pPr>
              <w:pStyle w:val="84"/>
              <w:rPr>
                <w:color w:val="auto"/>
              </w:rPr>
            </w:pPr>
            <w:r>
              <w:rPr>
                <w:color w:val="auto"/>
              </w:rPr>
              <w:t>26</w:t>
            </w:r>
          </w:p>
        </w:tc>
        <w:tc>
          <w:tcPr>
            <w:tcW w:w="888" w:type="pct"/>
            <w:tcBorders>
              <w:top w:val="single" w:color="auto" w:sz="4" w:space="0"/>
              <w:left w:val="single" w:color="auto" w:sz="4" w:space="0"/>
              <w:bottom w:val="single" w:color="auto" w:sz="4" w:space="0"/>
              <w:right w:val="single" w:color="auto" w:sz="4" w:space="0"/>
              <w:tl2br w:val="nil"/>
              <w:tr2bl w:val="nil"/>
            </w:tcBorders>
            <w:vAlign w:val="center"/>
          </w:tcPr>
          <w:p w14:paraId="29FB6AC6">
            <w:pPr>
              <w:pStyle w:val="84"/>
              <w:rPr>
                <w:color w:val="auto"/>
              </w:rPr>
            </w:pPr>
            <w:r>
              <w:rPr>
                <w:rFonts w:hint="eastAsia"/>
                <w:color w:val="auto"/>
              </w:rPr>
              <w:t>1</w:t>
            </w:r>
            <w:r>
              <w:rPr>
                <w:color w:val="auto"/>
              </w:rPr>
              <w:t>29</w:t>
            </w:r>
          </w:p>
        </w:tc>
        <w:tc>
          <w:tcPr>
            <w:tcW w:w="1041" w:type="pct"/>
            <w:tcBorders>
              <w:top w:val="single" w:color="auto" w:sz="4" w:space="0"/>
              <w:left w:val="single" w:color="auto" w:sz="4" w:space="0"/>
              <w:bottom w:val="single" w:color="auto" w:sz="4" w:space="0"/>
              <w:right w:val="single" w:color="auto" w:sz="4" w:space="0"/>
              <w:tl2br w:val="nil"/>
              <w:tr2bl w:val="nil"/>
            </w:tcBorders>
          </w:tcPr>
          <w:p w14:paraId="2D3BFA82">
            <w:pPr>
              <w:pStyle w:val="84"/>
              <w:rPr>
                <w:color w:val="auto"/>
              </w:rPr>
            </w:pPr>
            <w:r>
              <w:rPr>
                <w:rFonts w:hint="eastAsia"/>
                <w:color w:val="auto"/>
              </w:rPr>
              <w:t>5</w:t>
            </w:r>
            <w:r>
              <w:rPr>
                <w:color w:val="auto"/>
              </w:rPr>
              <w:t>.375</w:t>
            </w:r>
          </w:p>
        </w:tc>
        <w:tc>
          <w:tcPr>
            <w:tcW w:w="1016" w:type="pct"/>
            <w:tcBorders>
              <w:top w:val="single" w:color="auto" w:sz="4" w:space="0"/>
              <w:left w:val="single" w:color="auto" w:sz="4" w:space="0"/>
              <w:bottom w:val="single" w:color="auto" w:sz="4" w:space="0"/>
              <w:right w:val="single" w:color="auto" w:sz="4" w:space="0"/>
              <w:tl2br w:val="nil"/>
              <w:tr2bl w:val="nil"/>
            </w:tcBorders>
            <w:vAlign w:val="center"/>
          </w:tcPr>
          <w:p w14:paraId="71061920">
            <w:pPr>
              <w:pStyle w:val="84"/>
              <w:rPr>
                <w:color w:val="auto"/>
              </w:rPr>
            </w:pPr>
            <w:r>
              <w:rPr>
                <w:rFonts w:hint="eastAsia"/>
                <w:color w:val="auto"/>
              </w:rPr>
              <w:t>1</w:t>
            </w:r>
            <w:r>
              <w:rPr>
                <w:color w:val="auto"/>
              </w:rPr>
              <w:t>36</w:t>
            </w:r>
          </w:p>
        </w:tc>
        <w:tc>
          <w:tcPr>
            <w:tcW w:w="1096" w:type="pct"/>
            <w:tcBorders>
              <w:top w:val="single" w:color="auto" w:sz="4" w:space="0"/>
              <w:left w:val="single" w:color="auto" w:sz="4" w:space="0"/>
              <w:bottom w:val="single" w:color="auto" w:sz="4" w:space="0"/>
              <w:right w:val="single" w:color="auto" w:sz="4" w:space="0"/>
              <w:tl2br w:val="nil"/>
              <w:tr2bl w:val="nil"/>
            </w:tcBorders>
          </w:tcPr>
          <w:p w14:paraId="11FEE0E8">
            <w:pPr>
              <w:pStyle w:val="84"/>
              <w:rPr>
                <w:color w:val="auto"/>
              </w:rPr>
            </w:pPr>
            <w:r>
              <w:rPr>
                <w:rFonts w:hint="eastAsia"/>
                <w:color w:val="auto"/>
              </w:rPr>
              <w:t>5</w:t>
            </w:r>
            <w:r>
              <w:rPr>
                <w:color w:val="auto"/>
              </w:rPr>
              <w:t>.329</w:t>
            </w:r>
          </w:p>
        </w:tc>
      </w:tr>
      <w:tr w14:paraId="34D7B6BC">
        <w:tblPrEx>
          <w:tblCellMar>
            <w:top w:w="0" w:type="dxa"/>
            <w:left w:w="108" w:type="dxa"/>
            <w:bottom w:w="0" w:type="dxa"/>
            <w:right w:w="108" w:type="dxa"/>
          </w:tblCellMar>
        </w:tblPrEx>
        <w:trPr>
          <w:trHeight w:val="331" w:hRule="atLeast"/>
          <w:jc w:val="center"/>
        </w:trPr>
        <w:tc>
          <w:tcPr>
            <w:tcW w:w="959" w:type="pct"/>
            <w:tcBorders>
              <w:top w:val="single" w:color="auto" w:sz="4" w:space="0"/>
              <w:left w:val="single" w:color="auto" w:sz="4" w:space="0"/>
              <w:bottom w:val="single" w:color="auto" w:sz="4" w:space="0"/>
              <w:right w:val="single" w:color="auto" w:sz="4" w:space="0"/>
              <w:tl2br w:val="nil"/>
              <w:tr2bl w:val="nil"/>
            </w:tcBorders>
            <w:vAlign w:val="center"/>
          </w:tcPr>
          <w:p w14:paraId="73620137">
            <w:pPr>
              <w:pStyle w:val="84"/>
              <w:rPr>
                <w:color w:val="auto"/>
              </w:rPr>
            </w:pPr>
            <w:r>
              <w:rPr>
                <w:color w:val="auto"/>
              </w:rPr>
              <w:t>27</w:t>
            </w:r>
          </w:p>
        </w:tc>
        <w:tc>
          <w:tcPr>
            <w:tcW w:w="888" w:type="pct"/>
            <w:tcBorders>
              <w:top w:val="single" w:color="auto" w:sz="4" w:space="0"/>
              <w:left w:val="single" w:color="auto" w:sz="4" w:space="0"/>
              <w:bottom w:val="single" w:color="auto" w:sz="4" w:space="0"/>
              <w:right w:val="single" w:color="auto" w:sz="4" w:space="0"/>
              <w:tl2br w:val="nil"/>
              <w:tr2bl w:val="nil"/>
            </w:tcBorders>
            <w:vAlign w:val="center"/>
          </w:tcPr>
          <w:p w14:paraId="11D59019">
            <w:pPr>
              <w:pStyle w:val="84"/>
              <w:rPr>
                <w:color w:val="auto"/>
              </w:rPr>
            </w:pPr>
            <w:r>
              <w:rPr>
                <w:rFonts w:hint="eastAsia"/>
                <w:color w:val="auto"/>
              </w:rPr>
              <w:t>1</w:t>
            </w:r>
            <w:r>
              <w:rPr>
                <w:color w:val="auto"/>
              </w:rPr>
              <w:t>19</w:t>
            </w:r>
          </w:p>
        </w:tc>
        <w:tc>
          <w:tcPr>
            <w:tcW w:w="1041" w:type="pct"/>
            <w:tcBorders>
              <w:top w:val="single" w:color="auto" w:sz="4" w:space="0"/>
              <w:left w:val="single" w:color="auto" w:sz="4" w:space="0"/>
              <w:bottom w:val="single" w:color="auto" w:sz="4" w:space="0"/>
              <w:right w:val="single" w:color="auto" w:sz="4" w:space="0"/>
              <w:tl2br w:val="nil"/>
              <w:tr2bl w:val="nil"/>
            </w:tcBorders>
          </w:tcPr>
          <w:p w14:paraId="4905BEF6">
            <w:pPr>
              <w:pStyle w:val="84"/>
              <w:rPr>
                <w:color w:val="auto"/>
              </w:rPr>
            </w:pPr>
            <w:r>
              <w:rPr>
                <w:rFonts w:hint="eastAsia"/>
                <w:color w:val="auto"/>
              </w:rPr>
              <w:t>5</w:t>
            </w:r>
            <w:r>
              <w:rPr>
                <w:color w:val="auto"/>
              </w:rPr>
              <w:t>.173</w:t>
            </w:r>
          </w:p>
        </w:tc>
        <w:tc>
          <w:tcPr>
            <w:tcW w:w="1016" w:type="pct"/>
            <w:tcBorders>
              <w:top w:val="single" w:color="auto" w:sz="4" w:space="0"/>
              <w:left w:val="single" w:color="auto" w:sz="4" w:space="0"/>
              <w:bottom w:val="single" w:color="auto" w:sz="4" w:space="0"/>
              <w:right w:val="single" w:color="auto" w:sz="4" w:space="0"/>
              <w:tl2br w:val="nil"/>
              <w:tr2bl w:val="nil"/>
            </w:tcBorders>
            <w:vAlign w:val="center"/>
          </w:tcPr>
          <w:p w14:paraId="7C7BBFD3">
            <w:pPr>
              <w:pStyle w:val="84"/>
              <w:rPr>
                <w:color w:val="auto"/>
              </w:rPr>
            </w:pPr>
            <w:r>
              <w:rPr>
                <w:rFonts w:hint="eastAsia"/>
                <w:color w:val="auto"/>
              </w:rPr>
              <w:t>1</w:t>
            </w:r>
            <w:r>
              <w:rPr>
                <w:color w:val="auto"/>
              </w:rPr>
              <w:t>25</w:t>
            </w:r>
          </w:p>
        </w:tc>
        <w:tc>
          <w:tcPr>
            <w:tcW w:w="1096" w:type="pct"/>
            <w:tcBorders>
              <w:top w:val="single" w:color="auto" w:sz="4" w:space="0"/>
              <w:left w:val="single" w:color="auto" w:sz="4" w:space="0"/>
              <w:bottom w:val="single" w:color="auto" w:sz="4" w:space="0"/>
              <w:right w:val="single" w:color="auto" w:sz="4" w:space="0"/>
              <w:tl2br w:val="nil"/>
              <w:tr2bl w:val="nil"/>
            </w:tcBorders>
          </w:tcPr>
          <w:p w14:paraId="327B0767">
            <w:pPr>
              <w:pStyle w:val="84"/>
              <w:rPr>
                <w:color w:val="auto"/>
              </w:rPr>
            </w:pPr>
            <w:r>
              <w:rPr>
                <w:rFonts w:hint="eastAsia"/>
                <w:color w:val="auto"/>
              </w:rPr>
              <w:t>5</w:t>
            </w:r>
            <w:r>
              <w:rPr>
                <w:color w:val="auto"/>
              </w:rPr>
              <w:t>.132</w:t>
            </w:r>
          </w:p>
        </w:tc>
      </w:tr>
      <w:tr w14:paraId="21B985B5">
        <w:tblPrEx>
          <w:tblCellMar>
            <w:top w:w="0" w:type="dxa"/>
            <w:left w:w="108" w:type="dxa"/>
            <w:bottom w:w="0" w:type="dxa"/>
            <w:right w:w="108" w:type="dxa"/>
          </w:tblCellMar>
        </w:tblPrEx>
        <w:trPr>
          <w:trHeight w:val="331" w:hRule="atLeast"/>
          <w:jc w:val="center"/>
        </w:trPr>
        <w:tc>
          <w:tcPr>
            <w:tcW w:w="959" w:type="pct"/>
            <w:tcBorders>
              <w:top w:val="single" w:color="auto" w:sz="4" w:space="0"/>
              <w:left w:val="single" w:color="auto" w:sz="4" w:space="0"/>
              <w:bottom w:val="single" w:color="auto" w:sz="4" w:space="0"/>
              <w:right w:val="single" w:color="auto" w:sz="4" w:space="0"/>
              <w:tl2br w:val="nil"/>
              <w:tr2bl w:val="nil"/>
            </w:tcBorders>
            <w:vAlign w:val="center"/>
          </w:tcPr>
          <w:p w14:paraId="528A2C9A">
            <w:pPr>
              <w:pStyle w:val="84"/>
              <w:rPr>
                <w:color w:val="auto"/>
              </w:rPr>
            </w:pPr>
            <w:r>
              <w:rPr>
                <w:color w:val="auto"/>
              </w:rPr>
              <w:t>28</w:t>
            </w:r>
          </w:p>
        </w:tc>
        <w:tc>
          <w:tcPr>
            <w:tcW w:w="888" w:type="pct"/>
            <w:tcBorders>
              <w:top w:val="single" w:color="auto" w:sz="4" w:space="0"/>
              <w:left w:val="single" w:color="auto" w:sz="4" w:space="0"/>
              <w:bottom w:val="single" w:color="auto" w:sz="4" w:space="0"/>
              <w:right w:val="single" w:color="auto" w:sz="4" w:space="0"/>
              <w:tl2br w:val="nil"/>
              <w:tr2bl w:val="nil"/>
            </w:tcBorders>
            <w:vAlign w:val="center"/>
          </w:tcPr>
          <w:p w14:paraId="19DDF5C7">
            <w:pPr>
              <w:pStyle w:val="84"/>
              <w:rPr>
                <w:color w:val="auto"/>
              </w:rPr>
            </w:pPr>
            <w:r>
              <w:rPr>
                <w:rFonts w:hint="eastAsia"/>
                <w:color w:val="auto"/>
              </w:rPr>
              <w:t>1</w:t>
            </w:r>
            <w:r>
              <w:rPr>
                <w:color w:val="auto"/>
              </w:rPr>
              <w:t>09</w:t>
            </w:r>
          </w:p>
        </w:tc>
        <w:tc>
          <w:tcPr>
            <w:tcW w:w="1041" w:type="pct"/>
            <w:tcBorders>
              <w:top w:val="single" w:color="auto" w:sz="4" w:space="0"/>
              <w:left w:val="single" w:color="auto" w:sz="4" w:space="0"/>
              <w:bottom w:val="single" w:color="auto" w:sz="4" w:space="0"/>
              <w:right w:val="single" w:color="auto" w:sz="4" w:space="0"/>
              <w:tl2br w:val="nil"/>
              <w:tr2bl w:val="nil"/>
            </w:tcBorders>
          </w:tcPr>
          <w:p w14:paraId="732A80FF">
            <w:pPr>
              <w:pStyle w:val="84"/>
              <w:rPr>
                <w:color w:val="auto"/>
              </w:rPr>
            </w:pPr>
            <w:r>
              <w:rPr>
                <w:rFonts w:hint="eastAsia"/>
                <w:color w:val="auto"/>
              </w:rPr>
              <w:t>4</w:t>
            </w:r>
            <w:r>
              <w:rPr>
                <w:color w:val="auto"/>
              </w:rPr>
              <w:t>.985</w:t>
            </w:r>
          </w:p>
        </w:tc>
        <w:tc>
          <w:tcPr>
            <w:tcW w:w="1016" w:type="pct"/>
            <w:tcBorders>
              <w:top w:val="single" w:color="auto" w:sz="4" w:space="0"/>
              <w:left w:val="single" w:color="auto" w:sz="4" w:space="0"/>
              <w:bottom w:val="single" w:color="auto" w:sz="4" w:space="0"/>
              <w:right w:val="single" w:color="auto" w:sz="4" w:space="0"/>
              <w:tl2br w:val="nil"/>
              <w:tr2bl w:val="nil"/>
            </w:tcBorders>
            <w:vAlign w:val="center"/>
          </w:tcPr>
          <w:p w14:paraId="40A3AF32">
            <w:pPr>
              <w:pStyle w:val="84"/>
              <w:rPr>
                <w:color w:val="auto"/>
              </w:rPr>
            </w:pPr>
            <w:r>
              <w:rPr>
                <w:rFonts w:hint="eastAsia"/>
                <w:color w:val="auto"/>
              </w:rPr>
              <w:t>1</w:t>
            </w:r>
            <w:r>
              <w:rPr>
                <w:color w:val="auto"/>
              </w:rPr>
              <w:t>14</w:t>
            </w:r>
          </w:p>
        </w:tc>
        <w:tc>
          <w:tcPr>
            <w:tcW w:w="1096" w:type="pct"/>
            <w:tcBorders>
              <w:top w:val="single" w:color="auto" w:sz="4" w:space="0"/>
              <w:left w:val="single" w:color="auto" w:sz="4" w:space="0"/>
              <w:bottom w:val="single" w:color="auto" w:sz="4" w:space="0"/>
              <w:right w:val="single" w:color="auto" w:sz="4" w:space="0"/>
              <w:tl2br w:val="nil"/>
              <w:tr2bl w:val="nil"/>
            </w:tcBorders>
          </w:tcPr>
          <w:p w14:paraId="6284F50B">
            <w:pPr>
              <w:pStyle w:val="84"/>
              <w:rPr>
                <w:color w:val="auto"/>
              </w:rPr>
            </w:pPr>
            <w:r>
              <w:rPr>
                <w:rFonts w:hint="eastAsia"/>
                <w:color w:val="auto"/>
              </w:rPr>
              <w:t>4</w:t>
            </w:r>
            <w:r>
              <w:rPr>
                <w:color w:val="auto"/>
              </w:rPr>
              <w:t>.949</w:t>
            </w:r>
          </w:p>
        </w:tc>
      </w:tr>
      <w:tr w14:paraId="6711472F">
        <w:tblPrEx>
          <w:tblCellMar>
            <w:top w:w="0" w:type="dxa"/>
            <w:left w:w="108" w:type="dxa"/>
            <w:bottom w:w="0" w:type="dxa"/>
            <w:right w:w="108" w:type="dxa"/>
          </w:tblCellMar>
        </w:tblPrEx>
        <w:trPr>
          <w:trHeight w:val="331" w:hRule="atLeast"/>
          <w:jc w:val="center"/>
        </w:trPr>
        <w:tc>
          <w:tcPr>
            <w:tcW w:w="959" w:type="pct"/>
            <w:tcBorders>
              <w:top w:val="single" w:color="auto" w:sz="4" w:space="0"/>
              <w:left w:val="single" w:color="auto" w:sz="4" w:space="0"/>
              <w:bottom w:val="single" w:color="auto" w:sz="4" w:space="0"/>
              <w:right w:val="single" w:color="auto" w:sz="4" w:space="0"/>
              <w:tl2br w:val="nil"/>
              <w:tr2bl w:val="nil"/>
            </w:tcBorders>
            <w:vAlign w:val="center"/>
          </w:tcPr>
          <w:p w14:paraId="654B3B02">
            <w:pPr>
              <w:pStyle w:val="84"/>
              <w:rPr>
                <w:color w:val="auto"/>
              </w:rPr>
            </w:pPr>
            <w:r>
              <w:rPr>
                <w:color w:val="auto"/>
              </w:rPr>
              <w:t>29</w:t>
            </w:r>
          </w:p>
        </w:tc>
        <w:tc>
          <w:tcPr>
            <w:tcW w:w="888" w:type="pct"/>
            <w:tcBorders>
              <w:top w:val="single" w:color="auto" w:sz="4" w:space="0"/>
              <w:left w:val="single" w:color="auto" w:sz="4" w:space="0"/>
              <w:bottom w:val="single" w:color="auto" w:sz="4" w:space="0"/>
              <w:right w:val="single" w:color="auto" w:sz="4" w:space="0"/>
              <w:tl2br w:val="nil"/>
              <w:tr2bl w:val="nil"/>
            </w:tcBorders>
            <w:vAlign w:val="center"/>
          </w:tcPr>
          <w:p w14:paraId="122395CB">
            <w:pPr>
              <w:pStyle w:val="84"/>
              <w:rPr>
                <w:color w:val="auto"/>
              </w:rPr>
            </w:pPr>
            <w:r>
              <w:rPr>
                <w:rFonts w:hint="eastAsia"/>
                <w:color w:val="auto"/>
              </w:rPr>
              <w:t>1</w:t>
            </w:r>
            <w:r>
              <w:rPr>
                <w:color w:val="auto"/>
              </w:rPr>
              <w:t>01</w:t>
            </w:r>
          </w:p>
        </w:tc>
        <w:tc>
          <w:tcPr>
            <w:tcW w:w="1041" w:type="pct"/>
            <w:tcBorders>
              <w:top w:val="single" w:color="auto" w:sz="4" w:space="0"/>
              <w:left w:val="single" w:color="auto" w:sz="4" w:space="0"/>
              <w:bottom w:val="single" w:color="auto" w:sz="4" w:space="0"/>
              <w:right w:val="single" w:color="auto" w:sz="4" w:space="0"/>
              <w:tl2br w:val="nil"/>
              <w:tr2bl w:val="nil"/>
            </w:tcBorders>
          </w:tcPr>
          <w:p w14:paraId="7A364CF5">
            <w:pPr>
              <w:pStyle w:val="84"/>
              <w:rPr>
                <w:color w:val="auto"/>
              </w:rPr>
            </w:pPr>
            <w:r>
              <w:rPr>
                <w:rFonts w:hint="eastAsia"/>
                <w:color w:val="auto"/>
              </w:rPr>
              <w:t>4</w:t>
            </w:r>
            <w:r>
              <w:rPr>
                <w:color w:val="auto"/>
              </w:rPr>
              <w:t>.811</w:t>
            </w:r>
          </w:p>
        </w:tc>
        <w:tc>
          <w:tcPr>
            <w:tcW w:w="1016" w:type="pct"/>
            <w:tcBorders>
              <w:top w:val="single" w:color="auto" w:sz="4" w:space="0"/>
              <w:left w:val="single" w:color="auto" w:sz="4" w:space="0"/>
              <w:bottom w:val="single" w:color="auto" w:sz="4" w:space="0"/>
              <w:right w:val="single" w:color="auto" w:sz="4" w:space="0"/>
              <w:tl2br w:val="nil"/>
              <w:tr2bl w:val="nil"/>
            </w:tcBorders>
            <w:vAlign w:val="center"/>
          </w:tcPr>
          <w:p w14:paraId="10334666">
            <w:pPr>
              <w:pStyle w:val="84"/>
              <w:rPr>
                <w:color w:val="auto"/>
              </w:rPr>
            </w:pPr>
            <w:r>
              <w:rPr>
                <w:rFonts w:hint="eastAsia"/>
                <w:color w:val="auto"/>
              </w:rPr>
              <w:t>1</w:t>
            </w:r>
            <w:r>
              <w:rPr>
                <w:color w:val="auto"/>
              </w:rPr>
              <w:t>06</w:t>
            </w:r>
          </w:p>
        </w:tc>
        <w:tc>
          <w:tcPr>
            <w:tcW w:w="1096" w:type="pct"/>
            <w:tcBorders>
              <w:top w:val="single" w:color="auto" w:sz="4" w:space="0"/>
              <w:left w:val="single" w:color="auto" w:sz="4" w:space="0"/>
              <w:bottom w:val="single" w:color="auto" w:sz="4" w:space="0"/>
              <w:right w:val="single" w:color="auto" w:sz="4" w:space="0"/>
              <w:tl2br w:val="nil"/>
              <w:tr2bl w:val="nil"/>
            </w:tcBorders>
          </w:tcPr>
          <w:p w14:paraId="1A20600B">
            <w:pPr>
              <w:pStyle w:val="84"/>
              <w:rPr>
                <w:color w:val="auto"/>
              </w:rPr>
            </w:pPr>
            <w:r>
              <w:rPr>
                <w:rFonts w:hint="eastAsia"/>
                <w:color w:val="auto"/>
              </w:rPr>
              <w:t>4</w:t>
            </w:r>
            <w:r>
              <w:rPr>
                <w:color w:val="auto"/>
              </w:rPr>
              <w:t>.778</w:t>
            </w:r>
          </w:p>
        </w:tc>
      </w:tr>
      <w:tr w14:paraId="7EE65153">
        <w:tblPrEx>
          <w:tblCellMar>
            <w:top w:w="0" w:type="dxa"/>
            <w:left w:w="108" w:type="dxa"/>
            <w:bottom w:w="0" w:type="dxa"/>
            <w:right w:w="108" w:type="dxa"/>
          </w:tblCellMar>
        </w:tblPrEx>
        <w:trPr>
          <w:trHeight w:val="331" w:hRule="atLeast"/>
          <w:jc w:val="center"/>
        </w:trPr>
        <w:tc>
          <w:tcPr>
            <w:tcW w:w="959" w:type="pct"/>
            <w:tcBorders>
              <w:top w:val="single" w:color="auto" w:sz="4" w:space="0"/>
              <w:left w:val="single" w:color="auto" w:sz="4" w:space="0"/>
              <w:bottom w:val="single" w:color="auto" w:sz="4" w:space="0"/>
              <w:right w:val="single" w:color="auto" w:sz="4" w:space="0"/>
              <w:tl2br w:val="nil"/>
              <w:tr2bl w:val="nil"/>
            </w:tcBorders>
            <w:vAlign w:val="center"/>
          </w:tcPr>
          <w:p w14:paraId="1CE4B0F7">
            <w:pPr>
              <w:pStyle w:val="84"/>
              <w:rPr>
                <w:color w:val="auto"/>
              </w:rPr>
            </w:pPr>
            <w:r>
              <w:rPr>
                <w:color w:val="auto"/>
              </w:rPr>
              <w:t>30</w:t>
            </w:r>
          </w:p>
        </w:tc>
        <w:tc>
          <w:tcPr>
            <w:tcW w:w="888" w:type="pct"/>
            <w:tcBorders>
              <w:top w:val="single" w:color="auto" w:sz="4" w:space="0"/>
              <w:left w:val="single" w:color="auto" w:sz="4" w:space="0"/>
              <w:bottom w:val="single" w:color="auto" w:sz="4" w:space="0"/>
              <w:right w:val="single" w:color="auto" w:sz="4" w:space="0"/>
              <w:tl2br w:val="nil"/>
              <w:tr2bl w:val="nil"/>
            </w:tcBorders>
            <w:vAlign w:val="center"/>
          </w:tcPr>
          <w:p w14:paraId="0C65B3DF">
            <w:pPr>
              <w:pStyle w:val="84"/>
              <w:rPr>
                <w:color w:val="auto"/>
              </w:rPr>
            </w:pPr>
            <w:r>
              <w:rPr>
                <w:rFonts w:hint="eastAsia"/>
                <w:color w:val="auto"/>
              </w:rPr>
              <w:t>9</w:t>
            </w:r>
            <w:r>
              <w:rPr>
                <w:color w:val="auto"/>
              </w:rPr>
              <w:t>4</w:t>
            </w:r>
          </w:p>
        </w:tc>
        <w:tc>
          <w:tcPr>
            <w:tcW w:w="1041" w:type="pct"/>
            <w:tcBorders>
              <w:top w:val="single" w:color="auto" w:sz="4" w:space="0"/>
              <w:left w:val="single" w:color="auto" w:sz="4" w:space="0"/>
              <w:bottom w:val="single" w:color="auto" w:sz="4" w:space="0"/>
              <w:right w:val="single" w:color="auto" w:sz="4" w:space="0"/>
              <w:tl2br w:val="nil"/>
              <w:tr2bl w:val="nil"/>
            </w:tcBorders>
          </w:tcPr>
          <w:p w14:paraId="34B23812">
            <w:pPr>
              <w:pStyle w:val="84"/>
              <w:rPr>
                <w:color w:val="auto"/>
              </w:rPr>
            </w:pPr>
            <w:r>
              <w:rPr>
                <w:rFonts w:hint="eastAsia"/>
                <w:color w:val="auto"/>
              </w:rPr>
              <w:t>4</w:t>
            </w:r>
            <w:r>
              <w:rPr>
                <w:color w:val="auto"/>
              </w:rPr>
              <w:t>.648</w:t>
            </w:r>
          </w:p>
        </w:tc>
        <w:tc>
          <w:tcPr>
            <w:tcW w:w="1016" w:type="pct"/>
            <w:tcBorders>
              <w:top w:val="single" w:color="auto" w:sz="4" w:space="0"/>
              <w:left w:val="single" w:color="auto" w:sz="4" w:space="0"/>
              <w:bottom w:val="single" w:color="auto" w:sz="4" w:space="0"/>
              <w:right w:val="single" w:color="auto" w:sz="4" w:space="0"/>
              <w:tl2br w:val="nil"/>
              <w:tr2bl w:val="nil"/>
            </w:tcBorders>
            <w:vAlign w:val="center"/>
          </w:tcPr>
          <w:p w14:paraId="341DDE03">
            <w:pPr>
              <w:pStyle w:val="84"/>
              <w:rPr>
                <w:color w:val="auto"/>
              </w:rPr>
            </w:pPr>
            <w:r>
              <w:rPr>
                <w:rFonts w:hint="eastAsia"/>
                <w:color w:val="auto"/>
              </w:rPr>
              <w:t>9</w:t>
            </w:r>
            <w:r>
              <w:rPr>
                <w:color w:val="auto"/>
              </w:rPr>
              <w:t>8</w:t>
            </w:r>
          </w:p>
        </w:tc>
        <w:tc>
          <w:tcPr>
            <w:tcW w:w="1096" w:type="pct"/>
            <w:tcBorders>
              <w:top w:val="single" w:color="auto" w:sz="4" w:space="0"/>
              <w:left w:val="single" w:color="auto" w:sz="4" w:space="0"/>
              <w:bottom w:val="single" w:color="auto" w:sz="4" w:space="0"/>
              <w:right w:val="single" w:color="auto" w:sz="4" w:space="0"/>
              <w:tl2br w:val="nil"/>
              <w:tr2bl w:val="nil"/>
            </w:tcBorders>
          </w:tcPr>
          <w:p w14:paraId="78DAD9E6">
            <w:pPr>
              <w:pStyle w:val="84"/>
              <w:rPr>
                <w:color w:val="auto"/>
              </w:rPr>
            </w:pPr>
            <w:r>
              <w:rPr>
                <w:rFonts w:hint="eastAsia"/>
                <w:color w:val="auto"/>
              </w:rPr>
              <w:t>4</w:t>
            </w:r>
            <w:r>
              <w:rPr>
                <w:color w:val="auto"/>
              </w:rPr>
              <w:t>.619</w:t>
            </w:r>
          </w:p>
        </w:tc>
      </w:tr>
    </w:tbl>
    <w:p w14:paraId="64CAD842">
      <w:pPr>
        <w:jc w:val="center"/>
        <w:rPr>
          <w:sz w:val="18"/>
        </w:rPr>
      </w:pPr>
    </w:p>
    <w:p w14:paraId="54D74699">
      <w:pPr>
        <w:pStyle w:val="51"/>
        <w:rPr>
          <w:color w:val="auto"/>
        </w:rPr>
      </w:pPr>
      <w:r>
        <w:rPr>
          <w:rFonts w:hint="eastAsia"/>
          <w:color w:val="auto"/>
        </w:rPr>
        <w:t>由模式计算预测可知，本工程220kV架空输电线路运行期产生的工频电场强度随着距离边导线投影水平距离的增加总体呈逐渐衰减趋势。</w:t>
      </w:r>
    </w:p>
    <w:p w14:paraId="61BC47A0">
      <w:pPr>
        <w:pStyle w:val="51"/>
        <w:ind w:firstLine="482"/>
        <w:rPr>
          <w:b/>
          <w:color w:val="auto"/>
        </w:rPr>
      </w:pPr>
      <w:r>
        <w:rPr>
          <w:rFonts w:hint="eastAsia"/>
          <w:b/>
          <w:color w:val="auto"/>
        </w:rPr>
        <w:t>结论：</w:t>
      </w:r>
    </w:p>
    <w:p w14:paraId="0F14C27C">
      <w:pPr>
        <w:pStyle w:val="51"/>
        <w:ind w:firstLine="482"/>
        <w:rPr>
          <w:b/>
          <w:color w:val="auto"/>
        </w:rPr>
      </w:pPr>
      <w:r>
        <w:rPr>
          <w:rFonts w:hint="eastAsia" w:ascii="宋体" w:hAnsi="宋体" w:cs="宋体"/>
          <w:b/>
          <w:color w:val="auto"/>
          <w:szCs w:val="18"/>
        </w:rPr>
        <w:t>①</w:t>
      </w:r>
      <w:r>
        <w:rPr>
          <w:rFonts w:hint="eastAsia"/>
          <w:b/>
          <w:color w:val="auto"/>
        </w:rPr>
        <w:t>线路经过非居民区，本工程输电线路导线对地最小距离6.5m时：</w:t>
      </w:r>
    </w:p>
    <w:p w14:paraId="2A75BE1A">
      <w:pPr>
        <w:pStyle w:val="51"/>
        <w:rPr>
          <w:color w:val="auto"/>
        </w:rPr>
      </w:pPr>
      <w:r>
        <w:rPr>
          <w:rFonts w:hint="eastAsia"/>
          <w:color w:val="auto"/>
        </w:rPr>
        <w:t>距离地面1.5m高度处的工频电场强度最大值为2796V/m，出现在距线路中心线5m处，分别满足《电磁环境控制限值》（GB8702-2014）50Hz频率下公众曝露控制限值4000V/m和架空输电线路线下的耕地、园地、牧草地、畜禽饲养地、养殖水面、道路等场所电场强度控制限值10kV/m的要求；</w:t>
      </w:r>
    </w:p>
    <w:p w14:paraId="020AC7FC">
      <w:pPr>
        <w:pStyle w:val="51"/>
        <w:rPr>
          <w:color w:val="auto"/>
        </w:rPr>
      </w:pPr>
      <w:r>
        <w:rPr>
          <w:rFonts w:hint="eastAsia"/>
          <w:color w:val="auto"/>
        </w:rPr>
        <w:t>距离地面1.5m高度处的工频磁感应强度最大值为19.820μT，出现在距线路中心线5m处，满足《电磁环境控制限值》（GB8702-2014）50Hz频率下公众曝露控制限值100μT的要求。</w:t>
      </w:r>
    </w:p>
    <w:p w14:paraId="72A6CE88">
      <w:pPr>
        <w:pStyle w:val="51"/>
        <w:rPr>
          <w:color w:val="auto"/>
        </w:rPr>
      </w:pPr>
      <w:r>
        <w:rPr>
          <w:rFonts w:hint="eastAsia"/>
          <w:color w:val="auto"/>
        </w:rPr>
        <w:t>工频电场强度、工频磁感应强度整体变化趋势是随着距离增加而逐渐减小。</w:t>
      </w:r>
    </w:p>
    <w:p w14:paraId="044E3C43">
      <w:pPr>
        <w:pStyle w:val="51"/>
        <w:ind w:firstLine="482"/>
        <w:rPr>
          <w:b/>
          <w:color w:val="auto"/>
        </w:rPr>
      </w:pPr>
      <w:r>
        <w:rPr>
          <w:rFonts w:hint="eastAsia" w:ascii="宋体" w:hAnsi="宋体" w:cs="宋体"/>
          <w:b/>
          <w:color w:val="auto"/>
          <w:szCs w:val="18"/>
          <w:lang w:val="zh-CN"/>
        </w:rPr>
        <w:t>②</w:t>
      </w:r>
      <w:r>
        <w:rPr>
          <w:rFonts w:hint="eastAsia"/>
          <w:b/>
          <w:color w:val="auto"/>
        </w:rPr>
        <w:t>线路经过居民区，本工程输电线路导线对地最小距离</w:t>
      </w:r>
      <w:r>
        <w:rPr>
          <w:b/>
          <w:color w:val="auto"/>
        </w:rPr>
        <w:t>7.</w:t>
      </w:r>
      <w:r>
        <w:rPr>
          <w:rFonts w:hint="eastAsia"/>
          <w:b/>
          <w:color w:val="auto"/>
        </w:rPr>
        <w:t>5</w:t>
      </w:r>
      <w:r>
        <w:rPr>
          <w:b/>
          <w:color w:val="auto"/>
        </w:rPr>
        <w:t>m</w:t>
      </w:r>
      <w:r>
        <w:rPr>
          <w:rFonts w:hint="eastAsia"/>
          <w:b/>
          <w:color w:val="auto"/>
        </w:rPr>
        <w:t>时：</w:t>
      </w:r>
    </w:p>
    <w:p w14:paraId="486A7C54">
      <w:pPr>
        <w:pStyle w:val="51"/>
        <w:rPr>
          <w:color w:val="auto"/>
        </w:rPr>
      </w:pPr>
      <w:r>
        <w:rPr>
          <w:rFonts w:hint="eastAsia"/>
          <w:color w:val="auto"/>
        </w:rPr>
        <w:t>距离地面1.5m高度处的工频电场强度最大值为2137V</w:t>
      </w:r>
      <w:r>
        <w:rPr>
          <w:color w:val="auto"/>
        </w:rPr>
        <w:t>/m</w:t>
      </w:r>
      <w:r>
        <w:rPr>
          <w:rFonts w:hint="eastAsia"/>
          <w:color w:val="auto"/>
        </w:rPr>
        <w:t>，出现在距线路中心线5m处，满足《电磁环境控制限值》（GB8702-2014）50Hz频率下公众曝露控制限值4000V/m；</w:t>
      </w:r>
    </w:p>
    <w:p w14:paraId="38307FE1">
      <w:pPr>
        <w:pStyle w:val="51"/>
        <w:rPr>
          <w:color w:val="auto"/>
        </w:rPr>
      </w:pPr>
      <w:r>
        <w:rPr>
          <w:rFonts w:hint="eastAsia"/>
          <w:color w:val="auto"/>
        </w:rPr>
        <w:t>距离地面1.5m高度处的工频磁感应强度最大值为17.199μT，出现在距线路中心线5m处，满足《电磁环境控制限值》（GB8702-2014）50Hz频率下公众曝露控制限值100μT的要求。</w:t>
      </w:r>
    </w:p>
    <w:p w14:paraId="37A69AA7">
      <w:pPr>
        <w:pStyle w:val="51"/>
        <w:rPr>
          <w:color w:val="auto"/>
        </w:rPr>
      </w:pPr>
      <w:r>
        <w:rPr>
          <w:rFonts w:hint="eastAsia"/>
          <w:color w:val="auto"/>
        </w:rPr>
        <w:t>工频电场强度、工频磁感应强度整体变化趋势是随着距离增加而逐渐减小。</w:t>
      </w:r>
    </w:p>
    <w:p w14:paraId="0D87D030">
      <w:pPr>
        <w:pStyle w:val="82"/>
      </w:pPr>
      <w:r>
        <w:rPr>
          <w:rFonts w:hint="eastAsia"/>
        </w:rPr>
        <w:t>表4-7  220kV双回输电线路（JL3/G1A-630/45）工频电场强度计算结果（距边导线2m处不同高度）</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3148"/>
        <w:gridCol w:w="1724"/>
        <w:gridCol w:w="2076"/>
        <w:gridCol w:w="2134"/>
      </w:tblGrid>
      <w:tr w14:paraId="69323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trPr>
        <w:tc>
          <w:tcPr>
            <w:tcW w:w="1733" w:type="pct"/>
            <w:vMerge w:val="restart"/>
            <w:tcBorders>
              <w:top w:val="single" w:color="auto" w:sz="4" w:space="0"/>
              <w:left w:val="single" w:color="auto" w:sz="4" w:space="0"/>
              <w:bottom w:val="single" w:color="auto" w:sz="4" w:space="0"/>
              <w:right w:val="single" w:color="auto" w:sz="4" w:space="0"/>
              <w:tl2br w:val="nil"/>
              <w:tr2bl w:val="nil"/>
            </w:tcBorders>
            <w:vAlign w:val="center"/>
          </w:tcPr>
          <w:p w14:paraId="2E4A7AE9">
            <w:pPr>
              <w:pStyle w:val="84"/>
              <w:rPr>
                <w:color w:val="auto"/>
              </w:rPr>
            </w:pPr>
            <w:r>
              <w:rPr>
                <w:rFonts w:hint="eastAsia"/>
                <w:color w:val="auto"/>
              </w:rPr>
              <w:t>预测点距离地面高度（</w:t>
            </w:r>
            <w:r>
              <w:rPr>
                <w:color w:val="auto"/>
              </w:rPr>
              <w:t>m</w:t>
            </w:r>
            <w:r>
              <w:rPr>
                <w:rFonts w:hint="eastAsia"/>
                <w:color w:val="auto"/>
              </w:rPr>
              <w:t>）</w:t>
            </w:r>
          </w:p>
        </w:tc>
        <w:tc>
          <w:tcPr>
            <w:tcW w:w="3267" w:type="pct"/>
            <w:gridSpan w:val="3"/>
            <w:tcBorders>
              <w:top w:val="single" w:color="auto" w:sz="4" w:space="0"/>
              <w:left w:val="single" w:color="auto" w:sz="4" w:space="0"/>
              <w:bottom w:val="single" w:color="auto" w:sz="4" w:space="0"/>
              <w:right w:val="single" w:color="auto" w:sz="4" w:space="0"/>
              <w:tl2br w:val="nil"/>
              <w:tr2bl w:val="nil"/>
            </w:tcBorders>
            <w:vAlign w:val="center"/>
          </w:tcPr>
          <w:p w14:paraId="7A59FC55">
            <w:pPr>
              <w:pStyle w:val="84"/>
              <w:rPr>
                <w:color w:val="auto"/>
              </w:rPr>
            </w:pPr>
            <w:r>
              <w:rPr>
                <w:rFonts w:hint="eastAsia"/>
                <w:color w:val="auto"/>
              </w:rPr>
              <w:t>距离边导线2m处的工频电场强度（V/m）</w:t>
            </w:r>
          </w:p>
        </w:tc>
      </w:tr>
      <w:tr w14:paraId="0AA9B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trPr>
        <w:tc>
          <w:tcPr>
            <w:tcW w:w="1733" w:type="pct"/>
            <w:vMerge w:val="continue"/>
            <w:tcBorders>
              <w:top w:val="single" w:color="auto" w:sz="4" w:space="0"/>
              <w:left w:val="single" w:color="auto" w:sz="4" w:space="0"/>
              <w:bottom w:val="single" w:color="auto" w:sz="4" w:space="0"/>
              <w:right w:val="single" w:color="auto" w:sz="4" w:space="0"/>
              <w:tl2br w:val="nil"/>
              <w:tr2bl w:val="nil"/>
            </w:tcBorders>
            <w:vAlign w:val="center"/>
          </w:tcPr>
          <w:p w14:paraId="45AF6477">
            <w:pPr>
              <w:pStyle w:val="84"/>
              <w:rPr>
                <w:color w:val="auto"/>
              </w:rPr>
            </w:pPr>
          </w:p>
        </w:tc>
        <w:tc>
          <w:tcPr>
            <w:tcW w:w="949" w:type="pct"/>
            <w:tcBorders>
              <w:top w:val="single" w:color="auto" w:sz="4" w:space="0"/>
              <w:left w:val="single" w:color="auto" w:sz="4" w:space="0"/>
              <w:bottom w:val="single" w:color="auto" w:sz="4" w:space="0"/>
              <w:right w:val="single" w:color="auto" w:sz="4" w:space="0"/>
              <w:tl2br w:val="nil"/>
              <w:tr2bl w:val="nil"/>
            </w:tcBorders>
            <w:vAlign w:val="center"/>
          </w:tcPr>
          <w:p w14:paraId="74AE1520">
            <w:pPr>
              <w:pStyle w:val="84"/>
              <w:rPr>
                <w:color w:val="auto"/>
              </w:rPr>
            </w:pPr>
            <w:r>
              <w:rPr>
                <w:color w:val="auto"/>
              </w:rPr>
              <w:t>7m</w:t>
            </w:r>
          </w:p>
        </w:tc>
        <w:tc>
          <w:tcPr>
            <w:tcW w:w="1143" w:type="pct"/>
            <w:tcBorders>
              <w:top w:val="single" w:color="auto" w:sz="4" w:space="0"/>
              <w:left w:val="single" w:color="auto" w:sz="4" w:space="0"/>
              <w:bottom w:val="single" w:color="auto" w:sz="4" w:space="0"/>
              <w:right w:val="single" w:color="auto" w:sz="4" w:space="0"/>
              <w:tl2br w:val="nil"/>
              <w:tr2bl w:val="nil"/>
            </w:tcBorders>
            <w:vAlign w:val="center"/>
          </w:tcPr>
          <w:p w14:paraId="556D5C0B">
            <w:pPr>
              <w:pStyle w:val="84"/>
              <w:rPr>
                <w:color w:val="auto"/>
              </w:rPr>
            </w:pPr>
            <w:r>
              <w:rPr>
                <w:color w:val="auto"/>
              </w:rPr>
              <w:t>10m</w:t>
            </w:r>
          </w:p>
        </w:tc>
        <w:tc>
          <w:tcPr>
            <w:tcW w:w="1175" w:type="pct"/>
            <w:tcBorders>
              <w:top w:val="single" w:color="auto" w:sz="4" w:space="0"/>
              <w:left w:val="single" w:color="auto" w:sz="4" w:space="0"/>
              <w:bottom w:val="single" w:color="auto" w:sz="4" w:space="0"/>
              <w:right w:val="single" w:color="auto" w:sz="4" w:space="0"/>
              <w:tl2br w:val="nil"/>
              <w:tr2bl w:val="nil"/>
            </w:tcBorders>
            <w:vAlign w:val="center"/>
          </w:tcPr>
          <w:p w14:paraId="5F70EFBB">
            <w:pPr>
              <w:pStyle w:val="84"/>
              <w:rPr>
                <w:color w:val="auto"/>
              </w:rPr>
            </w:pPr>
            <w:r>
              <w:rPr>
                <w:color w:val="auto"/>
              </w:rPr>
              <w:t>13m</w:t>
            </w:r>
          </w:p>
        </w:tc>
      </w:tr>
      <w:tr w14:paraId="4BDD0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trPr>
        <w:tc>
          <w:tcPr>
            <w:tcW w:w="1733" w:type="pct"/>
            <w:tcBorders>
              <w:top w:val="single" w:color="auto" w:sz="4" w:space="0"/>
              <w:left w:val="single" w:color="auto" w:sz="4" w:space="0"/>
              <w:bottom w:val="single" w:color="auto" w:sz="4" w:space="0"/>
              <w:right w:val="single" w:color="auto" w:sz="4" w:space="0"/>
              <w:tl2br w:val="nil"/>
              <w:tr2bl w:val="nil"/>
            </w:tcBorders>
            <w:vAlign w:val="center"/>
          </w:tcPr>
          <w:p w14:paraId="2C923837">
            <w:pPr>
              <w:pStyle w:val="84"/>
              <w:rPr>
                <w:color w:val="auto"/>
              </w:rPr>
            </w:pPr>
            <w:r>
              <w:rPr>
                <w:color w:val="auto"/>
              </w:rPr>
              <w:t>4.5</w:t>
            </w:r>
          </w:p>
        </w:tc>
        <w:tc>
          <w:tcPr>
            <w:tcW w:w="949" w:type="pct"/>
            <w:tcBorders>
              <w:top w:val="single" w:color="auto" w:sz="4" w:space="0"/>
              <w:left w:val="single" w:color="auto" w:sz="4" w:space="0"/>
              <w:bottom w:val="single" w:color="auto" w:sz="4" w:space="0"/>
              <w:right w:val="single" w:color="auto" w:sz="4" w:space="0"/>
              <w:tl2br w:val="nil"/>
              <w:tr2bl w:val="nil"/>
            </w:tcBorders>
            <w:vAlign w:val="center"/>
          </w:tcPr>
          <w:p w14:paraId="00835154">
            <w:pPr>
              <w:pStyle w:val="84"/>
              <w:rPr>
                <w:color w:val="auto"/>
                <w:sz w:val="22"/>
              </w:rPr>
            </w:pPr>
            <w:r>
              <w:rPr>
                <w:rFonts w:hint="eastAsia"/>
                <w:color w:val="auto"/>
                <w:sz w:val="22"/>
              </w:rPr>
              <w:t>3</w:t>
            </w:r>
            <w:r>
              <w:rPr>
                <w:color w:val="auto"/>
                <w:sz w:val="22"/>
              </w:rPr>
              <w:t>567</w:t>
            </w:r>
          </w:p>
        </w:tc>
        <w:tc>
          <w:tcPr>
            <w:tcW w:w="1143" w:type="pct"/>
            <w:tcBorders>
              <w:top w:val="single" w:color="auto" w:sz="4" w:space="0"/>
              <w:left w:val="single" w:color="auto" w:sz="4" w:space="0"/>
              <w:bottom w:val="single" w:color="auto" w:sz="4" w:space="0"/>
              <w:right w:val="single" w:color="auto" w:sz="4" w:space="0"/>
              <w:tl2br w:val="nil"/>
              <w:tr2bl w:val="nil"/>
            </w:tcBorders>
            <w:vAlign w:val="center"/>
          </w:tcPr>
          <w:p w14:paraId="48D3B199">
            <w:pPr>
              <w:pStyle w:val="84"/>
              <w:rPr>
                <w:color w:val="auto"/>
                <w:sz w:val="22"/>
              </w:rPr>
            </w:pPr>
            <w:r>
              <w:rPr>
                <w:rFonts w:hint="eastAsia"/>
                <w:color w:val="auto"/>
                <w:sz w:val="22"/>
              </w:rPr>
              <w:t>/</w:t>
            </w:r>
          </w:p>
        </w:tc>
        <w:tc>
          <w:tcPr>
            <w:tcW w:w="1175" w:type="pct"/>
            <w:tcBorders>
              <w:top w:val="single" w:color="auto" w:sz="4" w:space="0"/>
              <w:left w:val="single" w:color="auto" w:sz="4" w:space="0"/>
              <w:bottom w:val="single" w:color="auto" w:sz="4" w:space="0"/>
              <w:right w:val="single" w:color="auto" w:sz="4" w:space="0"/>
              <w:tl2br w:val="nil"/>
              <w:tr2bl w:val="nil"/>
            </w:tcBorders>
            <w:vAlign w:val="center"/>
          </w:tcPr>
          <w:p w14:paraId="7C510941">
            <w:pPr>
              <w:pStyle w:val="84"/>
              <w:rPr>
                <w:color w:val="auto"/>
                <w:sz w:val="22"/>
              </w:rPr>
            </w:pPr>
            <w:r>
              <w:rPr>
                <w:rFonts w:hint="eastAsia"/>
                <w:color w:val="auto"/>
                <w:sz w:val="22"/>
              </w:rPr>
              <w:t>/</w:t>
            </w:r>
          </w:p>
        </w:tc>
      </w:tr>
      <w:tr w14:paraId="684D4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trPr>
        <w:tc>
          <w:tcPr>
            <w:tcW w:w="1733" w:type="pct"/>
            <w:tcBorders>
              <w:top w:val="single" w:color="auto" w:sz="4" w:space="0"/>
              <w:left w:val="single" w:color="auto" w:sz="4" w:space="0"/>
              <w:bottom w:val="single" w:color="auto" w:sz="4" w:space="0"/>
              <w:right w:val="single" w:color="auto" w:sz="4" w:space="0"/>
              <w:tl2br w:val="nil"/>
              <w:tr2bl w:val="nil"/>
            </w:tcBorders>
            <w:vAlign w:val="center"/>
          </w:tcPr>
          <w:p w14:paraId="78E17C52">
            <w:pPr>
              <w:pStyle w:val="84"/>
              <w:rPr>
                <w:color w:val="auto"/>
              </w:rPr>
            </w:pPr>
            <w:r>
              <w:rPr>
                <w:color w:val="auto"/>
              </w:rPr>
              <w:t>7.5</w:t>
            </w:r>
          </w:p>
        </w:tc>
        <w:tc>
          <w:tcPr>
            <w:tcW w:w="949" w:type="pct"/>
            <w:tcBorders>
              <w:top w:val="single" w:color="auto" w:sz="4" w:space="0"/>
              <w:left w:val="single" w:color="auto" w:sz="4" w:space="0"/>
              <w:bottom w:val="single" w:color="auto" w:sz="4" w:space="0"/>
              <w:right w:val="single" w:color="auto" w:sz="4" w:space="0"/>
              <w:tl2br w:val="nil"/>
              <w:tr2bl w:val="nil"/>
            </w:tcBorders>
            <w:vAlign w:val="center"/>
          </w:tcPr>
          <w:p w14:paraId="7D6B5C82">
            <w:pPr>
              <w:pStyle w:val="84"/>
              <w:rPr>
                <w:color w:val="auto"/>
                <w:sz w:val="22"/>
              </w:rPr>
            </w:pPr>
            <w:r>
              <w:rPr>
                <w:rFonts w:hint="eastAsia"/>
                <w:color w:val="auto"/>
                <w:sz w:val="22"/>
              </w:rPr>
              <w:t>/</w:t>
            </w:r>
          </w:p>
        </w:tc>
        <w:tc>
          <w:tcPr>
            <w:tcW w:w="1143" w:type="pct"/>
            <w:tcBorders>
              <w:top w:val="single" w:color="auto" w:sz="4" w:space="0"/>
              <w:left w:val="single" w:color="auto" w:sz="4" w:space="0"/>
              <w:bottom w:val="single" w:color="auto" w:sz="4" w:space="0"/>
              <w:right w:val="single" w:color="auto" w:sz="4" w:space="0"/>
              <w:tl2br w:val="nil"/>
              <w:tr2bl w:val="nil"/>
            </w:tcBorders>
            <w:vAlign w:val="center"/>
          </w:tcPr>
          <w:p w14:paraId="1AC8D7D9">
            <w:pPr>
              <w:pStyle w:val="84"/>
              <w:rPr>
                <w:color w:val="auto"/>
                <w:sz w:val="22"/>
              </w:rPr>
            </w:pPr>
            <w:r>
              <w:rPr>
                <w:rFonts w:hint="eastAsia"/>
                <w:color w:val="auto"/>
                <w:sz w:val="22"/>
              </w:rPr>
              <w:t>3</w:t>
            </w:r>
            <w:r>
              <w:rPr>
                <w:color w:val="auto"/>
                <w:sz w:val="22"/>
              </w:rPr>
              <w:t>677</w:t>
            </w:r>
          </w:p>
        </w:tc>
        <w:tc>
          <w:tcPr>
            <w:tcW w:w="1175" w:type="pct"/>
            <w:tcBorders>
              <w:top w:val="single" w:color="auto" w:sz="4" w:space="0"/>
              <w:left w:val="single" w:color="auto" w:sz="4" w:space="0"/>
              <w:bottom w:val="single" w:color="auto" w:sz="4" w:space="0"/>
              <w:right w:val="single" w:color="auto" w:sz="4" w:space="0"/>
              <w:tl2br w:val="nil"/>
              <w:tr2bl w:val="nil"/>
            </w:tcBorders>
            <w:vAlign w:val="center"/>
          </w:tcPr>
          <w:p w14:paraId="260D539C">
            <w:pPr>
              <w:pStyle w:val="84"/>
              <w:rPr>
                <w:color w:val="auto"/>
                <w:sz w:val="22"/>
              </w:rPr>
            </w:pPr>
            <w:r>
              <w:rPr>
                <w:rFonts w:hint="eastAsia"/>
                <w:color w:val="auto"/>
                <w:sz w:val="22"/>
              </w:rPr>
              <w:t>/</w:t>
            </w:r>
          </w:p>
        </w:tc>
      </w:tr>
      <w:tr w14:paraId="5F2E5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trPr>
        <w:tc>
          <w:tcPr>
            <w:tcW w:w="1733" w:type="pct"/>
            <w:tcBorders>
              <w:top w:val="single" w:color="auto" w:sz="4" w:space="0"/>
              <w:left w:val="single" w:color="auto" w:sz="4" w:space="0"/>
              <w:bottom w:val="single" w:color="auto" w:sz="4" w:space="0"/>
              <w:right w:val="single" w:color="auto" w:sz="4" w:space="0"/>
              <w:tl2br w:val="nil"/>
              <w:tr2bl w:val="nil"/>
            </w:tcBorders>
            <w:vAlign w:val="center"/>
          </w:tcPr>
          <w:p w14:paraId="78D6F076">
            <w:pPr>
              <w:pStyle w:val="84"/>
              <w:rPr>
                <w:color w:val="auto"/>
              </w:rPr>
            </w:pPr>
            <w:r>
              <w:rPr>
                <w:color w:val="auto"/>
              </w:rPr>
              <w:t>10.5</w:t>
            </w:r>
          </w:p>
        </w:tc>
        <w:tc>
          <w:tcPr>
            <w:tcW w:w="949" w:type="pct"/>
            <w:tcBorders>
              <w:top w:val="single" w:color="auto" w:sz="4" w:space="0"/>
              <w:left w:val="single" w:color="auto" w:sz="4" w:space="0"/>
              <w:bottom w:val="single" w:color="auto" w:sz="4" w:space="0"/>
              <w:right w:val="single" w:color="auto" w:sz="4" w:space="0"/>
              <w:tl2br w:val="nil"/>
              <w:tr2bl w:val="nil"/>
            </w:tcBorders>
            <w:vAlign w:val="center"/>
          </w:tcPr>
          <w:p w14:paraId="68D3D4F4">
            <w:pPr>
              <w:pStyle w:val="84"/>
              <w:rPr>
                <w:color w:val="auto"/>
                <w:sz w:val="22"/>
              </w:rPr>
            </w:pPr>
            <w:r>
              <w:rPr>
                <w:rFonts w:hint="eastAsia"/>
                <w:color w:val="auto"/>
                <w:sz w:val="22"/>
              </w:rPr>
              <w:t>/</w:t>
            </w:r>
          </w:p>
        </w:tc>
        <w:tc>
          <w:tcPr>
            <w:tcW w:w="1143" w:type="pct"/>
            <w:tcBorders>
              <w:top w:val="single" w:color="auto" w:sz="4" w:space="0"/>
              <w:left w:val="single" w:color="auto" w:sz="4" w:space="0"/>
              <w:bottom w:val="single" w:color="auto" w:sz="4" w:space="0"/>
              <w:right w:val="single" w:color="auto" w:sz="4" w:space="0"/>
              <w:tl2br w:val="nil"/>
              <w:tr2bl w:val="nil"/>
            </w:tcBorders>
            <w:vAlign w:val="center"/>
          </w:tcPr>
          <w:p w14:paraId="219D78AC">
            <w:pPr>
              <w:pStyle w:val="84"/>
              <w:rPr>
                <w:color w:val="auto"/>
                <w:sz w:val="22"/>
              </w:rPr>
            </w:pPr>
            <w:r>
              <w:rPr>
                <w:rFonts w:hint="eastAsia"/>
                <w:color w:val="auto"/>
                <w:sz w:val="22"/>
              </w:rPr>
              <w:t>/</w:t>
            </w:r>
          </w:p>
        </w:tc>
        <w:tc>
          <w:tcPr>
            <w:tcW w:w="1175" w:type="pct"/>
            <w:tcBorders>
              <w:top w:val="single" w:color="auto" w:sz="4" w:space="0"/>
              <w:left w:val="single" w:color="auto" w:sz="4" w:space="0"/>
              <w:bottom w:val="single" w:color="auto" w:sz="4" w:space="0"/>
              <w:right w:val="single" w:color="auto" w:sz="4" w:space="0"/>
              <w:tl2br w:val="nil"/>
              <w:tr2bl w:val="nil"/>
            </w:tcBorders>
            <w:vAlign w:val="center"/>
          </w:tcPr>
          <w:p w14:paraId="312B24C5">
            <w:pPr>
              <w:pStyle w:val="84"/>
              <w:rPr>
                <w:color w:val="auto"/>
                <w:sz w:val="22"/>
              </w:rPr>
            </w:pPr>
            <w:r>
              <w:rPr>
                <w:rFonts w:hint="eastAsia"/>
                <w:color w:val="auto"/>
                <w:sz w:val="22"/>
              </w:rPr>
              <w:t>3</w:t>
            </w:r>
            <w:r>
              <w:rPr>
                <w:color w:val="auto"/>
                <w:sz w:val="22"/>
              </w:rPr>
              <w:t>726</w:t>
            </w:r>
          </w:p>
        </w:tc>
      </w:tr>
    </w:tbl>
    <w:p w14:paraId="107C1795">
      <w:pPr>
        <w:pStyle w:val="51"/>
        <w:rPr>
          <w:color w:val="auto"/>
        </w:rPr>
      </w:pPr>
      <w:r>
        <w:rPr>
          <w:rFonts w:hint="eastAsia"/>
          <w:color w:val="auto"/>
        </w:rPr>
        <w:t>由表4-7可知，当线路周边有民房时，线路与楼房房顶的最小垂直距离需大于4m，根据勾股定理计算可得单回路线路导线与楼房间的净空距离需满足5m的要求，根据《220kV~750kV架空输电线路设计规范》（GB50545-2010）的规定线路与建筑物之间的最小垂直距离5</w:t>
      </w:r>
      <w:r>
        <w:rPr>
          <w:color w:val="auto"/>
        </w:rPr>
        <w:t>.0</w:t>
      </w:r>
      <w:r>
        <w:rPr>
          <w:rFonts w:hint="eastAsia"/>
          <w:color w:val="auto"/>
        </w:rPr>
        <w:t>m要求，因此，楼房的一层、二层、三层房顶处能满足4000V/m的评价标准要求。</w:t>
      </w:r>
    </w:p>
    <w:p w14:paraId="03A1684E">
      <w:pPr>
        <w:pStyle w:val="3"/>
        <w:rPr>
          <w:color w:val="auto"/>
        </w:rPr>
      </w:pPr>
      <w:bookmarkStart w:id="125" w:name="_Toc85662762"/>
      <w:bookmarkStart w:id="126" w:name="_Toc85633945"/>
      <w:bookmarkStart w:id="127" w:name="_Toc85662710"/>
      <w:r>
        <w:rPr>
          <w:color w:val="auto"/>
        </w:rPr>
        <w:t xml:space="preserve">4.3 </w:t>
      </w:r>
      <w:r>
        <w:rPr>
          <w:rFonts w:hint="eastAsia"/>
          <w:color w:val="auto"/>
        </w:rPr>
        <w:t>预测结论</w:t>
      </w:r>
      <w:bookmarkEnd w:id="125"/>
      <w:bookmarkEnd w:id="126"/>
      <w:bookmarkEnd w:id="127"/>
    </w:p>
    <w:p w14:paraId="622B1C26">
      <w:pPr>
        <w:pStyle w:val="51"/>
        <w:ind w:firstLine="482"/>
        <w:rPr>
          <w:b/>
          <w:color w:val="auto"/>
        </w:rPr>
      </w:pPr>
      <w:r>
        <w:rPr>
          <w:rFonts w:hint="eastAsia"/>
          <w:b/>
          <w:color w:val="auto"/>
        </w:rPr>
        <w:t>升压站类比预测结论：</w:t>
      </w:r>
    </w:p>
    <w:p w14:paraId="2AE3D744">
      <w:pPr>
        <w:pStyle w:val="51"/>
        <w:rPr>
          <w:color w:val="auto"/>
        </w:rPr>
      </w:pPr>
      <w:r>
        <w:rPr>
          <w:rFonts w:hint="eastAsia"/>
          <w:color w:val="auto"/>
        </w:rPr>
        <w:t>通过对已运行宁东1GW光伏基地330kV汇集站的类比监测结果，可以预测本工程新建220kV升压站运行后产生的工频电场强度小于居民区4</w:t>
      </w:r>
      <w:r>
        <w:rPr>
          <w:color w:val="auto"/>
        </w:rPr>
        <w:t>000</w:t>
      </w:r>
      <w:r>
        <w:rPr>
          <w:rFonts w:hint="eastAsia"/>
          <w:color w:val="auto"/>
        </w:rPr>
        <w:t>V/m、工频磁感应强度小于10</w:t>
      </w:r>
      <w:r>
        <w:rPr>
          <w:color w:val="auto"/>
        </w:rPr>
        <w:t>0μ</w:t>
      </w:r>
      <w:r>
        <w:rPr>
          <w:rFonts w:hint="eastAsia"/>
          <w:color w:val="auto"/>
        </w:rPr>
        <w:t>T的评价标准要求。</w:t>
      </w:r>
    </w:p>
    <w:p w14:paraId="01C6100B">
      <w:pPr>
        <w:pStyle w:val="51"/>
        <w:ind w:firstLine="482"/>
        <w:rPr>
          <w:b/>
          <w:color w:val="auto"/>
        </w:rPr>
      </w:pPr>
      <w:r>
        <w:rPr>
          <w:rFonts w:hint="eastAsia"/>
          <w:b/>
          <w:color w:val="auto"/>
        </w:rPr>
        <w:t>220kV架空线路计算结果结论：</w:t>
      </w:r>
    </w:p>
    <w:p w14:paraId="26621C49">
      <w:pPr>
        <w:pStyle w:val="51"/>
        <w:numPr>
          <w:ilvl w:val="0"/>
          <w:numId w:val="2"/>
        </w:numPr>
        <w:ind w:firstLineChars="0"/>
        <w:rPr>
          <w:b/>
          <w:color w:val="auto"/>
        </w:rPr>
      </w:pPr>
      <w:r>
        <w:rPr>
          <w:rFonts w:hint="eastAsia"/>
          <w:b/>
          <w:color w:val="auto"/>
        </w:rPr>
        <w:t>线路经过非居民区，本工程输电线路导线对地最小距离6.5m时：</w:t>
      </w:r>
    </w:p>
    <w:p w14:paraId="1CE3EF65">
      <w:pPr>
        <w:pStyle w:val="51"/>
        <w:rPr>
          <w:color w:val="auto"/>
        </w:rPr>
      </w:pPr>
      <w:r>
        <w:rPr>
          <w:rFonts w:hint="eastAsia"/>
          <w:color w:val="auto"/>
        </w:rPr>
        <w:t>距离地面1.5m高度处的工频电场强度最大值为2796V/m，出现在距线路中心线5m处，分别满足《电磁环境控制限值》（GB8702-2014）50Hz频率下公众曝露控制限值4000V/m和架空输电线路线下的耕地、园地、牧草地、畜禽饲养地、养殖水面、道路等场所电场强度控制限值10kV/m的要求；</w:t>
      </w:r>
    </w:p>
    <w:p w14:paraId="6F63BC1F">
      <w:pPr>
        <w:pStyle w:val="51"/>
        <w:rPr>
          <w:color w:val="auto"/>
        </w:rPr>
      </w:pPr>
      <w:r>
        <w:rPr>
          <w:color w:val="auto"/>
        </w:rPr>
        <w:t>距离地面1.5m高度处的工频磁感应强度最大值为19.820μT，出现在距线路中心线5m处，满足《电磁环境控制限值》（GB8702-2014）50Hz频率下公众曝露控制限值100μT的要求。</w:t>
      </w:r>
    </w:p>
    <w:p w14:paraId="6034E792">
      <w:pPr>
        <w:pStyle w:val="51"/>
        <w:rPr>
          <w:color w:val="auto"/>
        </w:rPr>
      </w:pPr>
      <w:r>
        <w:rPr>
          <w:rFonts w:hint="eastAsia"/>
          <w:color w:val="auto"/>
        </w:rPr>
        <w:t>工频电场强度、工频磁感应强度整体变化趋势是随着距离增加而逐渐减小。</w:t>
      </w:r>
    </w:p>
    <w:p w14:paraId="68A4C50C">
      <w:pPr>
        <w:pStyle w:val="51"/>
        <w:numPr>
          <w:ilvl w:val="0"/>
          <w:numId w:val="2"/>
        </w:numPr>
        <w:ind w:firstLineChars="0"/>
        <w:rPr>
          <w:b/>
          <w:color w:val="auto"/>
        </w:rPr>
      </w:pPr>
      <w:r>
        <w:rPr>
          <w:rFonts w:hint="eastAsia"/>
          <w:b/>
          <w:color w:val="auto"/>
        </w:rPr>
        <w:t>线路经过居民区，本工程输电线路导线对地最小距离</w:t>
      </w:r>
      <w:r>
        <w:rPr>
          <w:b/>
          <w:color w:val="auto"/>
        </w:rPr>
        <w:t>7.</w:t>
      </w:r>
      <w:r>
        <w:rPr>
          <w:rFonts w:hint="eastAsia"/>
          <w:b/>
          <w:color w:val="auto"/>
        </w:rPr>
        <w:t>5</w:t>
      </w:r>
      <w:r>
        <w:rPr>
          <w:b/>
          <w:color w:val="auto"/>
        </w:rPr>
        <w:t>m</w:t>
      </w:r>
      <w:r>
        <w:rPr>
          <w:rFonts w:hint="eastAsia"/>
          <w:b/>
          <w:color w:val="auto"/>
        </w:rPr>
        <w:t>时：</w:t>
      </w:r>
    </w:p>
    <w:p w14:paraId="1428449D">
      <w:pPr>
        <w:pStyle w:val="51"/>
        <w:rPr>
          <w:color w:val="auto"/>
        </w:rPr>
      </w:pPr>
      <w:r>
        <w:rPr>
          <w:rFonts w:hint="eastAsia"/>
          <w:color w:val="auto"/>
        </w:rPr>
        <w:t>距离地面1.5m高度处的工频电场强度最大值为2137V</w:t>
      </w:r>
      <w:r>
        <w:rPr>
          <w:color w:val="auto"/>
        </w:rPr>
        <w:t>/m</w:t>
      </w:r>
      <w:r>
        <w:rPr>
          <w:rFonts w:hint="eastAsia"/>
          <w:color w:val="auto"/>
        </w:rPr>
        <w:t>，出现在距线路中心线5m处，满足《电磁环境控制限值》（GB8702-2014）50Hz频率下公众曝露控制限值4000V/m；</w:t>
      </w:r>
    </w:p>
    <w:p w14:paraId="67DCFA0C">
      <w:pPr>
        <w:pStyle w:val="51"/>
        <w:rPr>
          <w:color w:val="auto"/>
        </w:rPr>
      </w:pPr>
      <w:r>
        <w:rPr>
          <w:rFonts w:hint="eastAsia"/>
          <w:color w:val="auto"/>
        </w:rPr>
        <w:t>距离地面1.5m高度处的工频磁感应强度最大值为17.199μT，出现在距线路中心线5m处，满足《电磁环境控制限值》（GB8702-2014）50Hz频率下公众曝露控制限值100μT的要求。</w:t>
      </w:r>
    </w:p>
    <w:p w14:paraId="23719559">
      <w:pPr>
        <w:pStyle w:val="51"/>
        <w:rPr>
          <w:color w:val="auto"/>
        </w:rPr>
      </w:pPr>
      <w:r>
        <w:rPr>
          <w:rFonts w:hint="eastAsia"/>
          <w:color w:val="auto"/>
        </w:rPr>
        <w:t>工频电场强度、工频磁感应强度整体变化趋势是随着距离增加而逐渐减小。</w:t>
      </w:r>
    </w:p>
    <w:p w14:paraId="577B3BE4">
      <w:pPr>
        <w:pStyle w:val="51"/>
        <w:rPr>
          <w:color w:val="auto"/>
        </w:rPr>
      </w:pPr>
      <w:r>
        <w:rPr>
          <w:rFonts w:hint="eastAsia"/>
          <w:color w:val="auto"/>
        </w:rPr>
        <w:t>由表4-7可知，当线路周边有民房时，线路与楼房房顶的最小垂直距离需大于4m，根据勾股定理计算可得单回路线路导线与楼房间的净空距离需满足5m的要求；楼房的一层、二层、三层房顶处能满足4000V/m的评价标准要求。</w:t>
      </w:r>
    </w:p>
    <w:p w14:paraId="2DB57B63">
      <w:pPr>
        <w:pStyle w:val="51"/>
        <w:rPr>
          <w:color w:val="auto"/>
        </w:rPr>
      </w:pPr>
    </w:p>
    <w:p w14:paraId="264B4B79">
      <w:pPr>
        <w:spacing w:line="360" w:lineRule="auto"/>
        <w:ind w:firstLine="480" w:firstLineChars="200"/>
        <w:rPr>
          <w:sz w:val="24"/>
        </w:rPr>
        <w:sectPr>
          <w:pgSz w:w="11906" w:h="16838"/>
          <w:pgMar w:top="1418" w:right="1440" w:bottom="1418" w:left="1440" w:header="851" w:footer="850" w:gutter="0"/>
          <w:cols w:space="720" w:num="1"/>
          <w:docGrid w:type="lines" w:linePitch="312" w:charSpace="0"/>
        </w:sectPr>
      </w:pPr>
    </w:p>
    <w:p w14:paraId="319B37E0">
      <w:pPr>
        <w:pStyle w:val="2"/>
        <w:rPr>
          <w:sz w:val="40"/>
          <w:szCs w:val="24"/>
        </w:rPr>
      </w:pPr>
      <w:bookmarkStart w:id="128" w:name="_Toc443400165"/>
      <w:bookmarkStart w:id="129" w:name="_Toc428724453"/>
      <w:bookmarkStart w:id="130" w:name="_Toc85633947"/>
      <w:bookmarkStart w:id="131" w:name="_Toc85662763"/>
      <w:bookmarkStart w:id="132" w:name="_Toc421611351"/>
      <w:bookmarkStart w:id="133" w:name="_Toc85662711"/>
      <w:bookmarkStart w:id="134" w:name="_Toc430099650"/>
      <w:bookmarkStart w:id="135" w:name="_Toc421772766"/>
      <w:r>
        <w:rPr>
          <w:sz w:val="40"/>
          <w:szCs w:val="24"/>
        </w:rPr>
        <w:t xml:space="preserve">5 </w:t>
      </w:r>
      <w:r>
        <w:rPr>
          <w:rFonts w:hint="eastAsia"/>
          <w:sz w:val="40"/>
          <w:szCs w:val="24"/>
        </w:rPr>
        <w:t>电磁环境影响评价专题报告结论</w:t>
      </w:r>
      <w:bookmarkEnd w:id="128"/>
      <w:bookmarkEnd w:id="129"/>
      <w:bookmarkEnd w:id="130"/>
      <w:bookmarkEnd w:id="131"/>
      <w:bookmarkEnd w:id="132"/>
      <w:bookmarkEnd w:id="133"/>
      <w:bookmarkEnd w:id="134"/>
      <w:bookmarkEnd w:id="135"/>
    </w:p>
    <w:p w14:paraId="2ABB5AD4">
      <w:pPr>
        <w:pStyle w:val="3"/>
        <w:rPr>
          <w:color w:val="auto"/>
        </w:rPr>
      </w:pPr>
      <w:bookmarkStart w:id="136" w:name="_Toc443400167"/>
      <w:bookmarkStart w:id="137" w:name="_Toc85662712"/>
      <w:bookmarkStart w:id="138" w:name="_Toc428724455"/>
      <w:bookmarkStart w:id="139" w:name="_Toc85662764"/>
      <w:bookmarkStart w:id="140" w:name="_Toc421772768"/>
      <w:bookmarkStart w:id="141" w:name="_Toc430099652"/>
      <w:bookmarkStart w:id="142" w:name="_Toc85633949"/>
      <w:bookmarkStart w:id="143" w:name="_Toc421611353"/>
      <w:r>
        <w:rPr>
          <w:color w:val="auto"/>
        </w:rPr>
        <w:t xml:space="preserve">5.1 </w:t>
      </w:r>
      <w:r>
        <w:rPr>
          <w:rFonts w:hint="eastAsia"/>
          <w:color w:val="auto"/>
        </w:rPr>
        <w:t>工程概况</w:t>
      </w:r>
      <w:bookmarkEnd w:id="136"/>
      <w:bookmarkEnd w:id="137"/>
      <w:bookmarkEnd w:id="138"/>
      <w:bookmarkEnd w:id="139"/>
      <w:bookmarkEnd w:id="140"/>
      <w:bookmarkEnd w:id="141"/>
      <w:bookmarkEnd w:id="142"/>
      <w:bookmarkEnd w:id="143"/>
    </w:p>
    <w:p w14:paraId="7098314F">
      <w:pPr>
        <w:pStyle w:val="51"/>
        <w:rPr>
          <w:color w:val="auto"/>
        </w:rPr>
      </w:pPr>
      <w:bookmarkStart w:id="144" w:name="_Toc428724456"/>
      <w:bookmarkStart w:id="145" w:name="_Toc421772769"/>
      <w:bookmarkStart w:id="146" w:name="_Toc421611354"/>
      <w:bookmarkStart w:id="147" w:name="_Toc430099656"/>
      <w:bookmarkStart w:id="148" w:name="_Toc443400168"/>
      <w:r>
        <w:rPr>
          <w:rFonts w:hint="eastAsia"/>
          <w:color w:val="auto"/>
        </w:rPr>
        <w:t>（1）升压站工程</w:t>
      </w:r>
    </w:p>
    <w:p w14:paraId="19A889AE">
      <w:pPr>
        <w:pStyle w:val="51"/>
        <w:rPr>
          <w:color w:val="auto"/>
        </w:rPr>
      </w:pPr>
      <w:r>
        <w:rPr>
          <w:rFonts w:hint="eastAsia"/>
          <w:color w:val="auto"/>
        </w:rPr>
        <w:t>主变容量：本期新建2×335MVA，终期规模为3×335MVA变压器，主变采用三相分裂绕组有载调压变压器，电压等级：220/35-35kV。出线规模：220kV出线：本期出线3回（华润汇集站2回，尚塘风电1回），终期3回，本期、终期均采用双母线接线；35kV本期24回出线，终期40回出线，本终期均采用单母线扩大单元接线。</w:t>
      </w:r>
    </w:p>
    <w:p w14:paraId="71B693ED">
      <w:pPr>
        <w:pStyle w:val="51"/>
        <w:rPr>
          <w:color w:val="auto"/>
        </w:rPr>
      </w:pPr>
      <w:r>
        <w:rPr>
          <w:rFonts w:hint="eastAsia"/>
          <w:color w:val="auto"/>
        </w:rPr>
        <w:t>无功补偿：本期安装4组20Mvar电容器组，终期为6组20Mvar电容器组。本期安装2组±33.3Mvar SVG动态无功补偿装置，终期为3组±33.3MvarSVG动态无功补偿装置。</w:t>
      </w:r>
    </w:p>
    <w:p w14:paraId="0455E263">
      <w:pPr>
        <w:pStyle w:val="51"/>
        <w:rPr>
          <w:color w:val="auto"/>
        </w:rPr>
      </w:pPr>
      <w:r>
        <w:rPr>
          <w:rFonts w:hint="eastAsia"/>
          <w:color w:val="auto"/>
        </w:rPr>
        <w:t>（2）送出线路工程</w:t>
      </w:r>
    </w:p>
    <w:p w14:paraId="6DDAAA08">
      <w:pPr>
        <w:pStyle w:val="51"/>
        <w:rPr>
          <w:color w:val="auto"/>
        </w:rPr>
      </w:pPr>
      <w:r>
        <w:rPr>
          <w:rFonts w:hint="eastAsia"/>
          <w:color w:val="auto"/>
        </w:rPr>
        <w:t>线路起于拟建顾桥220kV升压站220kV构架，止于500kV华润汇集变220kVGIS终端。线路采用角钢塔、钢管杆和电缆混合架/敷设，路径总长度约5.01km，其中双回架空线路长约4.6km，电缆路径长约0.41km。本工程导线截面2×630mm²，杆塔型式选择国网标准化通用设计220-HB21S、220-HB21GS模块。</w:t>
      </w:r>
    </w:p>
    <w:p w14:paraId="78B9EC57">
      <w:pPr>
        <w:pStyle w:val="3"/>
        <w:rPr>
          <w:color w:val="auto"/>
        </w:rPr>
      </w:pPr>
      <w:bookmarkStart w:id="149" w:name="_Toc85662713"/>
      <w:bookmarkStart w:id="150" w:name="_Toc85633950"/>
      <w:bookmarkStart w:id="151" w:name="_Toc85662765"/>
      <w:r>
        <w:rPr>
          <w:color w:val="auto"/>
        </w:rPr>
        <w:t xml:space="preserve">5.2 </w:t>
      </w:r>
      <w:r>
        <w:rPr>
          <w:rFonts w:hint="eastAsia"/>
          <w:color w:val="auto"/>
        </w:rPr>
        <w:t>环境质量现状</w:t>
      </w:r>
      <w:bookmarkEnd w:id="144"/>
      <w:bookmarkEnd w:id="145"/>
      <w:bookmarkEnd w:id="146"/>
      <w:bookmarkEnd w:id="147"/>
      <w:bookmarkEnd w:id="148"/>
      <w:bookmarkEnd w:id="149"/>
      <w:bookmarkEnd w:id="150"/>
      <w:bookmarkEnd w:id="151"/>
    </w:p>
    <w:p w14:paraId="0FACB421">
      <w:pPr>
        <w:pStyle w:val="51"/>
        <w:rPr>
          <w:color w:val="auto"/>
        </w:rPr>
      </w:pPr>
      <w:bookmarkStart w:id="152" w:name="_Toc421772771"/>
      <w:r>
        <w:rPr>
          <w:rFonts w:hint="eastAsia"/>
          <w:color w:val="auto"/>
        </w:rPr>
        <w:t>本次环评的升压站四周现状监测点处工频电场强度为1.8~8.2V/m，工频磁感应强度为0.025~0.123μT，均满足工频电场强度4000V/m，工频磁感应强度100μT的评价标准要求。</w:t>
      </w:r>
    </w:p>
    <w:p w14:paraId="6F870677">
      <w:pPr>
        <w:pStyle w:val="51"/>
        <w:rPr>
          <w:color w:val="auto"/>
        </w:rPr>
      </w:pPr>
      <w:r>
        <w:rPr>
          <w:rFonts w:hint="eastAsia"/>
          <w:color w:val="auto"/>
        </w:rPr>
        <w:t>本次环评的线路周边现状监测点处工频电场强度为0.7~3.18V/m，工频磁感应强度为0.012~0.018μT，均满足工频电场强度4000V/m，工频磁感应强度100μT的评价标准要求。</w:t>
      </w:r>
    </w:p>
    <w:p w14:paraId="2A0FF114">
      <w:pPr>
        <w:pStyle w:val="3"/>
        <w:rPr>
          <w:color w:val="auto"/>
        </w:rPr>
      </w:pPr>
      <w:bookmarkStart w:id="153" w:name="_Toc85662766"/>
      <w:bookmarkStart w:id="154" w:name="_Toc85662714"/>
      <w:bookmarkStart w:id="155" w:name="_Toc430099657"/>
      <w:bookmarkStart w:id="156" w:name="_Toc443400169"/>
      <w:bookmarkStart w:id="157" w:name="_Toc428724457"/>
      <w:bookmarkStart w:id="158" w:name="_Toc85633951"/>
      <w:r>
        <w:rPr>
          <w:color w:val="auto"/>
        </w:rPr>
        <w:t xml:space="preserve">5.3 </w:t>
      </w:r>
      <w:r>
        <w:rPr>
          <w:rFonts w:hint="eastAsia"/>
          <w:color w:val="auto"/>
        </w:rPr>
        <w:t>环境影响预测结果</w:t>
      </w:r>
      <w:bookmarkEnd w:id="152"/>
      <w:bookmarkEnd w:id="153"/>
      <w:bookmarkEnd w:id="154"/>
      <w:bookmarkEnd w:id="155"/>
      <w:bookmarkEnd w:id="156"/>
      <w:bookmarkEnd w:id="157"/>
      <w:bookmarkEnd w:id="158"/>
    </w:p>
    <w:p w14:paraId="40A04AD5">
      <w:pPr>
        <w:pStyle w:val="51"/>
        <w:ind w:firstLine="482"/>
        <w:rPr>
          <w:b/>
          <w:color w:val="auto"/>
        </w:rPr>
      </w:pPr>
      <w:bookmarkStart w:id="159" w:name="_Toc428724458"/>
      <w:bookmarkStart w:id="160" w:name="_Toc421611357"/>
      <w:bookmarkStart w:id="161" w:name="_Toc421772774"/>
      <w:bookmarkStart w:id="162" w:name="_Toc430099658"/>
      <w:bookmarkStart w:id="163" w:name="_Toc443400170"/>
      <w:r>
        <w:rPr>
          <w:rFonts w:hint="eastAsia"/>
          <w:b/>
          <w:color w:val="auto"/>
        </w:rPr>
        <w:t>升压站类比预测结论：</w:t>
      </w:r>
    </w:p>
    <w:p w14:paraId="60639A8E">
      <w:pPr>
        <w:pStyle w:val="51"/>
        <w:rPr>
          <w:color w:val="auto"/>
        </w:rPr>
      </w:pPr>
      <w:r>
        <w:rPr>
          <w:rFonts w:hint="eastAsia"/>
          <w:color w:val="auto"/>
        </w:rPr>
        <w:t>通过对已运行宁东1GW光伏基地330kV汇集站的类比监测结果，可以预测本工程新建220kV升压站运行后产生的工频电场强度小于居民区4</w:t>
      </w:r>
      <w:r>
        <w:rPr>
          <w:color w:val="auto"/>
        </w:rPr>
        <w:t>000</w:t>
      </w:r>
      <w:r>
        <w:rPr>
          <w:rFonts w:hint="eastAsia"/>
          <w:color w:val="auto"/>
        </w:rPr>
        <w:t>V/m、工频磁感应强度小于10</w:t>
      </w:r>
      <w:r>
        <w:rPr>
          <w:color w:val="auto"/>
        </w:rPr>
        <w:t>0μ</w:t>
      </w:r>
      <w:r>
        <w:rPr>
          <w:rFonts w:hint="eastAsia"/>
          <w:color w:val="auto"/>
        </w:rPr>
        <w:t>T的评价标准要求。</w:t>
      </w:r>
    </w:p>
    <w:p w14:paraId="682D16DF">
      <w:pPr>
        <w:pStyle w:val="51"/>
        <w:ind w:firstLine="482"/>
        <w:rPr>
          <w:b/>
          <w:color w:val="auto"/>
        </w:rPr>
      </w:pPr>
      <w:r>
        <w:rPr>
          <w:rFonts w:hint="eastAsia"/>
          <w:b/>
          <w:color w:val="auto"/>
        </w:rPr>
        <w:t>220kV架空线路计算结果结论：</w:t>
      </w:r>
    </w:p>
    <w:p w14:paraId="24D34853">
      <w:pPr>
        <w:pStyle w:val="51"/>
        <w:numPr>
          <w:ilvl w:val="0"/>
          <w:numId w:val="3"/>
        </w:numPr>
        <w:ind w:firstLineChars="0"/>
        <w:rPr>
          <w:b/>
          <w:color w:val="auto"/>
        </w:rPr>
      </w:pPr>
      <w:r>
        <w:rPr>
          <w:rFonts w:hint="eastAsia"/>
          <w:b/>
          <w:color w:val="auto"/>
        </w:rPr>
        <w:t>线路经过非居民区，本工程输电线路导线对地最小距离6.5m时：</w:t>
      </w:r>
    </w:p>
    <w:p w14:paraId="588A4D6D">
      <w:pPr>
        <w:pStyle w:val="51"/>
        <w:rPr>
          <w:color w:val="auto"/>
        </w:rPr>
      </w:pPr>
      <w:r>
        <w:rPr>
          <w:rFonts w:hint="eastAsia"/>
          <w:color w:val="auto"/>
        </w:rPr>
        <w:t>距离地面1.5m高度处的工频电场强度最大值为2796V/m，出现在距线路中心线5m处，分别满足《电磁环境控制限值》（GB8702-2014）50Hz频率下公众曝露控制限值4000V/m和架空输电线路线下的耕地、园地、牧草地、畜禽饲养地、养殖水面、道路等场所电场强度控制限值10kV/m的要求；</w:t>
      </w:r>
    </w:p>
    <w:p w14:paraId="4CC92E0E">
      <w:pPr>
        <w:pStyle w:val="51"/>
        <w:rPr>
          <w:color w:val="auto"/>
        </w:rPr>
      </w:pPr>
      <w:r>
        <w:rPr>
          <w:rFonts w:hint="eastAsia"/>
          <w:color w:val="auto"/>
        </w:rPr>
        <w:t>距离地面1.5m高度处的工频磁感应强度最大值为19.820μT，出现在距线路中心线5m处，满足《电磁环境控制限值》（GB8702-2014）50Hz频率下公众曝露控制限值100μT的要求。</w:t>
      </w:r>
    </w:p>
    <w:p w14:paraId="5CF8B8A9">
      <w:pPr>
        <w:pStyle w:val="51"/>
        <w:rPr>
          <w:color w:val="auto"/>
        </w:rPr>
      </w:pPr>
      <w:r>
        <w:rPr>
          <w:rFonts w:hint="eastAsia"/>
          <w:color w:val="auto"/>
        </w:rPr>
        <w:t>工频电场强度、工频磁感应强度整体变化趋势是随着距离增加而逐渐减小。</w:t>
      </w:r>
    </w:p>
    <w:p w14:paraId="4CD1029C">
      <w:pPr>
        <w:pStyle w:val="51"/>
        <w:ind w:firstLine="482"/>
        <w:rPr>
          <w:b/>
          <w:color w:val="auto"/>
        </w:rPr>
      </w:pPr>
      <w:r>
        <w:rPr>
          <w:rFonts w:hint="eastAsia" w:ascii="宋体" w:hAnsi="宋体" w:cs="宋体"/>
          <w:b/>
          <w:color w:val="auto"/>
          <w:szCs w:val="18"/>
          <w:lang w:val="zh-CN"/>
        </w:rPr>
        <w:t>②</w:t>
      </w:r>
      <w:r>
        <w:rPr>
          <w:rFonts w:hint="eastAsia"/>
          <w:b/>
          <w:color w:val="auto"/>
        </w:rPr>
        <w:t>线路经过居民区，本工程输电线路导线对地最小距离</w:t>
      </w:r>
      <w:r>
        <w:rPr>
          <w:b/>
          <w:color w:val="auto"/>
        </w:rPr>
        <w:t>7.</w:t>
      </w:r>
      <w:r>
        <w:rPr>
          <w:rFonts w:hint="eastAsia"/>
          <w:b/>
          <w:color w:val="auto"/>
        </w:rPr>
        <w:t>5</w:t>
      </w:r>
      <w:r>
        <w:rPr>
          <w:b/>
          <w:color w:val="auto"/>
        </w:rPr>
        <w:t>m</w:t>
      </w:r>
      <w:r>
        <w:rPr>
          <w:rFonts w:hint="eastAsia"/>
          <w:b/>
          <w:color w:val="auto"/>
        </w:rPr>
        <w:t>时：</w:t>
      </w:r>
    </w:p>
    <w:p w14:paraId="095E0500">
      <w:pPr>
        <w:pStyle w:val="51"/>
        <w:rPr>
          <w:color w:val="auto"/>
        </w:rPr>
      </w:pPr>
      <w:r>
        <w:rPr>
          <w:rFonts w:hint="eastAsia"/>
          <w:color w:val="auto"/>
        </w:rPr>
        <w:t>距离地面1.5m高度处的工频电场强度最大值为2137V</w:t>
      </w:r>
      <w:r>
        <w:rPr>
          <w:color w:val="auto"/>
        </w:rPr>
        <w:t>/m</w:t>
      </w:r>
      <w:r>
        <w:rPr>
          <w:rFonts w:hint="eastAsia"/>
          <w:color w:val="auto"/>
        </w:rPr>
        <w:t>，出现在距线路中心线5m处，满足《电磁环境控制限值》（GB8702-2014）50Hz频率下公众曝露控制限值4000V/m；</w:t>
      </w:r>
    </w:p>
    <w:p w14:paraId="76F27ACF">
      <w:pPr>
        <w:pStyle w:val="51"/>
        <w:rPr>
          <w:color w:val="auto"/>
        </w:rPr>
      </w:pPr>
      <w:r>
        <w:rPr>
          <w:rFonts w:hint="eastAsia"/>
          <w:color w:val="auto"/>
        </w:rPr>
        <w:t>距离地面1.5m高度处的工频磁感应强度最大值为17.199μT，出现在距线路中心线5m处，满足《电磁环境控制限值》（GB8702-2014）50Hz频率下公众曝露控制限值100μT的要求。</w:t>
      </w:r>
    </w:p>
    <w:p w14:paraId="4F5E3EAD">
      <w:pPr>
        <w:pStyle w:val="51"/>
        <w:rPr>
          <w:color w:val="auto"/>
        </w:rPr>
      </w:pPr>
      <w:r>
        <w:rPr>
          <w:rFonts w:hint="eastAsia"/>
          <w:color w:val="auto"/>
        </w:rPr>
        <w:t>工频电场强度、工频磁感应强度整体变化趋势是随着距离增加而逐渐减小。</w:t>
      </w:r>
    </w:p>
    <w:p w14:paraId="6D9746D7">
      <w:pPr>
        <w:pStyle w:val="51"/>
        <w:rPr>
          <w:color w:val="auto"/>
        </w:rPr>
      </w:pPr>
      <w:r>
        <w:rPr>
          <w:rFonts w:hint="eastAsia"/>
          <w:color w:val="auto"/>
        </w:rPr>
        <w:t>由表4-7可知，当线路周边有民房时，线路与楼房房顶的最小垂直距离需大于4m，根据勾股定理计算可得单回路线路导线与楼房间的净空距离需满足5m的要求；楼房的一层、二层、三层房顶处能满足4000V/m的评价标准要求。</w:t>
      </w:r>
    </w:p>
    <w:p w14:paraId="5F8597B2">
      <w:pPr>
        <w:pStyle w:val="51"/>
        <w:rPr>
          <w:color w:val="auto"/>
          <w:lang w:val="zh-CN"/>
        </w:rPr>
      </w:pPr>
      <w:r>
        <w:rPr>
          <w:rFonts w:hint="eastAsia"/>
          <w:color w:val="auto"/>
        </w:rPr>
        <w:t>综上所述，本次评价升压站和输电线路严格按照以上规定及设计规程架设，其附近的</w:t>
      </w:r>
      <w:r>
        <w:rPr>
          <w:rFonts w:hint="eastAsia"/>
          <w:color w:val="auto"/>
          <w:lang w:val="zh-CN"/>
        </w:rPr>
        <w:t>工频电场、</w:t>
      </w:r>
      <w:r>
        <w:rPr>
          <w:rFonts w:hint="eastAsia"/>
          <w:color w:val="auto"/>
        </w:rPr>
        <w:t>工频磁感应强度不会超过标准限值</w:t>
      </w:r>
      <w:r>
        <w:rPr>
          <w:rFonts w:hint="eastAsia"/>
          <w:color w:val="auto"/>
          <w:lang w:val="zh-CN"/>
        </w:rPr>
        <w:t>。</w:t>
      </w:r>
    </w:p>
    <w:p w14:paraId="23196F97">
      <w:pPr>
        <w:pStyle w:val="3"/>
        <w:rPr>
          <w:color w:val="auto"/>
        </w:rPr>
      </w:pPr>
      <w:bookmarkStart w:id="164" w:name="_Toc85662715"/>
      <w:bookmarkStart w:id="165" w:name="_Toc85662767"/>
      <w:bookmarkStart w:id="166" w:name="_Toc85633952"/>
      <w:r>
        <w:rPr>
          <w:color w:val="auto"/>
        </w:rPr>
        <w:t xml:space="preserve">5.4 </w:t>
      </w:r>
      <w:r>
        <w:rPr>
          <w:rFonts w:hint="eastAsia"/>
          <w:color w:val="auto"/>
        </w:rPr>
        <w:t>评价总结论</w:t>
      </w:r>
      <w:bookmarkEnd w:id="159"/>
      <w:bookmarkEnd w:id="160"/>
      <w:bookmarkEnd w:id="161"/>
      <w:bookmarkEnd w:id="162"/>
      <w:bookmarkEnd w:id="163"/>
      <w:bookmarkEnd w:id="164"/>
      <w:bookmarkEnd w:id="165"/>
      <w:bookmarkEnd w:id="166"/>
    </w:p>
    <w:p w14:paraId="21DACB39">
      <w:pPr>
        <w:pStyle w:val="51"/>
        <w:rPr>
          <w:color w:val="auto"/>
        </w:rPr>
      </w:pPr>
      <w:r>
        <w:rPr>
          <w:rFonts w:hint="eastAsia"/>
          <w:color w:val="auto"/>
        </w:rPr>
        <w:t>综上所述，</w:t>
      </w:r>
      <w:r>
        <w:rPr>
          <w:rFonts w:hint="eastAsia"/>
          <w:color w:val="auto"/>
          <w:lang w:val="zh-CN"/>
        </w:rPr>
        <w:t>华润州来凤台县张集光伏电站项目配套220kV升压站及220kV输电线路项目</w:t>
      </w:r>
      <w:r>
        <w:rPr>
          <w:rFonts w:hint="eastAsia"/>
          <w:color w:val="auto"/>
        </w:rPr>
        <w:t>符合国家产业政策，符合区域总体发展规划和国家的法律法规。运营期，工频电场、工频磁感应强度可以达标，对周围环境的影响符合相关评价标准，从环境影响的角度，本工程的建设是可行的。</w:t>
      </w:r>
    </w:p>
    <w:p w14:paraId="61B31B9A">
      <w:pPr>
        <w:pStyle w:val="51"/>
        <w:rPr>
          <w:color w:val="auto"/>
        </w:rPr>
      </w:pPr>
    </w:p>
    <w:sectPr>
      <w:pgSz w:w="11906" w:h="16838"/>
      <w:pgMar w:top="1418" w:right="1440" w:bottom="1418" w:left="1440" w:header="851" w:footer="85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Courier New">
    <w:panose1 w:val="02070309020205020404"/>
    <w:charset w:val="00"/>
    <w:family w:val="modern"/>
    <w:pitch w:val="default"/>
    <w:sig w:usb0="E0002EFF" w:usb1="C0007843" w:usb2="00000009" w:usb3="00000000" w:csb0="400001FF" w:csb1="FFFF0000"/>
  </w:font>
  <w:font w:name="汉鼎简书宋">
    <w:altName w:val="宋体"/>
    <w:panose1 w:val="00000000000000000000"/>
    <w:charset w:val="86"/>
    <w:family w:val="modern"/>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方正小标宋_GBK">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10" w:usb3="00000000" w:csb0="0004009F" w:csb1="00000000"/>
  </w:font>
  <w:font w:name="华文中宋">
    <w:altName w:val="宋体"/>
    <w:panose1 w:val="02010600040101010101"/>
    <w:charset w:val="86"/>
    <w:family w:val="auto"/>
    <w:pitch w:val="default"/>
    <w:sig w:usb0="00000000" w:usb1="00000000" w:usb2="00000010" w:usb3="00000000" w:csb0="0004009F" w:csb1="00000000"/>
  </w:font>
  <w:font w:name="Arial">
    <w:panose1 w:val="020B0604020202020204"/>
    <w:charset w:val="00"/>
    <w:family w:val="swiss"/>
    <w:pitch w:val="default"/>
    <w:sig w:usb0="E0002E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35E850">
    <w:pPr>
      <w:pStyle w:val="15"/>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84CF8D">
    <w:pPr>
      <w:pStyle w:val="15"/>
      <w:ind w:right="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143510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052733">
                          <w:pPr>
                            <w:pStyle w:val="15"/>
                            <w:rPr>
                              <w:rStyle w:val="28"/>
                              <w:rFonts w:hint="eastAsia" w:ascii="宋体" w:hAnsi="宋体"/>
                            </w:rPr>
                          </w:pPr>
                          <w:r>
                            <w:rPr>
                              <w:rStyle w:val="28"/>
                            </w:rPr>
                            <w:fldChar w:fldCharType="begin"/>
                          </w:r>
                          <w:r>
                            <w:rPr>
                              <w:rStyle w:val="28"/>
                            </w:rPr>
                            <w:instrText xml:space="preserve">PAGE  </w:instrText>
                          </w:r>
                          <w:r>
                            <w:rPr>
                              <w:rStyle w:val="28"/>
                            </w:rPr>
                            <w:fldChar w:fldCharType="separate"/>
                          </w:r>
                          <w:r>
                            <w:rPr>
                              <w:rStyle w:val="28"/>
                            </w:rPr>
                            <w:t>3</w:t>
                          </w:r>
                          <w:r>
                            <w:rPr>
                              <w:rStyle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11.3pt;height:144pt;width:144pt;mso-position-horizontal:center;mso-position-horizontal-relative:margin;mso-wrap-style:none;z-index:251659264;mso-width-relative:page;mso-height-relative:page;" filled="f" stroked="f" coordsize="21600,21600" o:gfxdata="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1rRPrdQAAAAHAQAADwAAAAAAAAABACAAAAAiAAAAZHJzL2Rvd25yZXYueG1sUEsBAhQAFAAA&#10;AAgAh07iQL0O3bcsAgAAVQQAAA4AAAAAAAAAAQAgAAAAIwEAAGRycy9lMm9Eb2MueG1sUEsFBgAA&#10;AAAGAAYAWQEAAMEFAAAAAA==&#10;">
              <v:fill on="f" focussize="0,0"/>
              <v:stroke on="f" weight="0.5pt"/>
              <v:imagedata o:title=""/>
              <o:lock v:ext="edit" aspectratio="f"/>
              <v:textbox inset="0mm,0mm,0mm,0mm" style="mso-fit-shape-to-text:t;">
                <w:txbxContent>
                  <w:p w14:paraId="5D052733">
                    <w:pPr>
                      <w:pStyle w:val="15"/>
                      <w:rPr>
                        <w:rStyle w:val="28"/>
                        <w:rFonts w:hint="eastAsia" w:ascii="宋体" w:hAnsi="宋体"/>
                      </w:rPr>
                    </w:pPr>
                    <w:r>
                      <w:rPr>
                        <w:rStyle w:val="28"/>
                      </w:rPr>
                      <w:fldChar w:fldCharType="begin"/>
                    </w:r>
                    <w:r>
                      <w:rPr>
                        <w:rStyle w:val="28"/>
                      </w:rPr>
                      <w:instrText xml:space="preserve">PAGE  </w:instrText>
                    </w:r>
                    <w:r>
                      <w:rPr>
                        <w:rStyle w:val="28"/>
                      </w:rPr>
                      <w:fldChar w:fldCharType="separate"/>
                    </w:r>
                    <w:r>
                      <w:rPr>
                        <w:rStyle w:val="28"/>
                      </w:rPr>
                      <w:t>3</w:t>
                    </w:r>
                    <w:r>
                      <w:rPr>
                        <w:rStyle w:val="2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CE2A07">
    <w:pPr>
      <w:pStyle w:val="15"/>
      <w:ind w:right="360" w:firstLine="36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143510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78B167">
                          <w:pPr>
                            <w:pStyle w:val="15"/>
                            <w:rPr>
                              <w:rStyle w:val="28"/>
                              <w:rFonts w:hint="eastAsia" w:ascii="宋体" w:hAnsi="宋体"/>
                              <w:sz w:val="28"/>
                              <w:szCs w:val="28"/>
                            </w:rPr>
                          </w:pPr>
                          <w:r>
                            <w:rPr>
                              <w:rStyle w:val="28"/>
                              <w:rFonts w:hint="eastAsia" w:ascii="宋体" w:hAnsi="宋体"/>
                              <w:sz w:val="28"/>
                              <w:szCs w:val="28"/>
                            </w:rPr>
                            <w:t>—</w:t>
                          </w:r>
                          <w:r>
                            <w:rPr>
                              <w:rStyle w:val="28"/>
                              <w:rFonts w:hint="eastAsia" w:ascii="宋体" w:hAnsi="宋体"/>
                              <w:sz w:val="20"/>
                              <w:szCs w:val="20"/>
                            </w:rPr>
                            <w:t xml:space="preserve">  </w:t>
                          </w:r>
                          <w:r>
                            <w:rPr>
                              <w:rStyle w:val="28"/>
                              <w:sz w:val="26"/>
                              <w:szCs w:val="26"/>
                            </w:rPr>
                            <w:fldChar w:fldCharType="begin"/>
                          </w:r>
                          <w:r>
                            <w:rPr>
                              <w:rStyle w:val="28"/>
                              <w:sz w:val="26"/>
                              <w:szCs w:val="26"/>
                            </w:rPr>
                            <w:instrText xml:space="preserve">PAGE  </w:instrText>
                          </w:r>
                          <w:r>
                            <w:rPr>
                              <w:rStyle w:val="28"/>
                              <w:sz w:val="26"/>
                              <w:szCs w:val="26"/>
                            </w:rPr>
                            <w:fldChar w:fldCharType="separate"/>
                          </w:r>
                          <w:r>
                            <w:rPr>
                              <w:rStyle w:val="28"/>
                              <w:sz w:val="26"/>
                              <w:szCs w:val="26"/>
                            </w:rPr>
                            <w:t>22</w:t>
                          </w:r>
                          <w:r>
                            <w:rPr>
                              <w:rStyle w:val="28"/>
                              <w:sz w:val="26"/>
                              <w:szCs w:val="26"/>
                            </w:rPr>
                            <w:fldChar w:fldCharType="end"/>
                          </w:r>
                          <w:r>
                            <w:rPr>
                              <w:rStyle w:val="28"/>
                              <w:rFonts w:hint="eastAsia" w:ascii="宋体" w:hAnsi="宋体"/>
                              <w:sz w:val="20"/>
                              <w:szCs w:val="20"/>
                            </w:rPr>
                            <w:t xml:space="preserve">  </w:t>
                          </w:r>
                          <w:r>
                            <w:rPr>
                              <w:rStyle w:val="28"/>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11.3pt;height:144pt;width:144pt;mso-position-horizontal:center;mso-position-horizontal-relative:margin;mso-wrap-style:none;z-index:251660288;mso-width-relative:page;mso-height-relative:page;" filled="f" stroked="f" coordsize="21600,21600" o:gfxdata="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a0T63UAAAABwEAAA8AAAAAAAAAAQAgAAAAIgAAAGRycy9kb3ducmV2LnhtbFBLAQIUABQAAAAI&#10;AIdO4kAm1VpzKgIAAFUEAAAOAAAAAAAAAAEAIAAAACMBAABkcnMvZTJvRG9jLnhtbFBLBQYAAAAA&#10;BgAGAFkBAAC/BQAAAAA=&#10;">
              <v:fill on="f" focussize="0,0"/>
              <v:stroke on="f" weight="0.5pt"/>
              <v:imagedata o:title=""/>
              <o:lock v:ext="edit" aspectratio="f"/>
              <v:textbox inset="0mm,0mm,0mm,0mm" style="mso-fit-shape-to-text:t;">
                <w:txbxContent>
                  <w:p w14:paraId="6E78B167">
                    <w:pPr>
                      <w:pStyle w:val="15"/>
                      <w:rPr>
                        <w:rStyle w:val="28"/>
                        <w:rFonts w:hint="eastAsia" w:ascii="宋体" w:hAnsi="宋体"/>
                        <w:sz w:val="28"/>
                        <w:szCs w:val="28"/>
                      </w:rPr>
                    </w:pPr>
                    <w:r>
                      <w:rPr>
                        <w:rStyle w:val="28"/>
                        <w:rFonts w:hint="eastAsia" w:ascii="宋体" w:hAnsi="宋体"/>
                        <w:sz w:val="28"/>
                        <w:szCs w:val="28"/>
                      </w:rPr>
                      <w:t>—</w:t>
                    </w:r>
                    <w:r>
                      <w:rPr>
                        <w:rStyle w:val="28"/>
                        <w:rFonts w:hint="eastAsia" w:ascii="宋体" w:hAnsi="宋体"/>
                        <w:sz w:val="20"/>
                        <w:szCs w:val="20"/>
                      </w:rPr>
                      <w:t xml:space="preserve">  </w:t>
                    </w:r>
                    <w:r>
                      <w:rPr>
                        <w:rStyle w:val="28"/>
                        <w:sz w:val="26"/>
                        <w:szCs w:val="26"/>
                      </w:rPr>
                      <w:fldChar w:fldCharType="begin"/>
                    </w:r>
                    <w:r>
                      <w:rPr>
                        <w:rStyle w:val="28"/>
                        <w:sz w:val="26"/>
                        <w:szCs w:val="26"/>
                      </w:rPr>
                      <w:instrText xml:space="preserve">PAGE  </w:instrText>
                    </w:r>
                    <w:r>
                      <w:rPr>
                        <w:rStyle w:val="28"/>
                        <w:sz w:val="26"/>
                        <w:szCs w:val="26"/>
                      </w:rPr>
                      <w:fldChar w:fldCharType="separate"/>
                    </w:r>
                    <w:r>
                      <w:rPr>
                        <w:rStyle w:val="28"/>
                        <w:sz w:val="26"/>
                        <w:szCs w:val="26"/>
                      </w:rPr>
                      <w:t>22</w:t>
                    </w:r>
                    <w:r>
                      <w:rPr>
                        <w:rStyle w:val="28"/>
                        <w:sz w:val="26"/>
                        <w:szCs w:val="26"/>
                      </w:rPr>
                      <w:fldChar w:fldCharType="end"/>
                    </w:r>
                    <w:r>
                      <w:rPr>
                        <w:rStyle w:val="28"/>
                        <w:rFonts w:hint="eastAsia" w:ascii="宋体" w:hAnsi="宋体"/>
                        <w:sz w:val="20"/>
                        <w:szCs w:val="20"/>
                      </w:rPr>
                      <w:t xml:space="preserve">  </w:t>
                    </w:r>
                    <w:r>
                      <w:rPr>
                        <w:rStyle w:val="28"/>
                        <w:rFonts w:hint="eastAsia" w:ascii="宋体" w:hAnsi="宋体"/>
                        <w:sz w:val="28"/>
                        <w:szCs w:val="28"/>
                      </w:rPr>
                      <w:t>—</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8E11AC">
    <w:pPr>
      <w:pStyle w:val="15"/>
      <w:tabs>
        <w:tab w:val="center" w:pos="4156"/>
        <w:tab w:val="right" w:pos="8312"/>
        <w:tab w:val="clear" w:pos="4153"/>
        <w:tab w:val="clear" w:pos="8306"/>
      </w:tabs>
      <w:rPr>
        <w:szCs w:val="2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2D4CFD">
    <w:pPr>
      <w:pStyle w:val="15"/>
      <w:tabs>
        <w:tab w:val="center" w:pos="4156"/>
        <w:tab w:val="right" w:pos="8312"/>
        <w:tab w:val="clear" w:pos="4153"/>
        <w:tab w:val="clear" w:pos="8306"/>
      </w:tabs>
      <w:jc w:val="center"/>
      <w:rPr>
        <w:szCs w:val="24"/>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143510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DF6580">
                          <w:pPr>
                            <w:pStyle w:val="15"/>
                            <w:tabs>
                              <w:tab w:val="center" w:pos="4156"/>
                              <w:tab w:val="right" w:pos="8312"/>
                              <w:tab w:val="clear" w:pos="4153"/>
                              <w:tab w:val="clear" w:pos="8306"/>
                            </w:tabs>
                            <w:jc w:val="center"/>
                          </w:pPr>
                          <w:r>
                            <w:rPr>
                              <w:szCs w:val="24"/>
                            </w:rPr>
                            <w:fldChar w:fldCharType="begin"/>
                          </w:r>
                          <w:r>
                            <w:rPr>
                              <w:szCs w:val="24"/>
                            </w:rPr>
                            <w:instrText xml:space="preserve">PAGE   \* MERGEFORMAT</w:instrText>
                          </w:r>
                          <w:r>
                            <w:rPr>
                              <w:szCs w:val="24"/>
                            </w:rPr>
                            <w:fldChar w:fldCharType="separate"/>
                          </w:r>
                          <w:r>
                            <w:rPr>
                              <w:szCs w:val="24"/>
                              <w:lang w:val="zh-CN"/>
                            </w:rPr>
                            <w:t>2</w:t>
                          </w:r>
                          <w:r>
                            <w:rPr>
                              <w:szCs w:val="24"/>
                              <w:lang w:val="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11.3pt;height:144pt;width:144pt;mso-position-horizontal:center;mso-position-horizontal-relative:margin;mso-wrap-style:none;z-index:251661312;mso-width-relative:page;mso-height-relative:page;" filled="f" stroked="f" coordsize="21600,21600" o:gfxdata="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WtE+t1AAAAAcBAAAPAAAAAAAAAAEAIAAAACIAAABkcnMvZG93bnJldi54bWxQSwECFAAUAAAA&#10;CACHTuJAYpCETCsCAABXBAAADgAAAAAAAAABACAAAAAjAQAAZHJzL2Uyb0RvYy54bWxQSwUGAAAA&#10;AAYABgBZAQAAwAUAAAAA&#10;">
              <v:fill on="f" focussize="0,0"/>
              <v:stroke on="f" weight="0.5pt"/>
              <v:imagedata o:title=""/>
              <o:lock v:ext="edit" aspectratio="f"/>
              <v:textbox inset="0mm,0mm,0mm,0mm" style="mso-fit-shape-to-text:t;">
                <w:txbxContent>
                  <w:p w14:paraId="0EDF6580">
                    <w:pPr>
                      <w:pStyle w:val="15"/>
                      <w:tabs>
                        <w:tab w:val="center" w:pos="4156"/>
                        <w:tab w:val="right" w:pos="8312"/>
                        <w:tab w:val="clear" w:pos="4153"/>
                        <w:tab w:val="clear" w:pos="8306"/>
                      </w:tabs>
                      <w:jc w:val="center"/>
                    </w:pPr>
                    <w:r>
                      <w:rPr>
                        <w:szCs w:val="24"/>
                      </w:rPr>
                      <w:fldChar w:fldCharType="begin"/>
                    </w:r>
                    <w:r>
                      <w:rPr>
                        <w:szCs w:val="24"/>
                      </w:rPr>
                      <w:instrText xml:space="preserve">PAGE   \* MERGEFORMAT</w:instrText>
                    </w:r>
                    <w:r>
                      <w:rPr>
                        <w:szCs w:val="24"/>
                      </w:rPr>
                      <w:fldChar w:fldCharType="separate"/>
                    </w:r>
                    <w:r>
                      <w:rPr>
                        <w:szCs w:val="24"/>
                        <w:lang w:val="zh-CN"/>
                      </w:rPr>
                      <w:t>2</w:t>
                    </w:r>
                    <w:r>
                      <w:rPr>
                        <w:szCs w:val="24"/>
                        <w:lang w:val="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33CE14">
    <w:pPr>
      <w:pStyle w:val="16"/>
      <w:pBdr>
        <w:bottom w:val="none" w:color="auto" w:sz="0" w:space="0"/>
      </w:pBdr>
      <w:rPr>
        <w:sz w:val="16"/>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0A004BB"/>
    <w:multiLevelType w:val="multilevel"/>
    <w:tmpl w:val="10A004BB"/>
    <w:lvl w:ilvl="0" w:tentative="0">
      <w:start w:val="1"/>
      <w:numFmt w:val="decimalEnclosedCircle"/>
      <w:lvlText w:val="%1"/>
      <w:lvlJc w:val="left"/>
      <w:pPr>
        <w:ind w:left="842" w:hanging="360"/>
      </w:pPr>
      <w:rPr>
        <w:rFonts w:hint="default" w:ascii="宋体" w:hAnsi="宋体" w:cs="宋体"/>
      </w:rPr>
    </w:lvl>
    <w:lvl w:ilvl="1" w:tentative="0">
      <w:start w:val="1"/>
      <w:numFmt w:val="lowerLetter"/>
      <w:lvlText w:val="%2)"/>
      <w:lvlJc w:val="left"/>
      <w:pPr>
        <w:ind w:left="1362" w:hanging="440"/>
      </w:pPr>
    </w:lvl>
    <w:lvl w:ilvl="2" w:tentative="0">
      <w:start w:val="1"/>
      <w:numFmt w:val="lowerRoman"/>
      <w:lvlText w:val="%3."/>
      <w:lvlJc w:val="right"/>
      <w:pPr>
        <w:ind w:left="1802" w:hanging="440"/>
      </w:pPr>
    </w:lvl>
    <w:lvl w:ilvl="3" w:tentative="0">
      <w:start w:val="1"/>
      <w:numFmt w:val="decimal"/>
      <w:lvlText w:val="%4."/>
      <w:lvlJc w:val="left"/>
      <w:pPr>
        <w:ind w:left="2242" w:hanging="440"/>
      </w:pPr>
    </w:lvl>
    <w:lvl w:ilvl="4" w:tentative="0">
      <w:start w:val="1"/>
      <w:numFmt w:val="lowerLetter"/>
      <w:lvlText w:val="%5)"/>
      <w:lvlJc w:val="left"/>
      <w:pPr>
        <w:ind w:left="2682" w:hanging="440"/>
      </w:pPr>
    </w:lvl>
    <w:lvl w:ilvl="5" w:tentative="0">
      <w:start w:val="1"/>
      <w:numFmt w:val="lowerRoman"/>
      <w:lvlText w:val="%6."/>
      <w:lvlJc w:val="right"/>
      <w:pPr>
        <w:ind w:left="3122" w:hanging="440"/>
      </w:pPr>
    </w:lvl>
    <w:lvl w:ilvl="6" w:tentative="0">
      <w:start w:val="1"/>
      <w:numFmt w:val="decimal"/>
      <w:lvlText w:val="%7."/>
      <w:lvlJc w:val="left"/>
      <w:pPr>
        <w:ind w:left="3562" w:hanging="440"/>
      </w:pPr>
    </w:lvl>
    <w:lvl w:ilvl="7" w:tentative="0">
      <w:start w:val="1"/>
      <w:numFmt w:val="lowerLetter"/>
      <w:lvlText w:val="%8)"/>
      <w:lvlJc w:val="left"/>
      <w:pPr>
        <w:ind w:left="4002" w:hanging="440"/>
      </w:pPr>
    </w:lvl>
    <w:lvl w:ilvl="8" w:tentative="0">
      <w:start w:val="1"/>
      <w:numFmt w:val="lowerRoman"/>
      <w:lvlText w:val="%9."/>
      <w:lvlJc w:val="right"/>
      <w:pPr>
        <w:ind w:left="4442" w:hanging="440"/>
      </w:pPr>
    </w:lvl>
  </w:abstractNum>
  <w:abstractNum w:abstractNumId="1">
    <w:nsid w:val="19394FB8"/>
    <w:multiLevelType w:val="multilevel"/>
    <w:tmpl w:val="19394FB8"/>
    <w:lvl w:ilvl="0" w:tentative="0">
      <w:start w:val="1"/>
      <w:numFmt w:val="decimalEnclosedCircle"/>
      <w:lvlText w:val="%1"/>
      <w:lvlJc w:val="left"/>
      <w:pPr>
        <w:ind w:left="842" w:hanging="360"/>
      </w:pPr>
      <w:rPr>
        <w:rFonts w:hint="default" w:ascii="宋体" w:hAnsi="宋体" w:cs="宋体"/>
      </w:rPr>
    </w:lvl>
    <w:lvl w:ilvl="1" w:tentative="0">
      <w:start w:val="1"/>
      <w:numFmt w:val="lowerLetter"/>
      <w:lvlText w:val="%2)"/>
      <w:lvlJc w:val="left"/>
      <w:pPr>
        <w:ind w:left="1362" w:hanging="440"/>
      </w:pPr>
    </w:lvl>
    <w:lvl w:ilvl="2" w:tentative="0">
      <w:start w:val="1"/>
      <w:numFmt w:val="lowerRoman"/>
      <w:lvlText w:val="%3."/>
      <w:lvlJc w:val="right"/>
      <w:pPr>
        <w:ind w:left="1802" w:hanging="440"/>
      </w:pPr>
    </w:lvl>
    <w:lvl w:ilvl="3" w:tentative="0">
      <w:start w:val="1"/>
      <w:numFmt w:val="decimal"/>
      <w:lvlText w:val="%4."/>
      <w:lvlJc w:val="left"/>
      <w:pPr>
        <w:ind w:left="2242" w:hanging="440"/>
      </w:pPr>
    </w:lvl>
    <w:lvl w:ilvl="4" w:tentative="0">
      <w:start w:val="1"/>
      <w:numFmt w:val="lowerLetter"/>
      <w:lvlText w:val="%5)"/>
      <w:lvlJc w:val="left"/>
      <w:pPr>
        <w:ind w:left="2682" w:hanging="440"/>
      </w:pPr>
    </w:lvl>
    <w:lvl w:ilvl="5" w:tentative="0">
      <w:start w:val="1"/>
      <w:numFmt w:val="lowerRoman"/>
      <w:lvlText w:val="%6."/>
      <w:lvlJc w:val="right"/>
      <w:pPr>
        <w:ind w:left="3122" w:hanging="440"/>
      </w:pPr>
    </w:lvl>
    <w:lvl w:ilvl="6" w:tentative="0">
      <w:start w:val="1"/>
      <w:numFmt w:val="decimal"/>
      <w:lvlText w:val="%7."/>
      <w:lvlJc w:val="left"/>
      <w:pPr>
        <w:ind w:left="3562" w:hanging="440"/>
      </w:pPr>
    </w:lvl>
    <w:lvl w:ilvl="7" w:tentative="0">
      <w:start w:val="1"/>
      <w:numFmt w:val="lowerLetter"/>
      <w:lvlText w:val="%8)"/>
      <w:lvlJc w:val="left"/>
      <w:pPr>
        <w:ind w:left="4002" w:hanging="440"/>
      </w:pPr>
    </w:lvl>
    <w:lvl w:ilvl="8" w:tentative="0">
      <w:start w:val="1"/>
      <w:numFmt w:val="lowerRoman"/>
      <w:lvlText w:val="%9."/>
      <w:lvlJc w:val="right"/>
      <w:pPr>
        <w:ind w:left="4442" w:hanging="440"/>
      </w:pPr>
    </w:lvl>
  </w:abstractNum>
  <w:abstractNum w:abstractNumId="2">
    <w:nsid w:val="2BE52EE0"/>
    <w:multiLevelType w:val="multilevel"/>
    <w:tmpl w:val="2BE52EE0"/>
    <w:lvl w:ilvl="0" w:tentative="0">
      <w:start w:val="1"/>
      <w:numFmt w:val="decimalEnclosedCircle"/>
      <w:lvlText w:val="%1"/>
      <w:lvlJc w:val="left"/>
      <w:pPr>
        <w:ind w:left="842" w:hanging="360"/>
      </w:pPr>
      <w:rPr>
        <w:rFonts w:hint="default" w:ascii="宋体" w:hAnsi="宋体" w:cs="宋体"/>
      </w:rPr>
    </w:lvl>
    <w:lvl w:ilvl="1" w:tentative="0">
      <w:start w:val="1"/>
      <w:numFmt w:val="lowerLetter"/>
      <w:lvlText w:val="%2)"/>
      <w:lvlJc w:val="left"/>
      <w:pPr>
        <w:ind w:left="1362" w:hanging="440"/>
      </w:pPr>
    </w:lvl>
    <w:lvl w:ilvl="2" w:tentative="0">
      <w:start w:val="1"/>
      <w:numFmt w:val="lowerRoman"/>
      <w:lvlText w:val="%3."/>
      <w:lvlJc w:val="right"/>
      <w:pPr>
        <w:ind w:left="1802" w:hanging="440"/>
      </w:pPr>
    </w:lvl>
    <w:lvl w:ilvl="3" w:tentative="0">
      <w:start w:val="1"/>
      <w:numFmt w:val="decimal"/>
      <w:lvlText w:val="%4."/>
      <w:lvlJc w:val="left"/>
      <w:pPr>
        <w:ind w:left="2242" w:hanging="440"/>
      </w:pPr>
    </w:lvl>
    <w:lvl w:ilvl="4" w:tentative="0">
      <w:start w:val="1"/>
      <w:numFmt w:val="lowerLetter"/>
      <w:lvlText w:val="%5)"/>
      <w:lvlJc w:val="left"/>
      <w:pPr>
        <w:ind w:left="2682" w:hanging="440"/>
      </w:pPr>
    </w:lvl>
    <w:lvl w:ilvl="5" w:tentative="0">
      <w:start w:val="1"/>
      <w:numFmt w:val="lowerRoman"/>
      <w:lvlText w:val="%6."/>
      <w:lvlJc w:val="right"/>
      <w:pPr>
        <w:ind w:left="3122" w:hanging="440"/>
      </w:pPr>
    </w:lvl>
    <w:lvl w:ilvl="6" w:tentative="0">
      <w:start w:val="1"/>
      <w:numFmt w:val="decimal"/>
      <w:lvlText w:val="%7."/>
      <w:lvlJc w:val="left"/>
      <w:pPr>
        <w:ind w:left="3562" w:hanging="440"/>
      </w:pPr>
    </w:lvl>
    <w:lvl w:ilvl="7" w:tentative="0">
      <w:start w:val="1"/>
      <w:numFmt w:val="lowerLetter"/>
      <w:lvlText w:val="%8)"/>
      <w:lvlJc w:val="left"/>
      <w:pPr>
        <w:ind w:left="4002" w:hanging="440"/>
      </w:pPr>
    </w:lvl>
    <w:lvl w:ilvl="8" w:tentative="0">
      <w:start w:val="1"/>
      <w:numFmt w:val="lowerRoman"/>
      <w:lvlText w:val="%9."/>
      <w:lvlJc w:val="right"/>
      <w:pPr>
        <w:ind w:left="4442" w:hanging="44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evenAndOddHeaders w:val="1"/>
  <w:noPunctuationKerning w:val="1"/>
  <w:characterSpacingControl w:val="doNotCompress"/>
  <w:noLineBreaksAfter w:lang="zh-CN" w:val="$([{£¥·‘“〈《「『【〔〖〝﹙﹛﹝＄（．［｛￡￥"/>
  <w:noLineBreaksBefore w:lang="zh-CN" w:val="!%),.:;&gt;?]}¢¨°·ˇˉ―‖’”…‰′″›℃∶、。〃〉》」』】〕〗〞︶︺︾﹀﹄﹚﹜﹞！＂％＇），．：；？］｀｜｝～￠"/>
  <w:compat>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1CED"/>
    <w:rsid w:val="00001E67"/>
    <w:rsid w:val="00001FC2"/>
    <w:rsid w:val="00003CD8"/>
    <w:rsid w:val="00012A0D"/>
    <w:rsid w:val="00014965"/>
    <w:rsid w:val="0001523A"/>
    <w:rsid w:val="00016ECB"/>
    <w:rsid w:val="000269F6"/>
    <w:rsid w:val="00031939"/>
    <w:rsid w:val="000329BD"/>
    <w:rsid w:val="00032D25"/>
    <w:rsid w:val="00041F79"/>
    <w:rsid w:val="00044490"/>
    <w:rsid w:val="0005219D"/>
    <w:rsid w:val="000521B1"/>
    <w:rsid w:val="0005568F"/>
    <w:rsid w:val="00056813"/>
    <w:rsid w:val="0006153D"/>
    <w:rsid w:val="00061B1F"/>
    <w:rsid w:val="00061C7F"/>
    <w:rsid w:val="000664DB"/>
    <w:rsid w:val="00070D8B"/>
    <w:rsid w:val="0007127D"/>
    <w:rsid w:val="00071AE5"/>
    <w:rsid w:val="0007216F"/>
    <w:rsid w:val="00074783"/>
    <w:rsid w:val="000801E0"/>
    <w:rsid w:val="00082A29"/>
    <w:rsid w:val="0008331D"/>
    <w:rsid w:val="00083C18"/>
    <w:rsid w:val="00092899"/>
    <w:rsid w:val="000A178E"/>
    <w:rsid w:val="000A557E"/>
    <w:rsid w:val="000B058F"/>
    <w:rsid w:val="000B693F"/>
    <w:rsid w:val="000B7009"/>
    <w:rsid w:val="000C09AC"/>
    <w:rsid w:val="000C0A63"/>
    <w:rsid w:val="000C40FA"/>
    <w:rsid w:val="000C419D"/>
    <w:rsid w:val="000C437E"/>
    <w:rsid w:val="000C5010"/>
    <w:rsid w:val="000C5D9C"/>
    <w:rsid w:val="000C656D"/>
    <w:rsid w:val="000C701D"/>
    <w:rsid w:val="000D4C5C"/>
    <w:rsid w:val="000E5F16"/>
    <w:rsid w:val="000F4452"/>
    <w:rsid w:val="000F6DA1"/>
    <w:rsid w:val="000F701B"/>
    <w:rsid w:val="00104A8B"/>
    <w:rsid w:val="001056A0"/>
    <w:rsid w:val="001069FC"/>
    <w:rsid w:val="001135BF"/>
    <w:rsid w:val="00115279"/>
    <w:rsid w:val="00117459"/>
    <w:rsid w:val="0011749A"/>
    <w:rsid w:val="00117C9C"/>
    <w:rsid w:val="00123E88"/>
    <w:rsid w:val="00124A1A"/>
    <w:rsid w:val="00127A68"/>
    <w:rsid w:val="00134523"/>
    <w:rsid w:val="00135254"/>
    <w:rsid w:val="00140B13"/>
    <w:rsid w:val="00141B68"/>
    <w:rsid w:val="001466DA"/>
    <w:rsid w:val="00154DE1"/>
    <w:rsid w:val="00155B40"/>
    <w:rsid w:val="00157435"/>
    <w:rsid w:val="00163EEA"/>
    <w:rsid w:val="00164B1D"/>
    <w:rsid w:val="00167A07"/>
    <w:rsid w:val="00167B3F"/>
    <w:rsid w:val="0017046A"/>
    <w:rsid w:val="001704A3"/>
    <w:rsid w:val="00172A27"/>
    <w:rsid w:val="001747E3"/>
    <w:rsid w:val="0017504D"/>
    <w:rsid w:val="001769BA"/>
    <w:rsid w:val="00177422"/>
    <w:rsid w:val="00180134"/>
    <w:rsid w:val="0018466D"/>
    <w:rsid w:val="00184F10"/>
    <w:rsid w:val="00185546"/>
    <w:rsid w:val="0019146B"/>
    <w:rsid w:val="00194398"/>
    <w:rsid w:val="001A3B4B"/>
    <w:rsid w:val="001A7D2A"/>
    <w:rsid w:val="001B574C"/>
    <w:rsid w:val="001B5851"/>
    <w:rsid w:val="001B5DA2"/>
    <w:rsid w:val="001C0AF9"/>
    <w:rsid w:val="001C155A"/>
    <w:rsid w:val="001C48C0"/>
    <w:rsid w:val="001D6726"/>
    <w:rsid w:val="001E6A66"/>
    <w:rsid w:val="001F3347"/>
    <w:rsid w:val="001F4440"/>
    <w:rsid w:val="001F69E4"/>
    <w:rsid w:val="002006D8"/>
    <w:rsid w:val="00201254"/>
    <w:rsid w:val="00204141"/>
    <w:rsid w:val="00206A65"/>
    <w:rsid w:val="002122DB"/>
    <w:rsid w:val="00212D31"/>
    <w:rsid w:val="002130C7"/>
    <w:rsid w:val="002218A8"/>
    <w:rsid w:val="0022306D"/>
    <w:rsid w:val="00226574"/>
    <w:rsid w:val="002268CD"/>
    <w:rsid w:val="002278EC"/>
    <w:rsid w:val="002357C7"/>
    <w:rsid w:val="002367C4"/>
    <w:rsid w:val="0025679E"/>
    <w:rsid w:val="00260C68"/>
    <w:rsid w:val="002611D2"/>
    <w:rsid w:val="002648B0"/>
    <w:rsid w:val="00275271"/>
    <w:rsid w:val="0027535E"/>
    <w:rsid w:val="00275AA6"/>
    <w:rsid w:val="002807D5"/>
    <w:rsid w:val="00282CCD"/>
    <w:rsid w:val="00291EF7"/>
    <w:rsid w:val="002944AF"/>
    <w:rsid w:val="002A1330"/>
    <w:rsid w:val="002A168C"/>
    <w:rsid w:val="002A2C48"/>
    <w:rsid w:val="002A3EED"/>
    <w:rsid w:val="002A4A39"/>
    <w:rsid w:val="002A5A17"/>
    <w:rsid w:val="002A6425"/>
    <w:rsid w:val="002B10BC"/>
    <w:rsid w:val="002B1D2F"/>
    <w:rsid w:val="002B49E2"/>
    <w:rsid w:val="002B4F94"/>
    <w:rsid w:val="002B7B00"/>
    <w:rsid w:val="002B7C44"/>
    <w:rsid w:val="002C1388"/>
    <w:rsid w:val="002C33EB"/>
    <w:rsid w:val="002C3C14"/>
    <w:rsid w:val="002C3C6A"/>
    <w:rsid w:val="002D2951"/>
    <w:rsid w:val="002D3516"/>
    <w:rsid w:val="002D42DB"/>
    <w:rsid w:val="002D5244"/>
    <w:rsid w:val="002E1D6C"/>
    <w:rsid w:val="002E1F3A"/>
    <w:rsid w:val="002E298A"/>
    <w:rsid w:val="002E626B"/>
    <w:rsid w:val="002F02A4"/>
    <w:rsid w:val="002F272B"/>
    <w:rsid w:val="002F7C6D"/>
    <w:rsid w:val="003027E4"/>
    <w:rsid w:val="0030332C"/>
    <w:rsid w:val="00312296"/>
    <w:rsid w:val="0031340E"/>
    <w:rsid w:val="00316464"/>
    <w:rsid w:val="0032073A"/>
    <w:rsid w:val="00321D8E"/>
    <w:rsid w:val="0033198B"/>
    <w:rsid w:val="00331DBA"/>
    <w:rsid w:val="00334996"/>
    <w:rsid w:val="00336969"/>
    <w:rsid w:val="00336C52"/>
    <w:rsid w:val="00337176"/>
    <w:rsid w:val="00341B3E"/>
    <w:rsid w:val="00341B42"/>
    <w:rsid w:val="003425C4"/>
    <w:rsid w:val="00345154"/>
    <w:rsid w:val="00345437"/>
    <w:rsid w:val="0034560E"/>
    <w:rsid w:val="00350523"/>
    <w:rsid w:val="00352975"/>
    <w:rsid w:val="00356868"/>
    <w:rsid w:val="00357172"/>
    <w:rsid w:val="0036485B"/>
    <w:rsid w:val="00373385"/>
    <w:rsid w:val="00373B0D"/>
    <w:rsid w:val="00376988"/>
    <w:rsid w:val="00381A72"/>
    <w:rsid w:val="00394DF0"/>
    <w:rsid w:val="0039702B"/>
    <w:rsid w:val="003A1948"/>
    <w:rsid w:val="003B152A"/>
    <w:rsid w:val="003B545B"/>
    <w:rsid w:val="003B66C8"/>
    <w:rsid w:val="003C5999"/>
    <w:rsid w:val="003D3EE9"/>
    <w:rsid w:val="003E7681"/>
    <w:rsid w:val="003F0809"/>
    <w:rsid w:val="003F611C"/>
    <w:rsid w:val="003F6FCB"/>
    <w:rsid w:val="003F755C"/>
    <w:rsid w:val="00406F01"/>
    <w:rsid w:val="00411B36"/>
    <w:rsid w:val="004121D7"/>
    <w:rsid w:val="004125ED"/>
    <w:rsid w:val="00416BB9"/>
    <w:rsid w:val="00416D50"/>
    <w:rsid w:val="00417772"/>
    <w:rsid w:val="00420E6A"/>
    <w:rsid w:val="004242D6"/>
    <w:rsid w:val="00424745"/>
    <w:rsid w:val="00433CA9"/>
    <w:rsid w:val="0043521D"/>
    <w:rsid w:val="00442024"/>
    <w:rsid w:val="0044254C"/>
    <w:rsid w:val="00443F6A"/>
    <w:rsid w:val="00447CBA"/>
    <w:rsid w:val="00450A17"/>
    <w:rsid w:val="0045299A"/>
    <w:rsid w:val="00457DFF"/>
    <w:rsid w:val="0046159B"/>
    <w:rsid w:val="00466321"/>
    <w:rsid w:val="004672AF"/>
    <w:rsid w:val="004727B0"/>
    <w:rsid w:val="0047310D"/>
    <w:rsid w:val="004739C8"/>
    <w:rsid w:val="00473F7A"/>
    <w:rsid w:val="0047526C"/>
    <w:rsid w:val="00480247"/>
    <w:rsid w:val="0048081D"/>
    <w:rsid w:val="0048117E"/>
    <w:rsid w:val="00482871"/>
    <w:rsid w:val="004855F6"/>
    <w:rsid w:val="00486F0C"/>
    <w:rsid w:val="00494670"/>
    <w:rsid w:val="004A0EB4"/>
    <w:rsid w:val="004A1450"/>
    <w:rsid w:val="004A2CF9"/>
    <w:rsid w:val="004A3823"/>
    <w:rsid w:val="004A59BB"/>
    <w:rsid w:val="004B118A"/>
    <w:rsid w:val="004B43A3"/>
    <w:rsid w:val="004B4C49"/>
    <w:rsid w:val="004B58A5"/>
    <w:rsid w:val="004B63D9"/>
    <w:rsid w:val="004B645A"/>
    <w:rsid w:val="004C0882"/>
    <w:rsid w:val="004C0FB8"/>
    <w:rsid w:val="004C55BE"/>
    <w:rsid w:val="004C76D7"/>
    <w:rsid w:val="004D4A37"/>
    <w:rsid w:val="004E2D93"/>
    <w:rsid w:val="004E5B30"/>
    <w:rsid w:val="004E74E9"/>
    <w:rsid w:val="004F0779"/>
    <w:rsid w:val="004F1230"/>
    <w:rsid w:val="004F173F"/>
    <w:rsid w:val="004F177C"/>
    <w:rsid w:val="004F2DCE"/>
    <w:rsid w:val="004F47CA"/>
    <w:rsid w:val="004F67F7"/>
    <w:rsid w:val="004F75F0"/>
    <w:rsid w:val="005039CB"/>
    <w:rsid w:val="00505100"/>
    <w:rsid w:val="0050558F"/>
    <w:rsid w:val="005057E0"/>
    <w:rsid w:val="00506286"/>
    <w:rsid w:val="00510813"/>
    <w:rsid w:val="00511DE0"/>
    <w:rsid w:val="005141BE"/>
    <w:rsid w:val="0051468E"/>
    <w:rsid w:val="005151EE"/>
    <w:rsid w:val="00517F02"/>
    <w:rsid w:val="0052374F"/>
    <w:rsid w:val="00524547"/>
    <w:rsid w:val="005258A2"/>
    <w:rsid w:val="00530F7C"/>
    <w:rsid w:val="00534567"/>
    <w:rsid w:val="0053491A"/>
    <w:rsid w:val="00534F43"/>
    <w:rsid w:val="00535A84"/>
    <w:rsid w:val="00535CD5"/>
    <w:rsid w:val="00536889"/>
    <w:rsid w:val="005421FD"/>
    <w:rsid w:val="00542E07"/>
    <w:rsid w:val="0054408D"/>
    <w:rsid w:val="00554A7B"/>
    <w:rsid w:val="005550BA"/>
    <w:rsid w:val="0055572C"/>
    <w:rsid w:val="0056064F"/>
    <w:rsid w:val="00561B84"/>
    <w:rsid w:val="00562A80"/>
    <w:rsid w:val="00571D98"/>
    <w:rsid w:val="005720AE"/>
    <w:rsid w:val="0058030D"/>
    <w:rsid w:val="00582045"/>
    <w:rsid w:val="00590A16"/>
    <w:rsid w:val="00590AE3"/>
    <w:rsid w:val="005918F1"/>
    <w:rsid w:val="005A06B7"/>
    <w:rsid w:val="005A1759"/>
    <w:rsid w:val="005A281C"/>
    <w:rsid w:val="005A4594"/>
    <w:rsid w:val="005C01CE"/>
    <w:rsid w:val="005C6109"/>
    <w:rsid w:val="005D0369"/>
    <w:rsid w:val="005D18C4"/>
    <w:rsid w:val="005D53FE"/>
    <w:rsid w:val="005D59A5"/>
    <w:rsid w:val="005D7A0F"/>
    <w:rsid w:val="005E0438"/>
    <w:rsid w:val="005E1791"/>
    <w:rsid w:val="005E2CE6"/>
    <w:rsid w:val="005E56AD"/>
    <w:rsid w:val="005E6324"/>
    <w:rsid w:val="005F228B"/>
    <w:rsid w:val="005F29CD"/>
    <w:rsid w:val="005F421C"/>
    <w:rsid w:val="005F4742"/>
    <w:rsid w:val="005F4DFB"/>
    <w:rsid w:val="005F6CC0"/>
    <w:rsid w:val="005F7093"/>
    <w:rsid w:val="005F723A"/>
    <w:rsid w:val="00603E5B"/>
    <w:rsid w:val="00604916"/>
    <w:rsid w:val="00604BC8"/>
    <w:rsid w:val="00607558"/>
    <w:rsid w:val="0061545C"/>
    <w:rsid w:val="00615B4C"/>
    <w:rsid w:val="00615B5D"/>
    <w:rsid w:val="0062146F"/>
    <w:rsid w:val="0062256C"/>
    <w:rsid w:val="00626AD4"/>
    <w:rsid w:val="006321E5"/>
    <w:rsid w:val="006343AF"/>
    <w:rsid w:val="00636338"/>
    <w:rsid w:val="0063634A"/>
    <w:rsid w:val="0063733E"/>
    <w:rsid w:val="0064250D"/>
    <w:rsid w:val="006535EB"/>
    <w:rsid w:val="00656339"/>
    <w:rsid w:val="00657F52"/>
    <w:rsid w:val="00663016"/>
    <w:rsid w:val="00674605"/>
    <w:rsid w:val="006748B8"/>
    <w:rsid w:val="0068535B"/>
    <w:rsid w:val="0068736E"/>
    <w:rsid w:val="0069290A"/>
    <w:rsid w:val="00697032"/>
    <w:rsid w:val="006975AC"/>
    <w:rsid w:val="006A15FB"/>
    <w:rsid w:val="006A72BF"/>
    <w:rsid w:val="006B332A"/>
    <w:rsid w:val="006B33BD"/>
    <w:rsid w:val="006C3F75"/>
    <w:rsid w:val="006C5F9A"/>
    <w:rsid w:val="006C7FB8"/>
    <w:rsid w:val="006D170E"/>
    <w:rsid w:val="006D185A"/>
    <w:rsid w:val="006E06AF"/>
    <w:rsid w:val="006E1B1A"/>
    <w:rsid w:val="006F01A7"/>
    <w:rsid w:val="006F1789"/>
    <w:rsid w:val="006F234D"/>
    <w:rsid w:val="006F2B1C"/>
    <w:rsid w:val="006F4A48"/>
    <w:rsid w:val="006F501B"/>
    <w:rsid w:val="00706493"/>
    <w:rsid w:val="00706C5D"/>
    <w:rsid w:val="007118E6"/>
    <w:rsid w:val="00713F20"/>
    <w:rsid w:val="00715F8E"/>
    <w:rsid w:val="00722514"/>
    <w:rsid w:val="007225C9"/>
    <w:rsid w:val="00722FC0"/>
    <w:rsid w:val="007357B8"/>
    <w:rsid w:val="00735CD7"/>
    <w:rsid w:val="007421BA"/>
    <w:rsid w:val="00754034"/>
    <w:rsid w:val="007542D2"/>
    <w:rsid w:val="00754BF1"/>
    <w:rsid w:val="00755A30"/>
    <w:rsid w:val="00755E1C"/>
    <w:rsid w:val="00756556"/>
    <w:rsid w:val="0076132B"/>
    <w:rsid w:val="007623AE"/>
    <w:rsid w:val="00762A1D"/>
    <w:rsid w:val="00770B19"/>
    <w:rsid w:val="00774FA0"/>
    <w:rsid w:val="00776620"/>
    <w:rsid w:val="00777B6D"/>
    <w:rsid w:val="00784855"/>
    <w:rsid w:val="00784F39"/>
    <w:rsid w:val="0078545C"/>
    <w:rsid w:val="007906C4"/>
    <w:rsid w:val="0079319D"/>
    <w:rsid w:val="007940EA"/>
    <w:rsid w:val="007967E8"/>
    <w:rsid w:val="007A63F2"/>
    <w:rsid w:val="007B4A9C"/>
    <w:rsid w:val="007B68DE"/>
    <w:rsid w:val="007C10E6"/>
    <w:rsid w:val="007C1857"/>
    <w:rsid w:val="007C514F"/>
    <w:rsid w:val="007D0F95"/>
    <w:rsid w:val="007D2E84"/>
    <w:rsid w:val="007D7ECB"/>
    <w:rsid w:val="007E0F95"/>
    <w:rsid w:val="007E1246"/>
    <w:rsid w:val="007E25A1"/>
    <w:rsid w:val="007E467E"/>
    <w:rsid w:val="007E4BD2"/>
    <w:rsid w:val="007E7145"/>
    <w:rsid w:val="007F3916"/>
    <w:rsid w:val="007F6F40"/>
    <w:rsid w:val="007F72FA"/>
    <w:rsid w:val="008003A6"/>
    <w:rsid w:val="00801179"/>
    <w:rsid w:val="00802479"/>
    <w:rsid w:val="0080256F"/>
    <w:rsid w:val="00805372"/>
    <w:rsid w:val="00805B7B"/>
    <w:rsid w:val="0081006C"/>
    <w:rsid w:val="0081293E"/>
    <w:rsid w:val="00814FFB"/>
    <w:rsid w:val="00815BE5"/>
    <w:rsid w:val="00820568"/>
    <w:rsid w:val="00821189"/>
    <w:rsid w:val="00822B34"/>
    <w:rsid w:val="00825E5C"/>
    <w:rsid w:val="00831A80"/>
    <w:rsid w:val="008327EC"/>
    <w:rsid w:val="008332C8"/>
    <w:rsid w:val="00833743"/>
    <w:rsid w:val="008340A4"/>
    <w:rsid w:val="00834C12"/>
    <w:rsid w:val="00835BAE"/>
    <w:rsid w:val="00836799"/>
    <w:rsid w:val="00837028"/>
    <w:rsid w:val="00837131"/>
    <w:rsid w:val="008429AB"/>
    <w:rsid w:val="00845F57"/>
    <w:rsid w:val="008521E0"/>
    <w:rsid w:val="008525B0"/>
    <w:rsid w:val="0086051C"/>
    <w:rsid w:val="0086441B"/>
    <w:rsid w:val="00867CBC"/>
    <w:rsid w:val="00876C30"/>
    <w:rsid w:val="00877017"/>
    <w:rsid w:val="008773C0"/>
    <w:rsid w:val="00880364"/>
    <w:rsid w:val="008851D4"/>
    <w:rsid w:val="00886C4C"/>
    <w:rsid w:val="0088711C"/>
    <w:rsid w:val="00892ECF"/>
    <w:rsid w:val="00892F06"/>
    <w:rsid w:val="00894285"/>
    <w:rsid w:val="008A40AE"/>
    <w:rsid w:val="008A4E19"/>
    <w:rsid w:val="008A67C5"/>
    <w:rsid w:val="008B149B"/>
    <w:rsid w:val="008B22E1"/>
    <w:rsid w:val="008B3C78"/>
    <w:rsid w:val="008B46E2"/>
    <w:rsid w:val="008B4AE9"/>
    <w:rsid w:val="008B4D8B"/>
    <w:rsid w:val="008B630A"/>
    <w:rsid w:val="008B6A1B"/>
    <w:rsid w:val="008C30AD"/>
    <w:rsid w:val="008D068E"/>
    <w:rsid w:val="008D0F7A"/>
    <w:rsid w:val="008D4F83"/>
    <w:rsid w:val="008D63BE"/>
    <w:rsid w:val="008E0CFF"/>
    <w:rsid w:val="008E108A"/>
    <w:rsid w:val="008E5D6B"/>
    <w:rsid w:val="008E689B"/>
    <w:rsid w:val="008E6E58"/>
    <w:rsid w:val="008E76F0"/>
    <w:rsid w:val="008E7CFE"/>
    <w:rsid w:val="008F15FE"/>
    <w:rsid w:val="008F1D24"/>
    <w:rsid w:val="008F2A94"/>
    <w:rsid w:val="008F3E00"/>
    <w:rsid w:val="008F5187"/>
    <w:rsid w:val="008F709C"/>
    <w:rsid w:val="0090312B"/>
    <w:rsid w:val="00904961"/>
    <w:rsid w:val="0091171C"/>
    <w:rsid w:val="0091418D"/>
    <w:rsid w:val="0091736D"/>
    <w:rsid w:val="009272AB"/>
    <w:rsid w:val="00931001"/>
    <w:rsid w:val="00931863"/>
    <w:rsid w:val="00932CC0"/>
    <w:rsid w:val="009334C0"/>
    <w:rsid w:val="00933524"/>
    <w:rsid w:val="00934D45"/>
    <w:rsid w:val="0094278D"/>
    <w:rsid w:val="0095017E"/>
    <w:rsid w:val="0095113F"/>
    <w:rsid w:val="0095308A"/>
    <w:rsid w:val="00955AEE"/>
    <w:rsid w:val="00956F14"/>
    <w:rsid w:val="009620FD"/>
    <w:rsid w:val="0096247A"/>
    <w:rsid w:val="00965F4B"/>
    <w:rsid w:val="00970F8A"/>
    <w:rsid w:val="00971FB5"/>
    <w:rsid w:val="0097213F"/>
    <w:rsid w:val="00972D2A"/>
    <w:rsid w:val="00975CC5"/>
    <w:rsid w:val="00976328"/>
    <w:rsid w:val="00976B4E"/>
    <w:rsid w:val="00981600"/>
    <w:rsid w:val="00983E51"/>
    <w:rsid w:val="00984458"/>
    <w:rsid w:val="00984A7C"/>
    <w:rsid w:val="00985283"/>
    <w:rsid w:val="00987322"/>
    <w:rsid w:val="00987DEA"/>
    <w:rsid w:val="0099224F"/>
    <w:rsid w:val="00995F6D"/>
    <w:rsid w:val="009A0EE7"/>
    <w:rsid w:val="009A0F3B"/>
    <w:rsid w:val="009A3672"/>
    <w:rsid w:val="009A72C7"/>
    <w:rsid w:val="009A7A4A"/>
    <w:rsid w:val="009B0897"/>
    <w:rsid w:val="009B7C1E"/>
    <w:rsid w:val="009C50DB"/>
    <w:rsid w:val="009D0852"/>
    <w:rsid w:val="009D1FBF"/>
    <w:rsid w:val="009D2DB2"/>
    <w:rsid w:val="009E022E"/>
    <w:rsid w:val="009E2AF2"/>
    <w:rsid w:val="009E399C"/>
    <w:rsid w:val="009E43C1"/>
    <w:rsid w:val="009E553C"/>
    <w:rsid w:val="009E7E95"/>
    <w:rsid w:val="009F116F"/>
    <w:rsid w:val="009F241F"/>
    <w:rsid w:val="009F329E"/>
    <w:rsid w:val="009F7ED3"/>
    <w:rsid w:val="00A03607"/>
    <w:rsid w:val="00A047FF"/>
    <w:rsid w:val="00A04FEF"/>
    <w:rsid w:val="00A122CD"/>
    <w:rsid w:val="00A12A32"/>
    <w:rsid w:val="00A134D5"/>
    <w:rsid w:val="00A14248"/>
    <w:rsid w:val="00A14947"/>
    <w:rsid w:val="00A21373"/>
    <w:rsid w:val="00A23DC5"/>
    <w:rsid w:val="00A27D8F"/>
    <w:rsid w:val="00A34028"/>
    <w:rsid w:val="00A35568"/>
    <w:rsid w:val="00A36697"/>
    <w:rsid w:val="00A37056"/>
    <w:rsid w:val="00A40C21"/>
    <w:rsid w:val="00A4358F"/>
    <w:rsid w:val="00A46DCB"/>
    <w:rsid w:val="00A46F67"/>
    <w:rsid w:val="00A5095C"/>
    <w:rsid w:val="00A5361A"/>
    <w:rsid w:val="00A54AA1"/>
    <w:rsid w:val="00A568C2"/>
    <w:rsid w:val="00A568FF"/>
    <w:rsid w:val="00A61496"/>
    <w:rsid w:val="00A61833"/>
    <w:rsid w:val="00A624C6"/>
    <w:rsid w:val="00A63CEC"/>
    <w:rsid w:val="00A63DEA"/>
    <w:rsid w:val="00A7031E"/>
    <w:rsid w:val="00A728B1"/>
    <w:rsid w:val="00A763DE"/>
    <w:rsid w:val="00A803D6"/>
    <w:rsid w:val="00A81064"/>
    <w:rsid w:val="00A81282"/>
    <w:rsid w:val="00A81C43"/>
    <w:rsid w:val="00A86115"/>
    <w:rsid w:val="00A8713F"/>
    <w:rsid w:val="00A91167"/>
    <w:rsid w:val="00A9171C"/>
    <w:rsid w:val="00A92FFD"/>
    <w:rsid w:val="00A95975"/>
    <w:rsid w:val="00A9708D"/>
    <w:rsid w:val="00AA2405"/>
    <w:rsid w:val="00AA2C17"/>
    <w:rsid w:val="00AA4172"/>
    <w:rsid w:val="00AB0D6E"/>
    <w:rsid w:val="00AB1914"/>
    <w:rsid w:val="00AB5330"/>
    <w:rsid w:val="00AB7747"/>
    <w:rsid w:val="00AC1B32"/>
    <w:rsid w:val="00AC2532"/>
    <w:rsid w:val="00AD1507"/>
    <w:rsid w:val="00AD5A70"/>
    <w:rsid w:val="00AD738B"/>
    <w:rsid w:val="00AE1BF4"/>
    <w:rsid w:val="00AE5D97"/>
    <w:rsid w:val="00AE6794"/>
    <w:rsid w:val="00AF292D"/>
    <w:rsid w:val="00AF779A"/>
    <w:rsid w:val="00B01110"/>
    <w:rsid w:val="00B02262"/>
    <w:rsid w:val="00B03CEC"/>
    <w:rsid w:val="00B0526F"/>
    <w:rsid w:val="00B1209F"/>
    <w:rsid w:val="00B12AD0"/>
    <w:rsid w:val="00B142A1"/>
    <w:rsid w:val="00B2121F"/>
    <w:rsid w:val="00B220A7"/>
    <w:rsid w:val="00B248E3"/>
    <w:rsid w:val="00B24F30"/>
    <w:rsid w:val="00B31ABF"/>
    <w:rsid w:val="00B322D6"/>
    <w:rsid w:val="00B335AE"/>
    <w:rsid w:val="00B37CE1"/>
    <w:rsid w:val="00B40ACF"/>
    <w:rsid w:val="00B40F93"/>
    <w:rsid w:val="00B46BAA"/>
    <w:rsid w:val="00B50B5F"/>
    <w:rsid w:val="00B54128"/>
    <w:rsid w:val="00B55826"/>
    <w:rsid w:val="00B55A58"/>
    <w:rsid w:val="00B60426"/>
    <w:rsid w:val="00B61837"/>
    <w:rsid w:val="00B622DD"/>
    <w:rsid w:val="00B63522"/>
    <w:rsid w:val="00B63B04"/>
    <w:rsid w:val="00B66C66"/>
    <w:rsid w:val="00B7647C"/>
    <w:rsid w:val="00B76F1D"/>
    <w:rsid w:val="00B867F5"/>
    <w:rsid w:val="00B869B2"/>
    <w:rsid w:val="00B87FD5"/>
    <w:rsid w:val="00B92A19"/>
    <w:rsid w:val="00B9544C"/>
    <w:rsid w:val="00BA29E9"/>
    <w:rsid w:val="00BB3462"/>
    <w:rsid w:val="00BB3618"/>
    <w:rsid w:val="00BC0C9E"/>
    <w:rsid w:val="00BC32DC"/>
    <w:rsid w:val="00BD1B51"/>
    <w:rsid w:val="00BD1D7D"/>
    <w:rsid w:val="00BD47F6"/>
    <w:rsid w:val="00BD65E3"/>
    <w:rsid w:val="00BE312D"/>
    <w:rsid w:val="00BE3FCA"/>
    <w:rsid w:val="00BF2873"/>
    <w:rsid w:val="00C02CD7"/>
    <w:rsid w:val="00C05719"/>
    <w:rsid w:val="00C067FF"/>
    <w:rsid w:val="00C10578"/>
    <w:rsid w:val="00C12EBC"/>
    <w:rsid w:val="00C17D62"/>
    <w:rsid w:val="00C21FDC"/>
    <w:rsid w:val="00C24EE7"/>
    <w:rsid w:val="00C2596A"/>
    <w:rsid w:val="00C271BE"/>
    <w:rsid w:val="00C27425"/>
    <w:rsid w:val="00C328FE"/>
    <w:rsid w:val="00C32A6D"/>
    <w:rsid w:val="00C32CBC"/>
    <w:rsid w:val="00C33A05"/>
    <w:rsid w:val="00C42500"/>
    <w:rsid w:val="00C4409D"/>
    <w:rsid w:val="00C455BE"/>
    <w:rsid w:val="00C51E5F"/>
    <w:rsid w:val="00C56ABD"/>
    <w:rsid w:val="00C61E4B"/>
    <w:rsid w:val="00C62738"/>
    <w:rsid w:val="00C62E3A"/>
    <w:rsid w:val="00C64503"/>
    <w:rsid w:val="00C64A1F"/>
    <w:rsid w:val="00C64BFF"/>
    <w:rsid w:val="00C64E90"/>
    <w:rsid w:val="00C75B04"/>
    <w:rsid w:val="00C763C9"/>
    <w:rsid w:val="00C80057"/>
    <w:rsid w:val="00C82C79"/>
    <w:rsid w:val="00C84753"/>
    <w:rsid w:val="00C91611"/>
    <w:rsid w:val="00C97CC2"/>
    <w:rsid w:val="00CA3585"/>
    <w:rsid w:val="00CA3D5A"/>
    <w:rsid w:val="00CA47F6"/>
    <w:rsid w:val="00CA4C7C"/>
    <w:rsid w:val="00CA5AD0"/>
    <w:rsid w:val="00CA7182"/>
    <w:rsid w:val="00CB0183"/>
    <w:rsid w:val="00CB1EA3"/>
    <w:rsid w:val="00CB552C"/>
    <w:rsid w:val="00CB6A9E"/>
    <w:rsid w:val="00CC6181"/>
    <w:rsid w:val="00CD0941"/>
    <w:rsid w:val="00CD2BCD"/>
    <w:rsid w:val="00CD36AA"/>
    <w:rsid w:val="00CD3791"/>
    <w:rsid w:val="00CD65B0"/>
    <w:rsid w:val="00CE02CD"/>
    <w:rsid w:val="00CE10E9"/>
    <w:rsid w:val="00CF6F52"/>
    <w:rsid w:val="00D0072E"/>
    <w:rsid w:val="00D00940"/>
    <w:rsid w:val="00D05D96"/>
    <w:rsid w:val="00D15727"/>
    <w:rsid w:val="00D16332"/>
    <w:rsid w:val="00D23515"/>
    <w:rsid w:val="00D24972"/>
    <w:rsid w:val="00D24EEE"/>
    <w:rsid w:val="00D2515E"/>
    <w:rsid w:val="00D308ED"/>
    <w:rsid w:val="00D56178"/>
    <w:rsid w:val="00D56CF0"/>
    <w:rsid w:val="00D56F5C"/>
    <w:rsid w:val="00D669EE"/>
    <w:rsid w:val="00D704B1"/>
    <w:rsid w:val="00D70B63"/>
    <w:rsid w:val="00D71698"/>
    <w:rsid w:val="00D72B92"/>
    <w:rsid w:val="00D72ED4"/>
    <w:rsid w:val="00D73F61"/>
    <w:rsid w:val="00D754C0"/>
    <w:rsid w:val="00D776A2"/>
    <w:rsid w:val="00D801C4"/>
    <w:rsid w:val="00D90836"/>
    <w:rsid w:val="00D95896"/>
    <w:rsid w:val="00D95CC6"/>
    <w:rsid w:val="00D96AA1"/>
    <w:rsid w:val="00DA2DA3"/>
    <w:rsid w:val="00DA3CCB"/>
    <w:rsid w:val="00DA6615"/>
    <w:rsid w:val="00DA76AE"/>
    <w:rsid w:val="00DB181E"/>
    <w:rsid w:val="00DB1C7A"/>
    <w:rsid w:val="00DB1DF0"/>
    <w:rsid w:val="00DB2983"/>
    <w:rsid w:val="00DB343D"/>
    <w:rsid w:val="00DB5579"/>
    <w:rsid w:val="00DB5CFE"/>
    <w:rsid w:val="00DC72A6"/>
    <w:rsid w:val="00DD2113"/>
    <w:rsid w:val="00DD265E"/>
    <w:rsid w:val="00DD7079"/>
    <w:rsid w:val="00DE3A43"/>
    <w:rsid w:val="00DE676F"/>
    <w:rsid w:val="00DF1930"/>
    <w:rsid w:val="00DF1F7F"/>
    <w:rsid w:val="00DF514A"/>
    <w:rsid w:val="00DF52AD"/>
    <w:rsid w:val="00E007A1"/>
    <w:rsid w:val="00E01629"/>
    <w:rsid w:val="00E01766"/>
    <w:rsid w:val="00E0358D"/>
    <w:rsid w:val="00E03E46"/>
    <w:rsid w:val="00E06327"/>
    <w:rsid w:val="00E06C15"/>
    <w:rsid w:val="00E122E9"/>
    <w:rsid w:val="00E2064B"/>
    <w:rsid w:val="00E239ED"/>
    <w:rsid w:val="00E25239"/>
    <w:rsid w:val="00E265B1"/>
    <w:rsid w:val="00E275B0"/>
    <w:rsid w:val="00E31FAD"/>
    <w:rsid w:val="00E406C9"/>
    <w:rsid w:val="00E412D0"/>
    <w:rsid w:val="00E421D3"/>
    <w:rsid w:val="00E453D0"/>
    <w:rsid w:val="00E47CDB"/>
    <w:rsid w:val="00E54761"/>
    <w:rsid w:val="00E566BC"/>
    <w:rsid w:val="00E60982"/>
    <w:rsid w:val="00E60C8D"/>
    <w:rsid w:val="00E6162F"/>
    <w:rsid w:val="00E6311B"/>
    <w:rsid w:val="00E65D97"/>
    <w:rsid w:val="00E67EFD"/>
    <w:rsid w:val="00E702DC"/>
    <w:rsid w:val="00E71FFB"/>
    <w:rsid w:val="00E76D1D"/>
    <w:rsid w:val="00E806F8"/>
    <w:rsid w:val="00E87752"/>
    <w:rsid w:val="00E8793B"/>
    <w:rsid w:val="00E90F81"/>
    <w:rsid w:val="00E91A6D"/>
    <w:rsid w:val="00E9242D"/>
    <w:rsid w:val="00E951EB"/>
    <w:rsid w:val="00EA6EF1"/>
    <w:rsid w:val="00EB041C"/>
    <w:rsid w:val="00EC5874"/>
    <w:rsid w:val="00ED192D"/>
    <w:rsid w:val="00ED30B4"/>
    <w:rsid w:val="00ED31F5"/>
    <w:rsid w:val="00EE1915"/>
    <w:rsid w:val="00EE3B80"/>
    <w:rsid w:val="00EF2759"/>
    <w:rsid w:val="00EF45EB"/>
    <w:rsid w:val="00EF4AD7"/>
    <w:rsid w:val="00EF5099"/>
    <w:rsid w:val="00EF5E33"/>
    <w:rsid w:val="00EF6CB3"/>
    <w:rsid w:val="00F00075"/>
    <w:rsid w:val="00F05208"/>
    <w:rsid w:val="00F07822"/>
    <w:rsid w:val="00F14ED5"/>
    <w:rsid w:val="00F15C95"/>
    <w:rsid w:val="00F22985"/>
    <w:rsid w:val="00F241AB"/>
    <w:rsid w:val="00F305AF"/>
    <w:rsid w:val="00F31382"/>
    <w:rsid w:val="00F35753"/>
    <w:rsid w:val="00F35829"/>
    <w:rsid w:val="00F42868"/>
    <w:rsid w:val="00F465A7"/>
    <w:rsid w:val="00F50B7C"/>
    <w:rsid w:val="00F5202D"/>
    <w:rsid w:val="00F52CF6"/>
    <w:rsid w:val="00F54496"/>
    <w:rsid w:val="00F61097"/>
    <w:rsid w:val="00F66448"/>
    <w:rsid w:val="00F7050E"/>
    <w:rsid w:val="00F74345"/>
    <w:rsid w:val="00F74441"/>
    <w:rsid w:val="00F765DF"/>
    <w:rsid w:val="00F77F30"/>
    <w:rsid w:val="00F82589"/>
    <w:rsid w:val="00F82B19"/>
    <w:rsid w:val="00F84A2D"/>
    <w:rsid w:val="00F90AA7"/>
    <w:rsid w:val="00F90D60"/>
    <w:rsid w:val="00F9212D"/>
    <w:rsid w:val="00F9517B"/>
    <w:rsid w:val="00F97BB3"/>
    <w:rsid w:val="00FA301A"/>
    <w:rsid w:val="00FA376C"/>
    <w:rsid w:val="00FA406A"/>
    <w:rsid w:val="00FA4689"/>
    <w:rsid w:val="00FA4BFD"/>
    <w:rsid w:val="00FA5CB6"/>
    <w:rsid w:val="00FC66AC"/>
    <w:rsid w:val="00FD052C"/>
    <w:rsid w:val="00FD18F4"/>
    <w:rsid w:val="00FD74B4"/>
    <w:rsid w:val="00FE3359"/>
    <w:rsid w:val="00FE4925"/>
    <w:rsid w:val="00FE642D"/>
    <w:rsid w:val="00FF0915"/>
    <w:rsid w:val="00FF6FCE"/>
    <w:rsid w:val="00FF7518"/>
    <w:rsid w:val="00FF7FD8"/>
    <w:rsid w:val="024E4B4B"/>
    <w:rsid w:val="05742AC8"/>
    <w:rsid w:val="06352F05"/>
    <w:rsid w:val="063E7D85"/>
    <w:rsid w:val="070875E0"/>
    <w:rsid w:val="07293586"/>
    <w:rsid w:val="07295285"/>
    <w:rsid w:val="07770C56"/>
    <w:rsid w:val="092217DD"/>
    <w:rsid w:val="093A7294"/>
    <w:rsid w:val="0BD27BF6"/>
    <w:rsid w:val="0E110D06"/>
    <w:rsid w:val="0F13775A"/>
    <w:rsid w:val="0F9A112B"/>
    <w:rsid w:val="106D2F64"/>
    <w:rsid w:val="10B63710"/>
    <w:rsid w:val="111C2F7A"/>
    <w:rsid w:val="113013DE"/>
    <w:rsid w:val="116B09A1"/>
    <w:rsid w:val="122B06C2"/>
    <w:rsid w:val="13951726"/>
    <w:rsid w:val="14250E3D"/>
    <w:rsid w:val="14396509"/>
    <w:rsid w:val="1447165C"/>
    <w:rsid w:val="17735226"/>
    <w:rsid w:val="18746A63"/>
    <w:rsid w:val="1A1C66C0"/>
    <w:rsid w:val="1A42393B"/>
    <w:rsid w:val="1B046F80"/>
    <w:rsid w:val="1B3267B5"/>
    <w:rsid w:val="1BC25DC8"/>
    <w:rsid w:val="1C5E7925"/>
    <w:rsid w:val="1C887FC8"/>
    <w:rsid w:val="1D262C3F"/>
    <w:rsid w:val="1D5F6196"/>
    <w:rsid w:val="1D6132A5"/>
    <w:rsid w:val="1D8E56D5"/>
    <w:rsid w:val="1E7A43DA"/>
    <w:rsid w:val="1EB277FE"/>
    <w:rsid w:val="1FE7539E"/>
    <w:rsid w:val="20963CB8"/>
    <w:rsid w:val="20B07FB6"/>
    <w:rsid w:val="20D67110"/>
    <w:rsid w:val="213B74B1"/>
    <w:rsid w:val="215A2310"/>
    <w:rsid w:val="21DE318A"/>
    <w:rsid w:val="21EF5B80"/>
    <w:rsid w:val="22420696"/>
    <w:rsid w:val="22576990"/>
    <w:rsid w:val="229C4EAB"/>
    <w:rsid w:val="252D53FE"/>
    <w:rsid w:val="25EC2D81"/>
    <w:rsid w:val="264528BD"/>
    <w:rsid w:val="27D15DD1"/>
    <w:rsid w:val="28A76295"/>
    <w:rsid w:val="29206EB8"/>
    <w:rsid w:val="29E325E0"/>
    <w:rsid w:val="2A452503"/>
    <w:rsid w:val="2BA936A8"/>
    <w:rsid w:val="2C315A5A"/>
    <w:rsid w:val="2D9E56F5"/>
    <w:rsid w:val="2E667F96"/>
    <w:rsid w:val="2E8226AB"/>
    <w:rsid w:val="2F832C79"/>
    <w:rsid w:val="2FEF2D58"/>
    <w:rsid w:val="30580BC9"/>
    <w:rsid w:val="311E2ED7"/>
    <w:rsid w:val="315C449C"/>
    <w:rsid w:val="31B82709"/>
    <w:rsid w:val="32400B34"/>
    <w:rsid w:val="329D3811"/>
    <w:rsid w:val="329E6876"/>
    <w:rsid w:val="33D934D4"/>
    <w:rsid w:val="33FE2F6A"/>
    <w:rsid w:val="352A5ECF"/>
    <w:rsid w:val="36074A7F"/>
    <w:rsid w:val="36923549"/>
    <w:rsid w:val="36B75FBF"/>
    <w:rsid w:val="36FB4891"/>
    <w:rsid w:val="388702B0"/>
    <w:rsid w:val="38F12CD3"/>
    <w:rsid w:val="38F94775"/>
    <w:rsid w:val="392971ED"/>
    <w:rsid w:val="3A851A34"/>
    <w:rsid w:val="3B3763D1"/>
    <w:rsid w:val="3BC442D7"/>
    <w:rsid w:val="3C2C2EFC"/>
    <w:rsid w:val="3CDA245A"/>
    <w:rsid w:val="3CEE0A37"/>
    <w:rsid w:val="3F660E74"/>
    <w:rsid w:val="407A6407"/>
    <w:rsid w:val="423A3BCC"/>
    <w:rsid w:val="433A6FE6"/>
    <w:rsid w:val="4350713C"/>
    <w:rsid w:val="436653E0"/>
    <w:rsid w:val="449166E8"/>
    <w:rsid w:val="44CD14E0"/>
    <w:rsid w:val="458946E9"/>
    <w:rsid w:val="46D955A7"/>
    <w:rsid w:val="47133957"/>
    <w:rsid w:val="4779329E"/>
    <w:rsid w:val="47A07E0C"/>
    <w:rsid w:val="4870272E"/>
    <w:rsid w:val="49DC7715"/>
    <w:rsid w:val="4A023139"/>
    <w:rsid w:val="4A7B576F"/>
    <w:rsid w:val="4C4A0649"/>
    <w:rsid w:val="4CE470D3"/>
    <w:rsid w:val="4DEC4FB0"/>
    <w:rsid w:val="4E075D8A"/>
    <w:rsid w:val="4F2860E1"/>
    <w:rsid w:val="4FC20B3C"/>
    <w:rsid w:val="4FC62A8C"/>
    <w:rsid w:val="4FE20F0D"/>
    <w:rsid w:val="50504C4B"/>
    <w:rsid w:val="509C6E7C"/>
    <w:rsid w:val="5162104E"/>
    <w:rsid w:val="519649E1"/>
    <w:rsid w:val="52AA60D7"/>
    <w:rsid w:val="53A039CC"/>
    <w:rsid w:val="53A1505A"/>
    <w:rsid w:val="54063E08"/>
    <w:rsid w:val="543437E8"/>
    <w:rsid w:val="559B174B"/>
    <w:rsid w:val="55CE0CF4"/>
    <w:rsid w:val="56B22A9C"/>
    <w:rsid w:val="57B72A76"/>
    <w:rsid w:val="5A3C747D"/>
    <w:rsid w:val="5ABE2233"/>
    <w:rsid w:val="5B276D18"/>
    <w:rsid w:val="5BAF0CA6"/>
    <w:rsid w:val="5BDF5D95"/>
    <w:rsid w:val="5DC169D6"/>
    <w:rsid w:val="5DF87A0F"/>
    <w:rsid w:val="5F1A2B43"/>
    <w:rsid w:val="5FB837BB"/>
    <w:rsid w:val="61CD7B26"/>
    <w:rsid w:val="62364782"/>
    <w:rsid w:val="63D40BE9"/>
    <w:rsid w:val="63E0211F"/>
    <w:rsid w:val="65373578"/>
    <w:rsid w:val="66F52C36"/>
    <w:rsid w:val="673F2C7A"/>
    <w:rsid w:val="681F6961"/>
    <w:rsid w:val="68610A2F"/>
    <w:rsid w:val="68805514"/>
    <w:rsid w:val="694E2071"/>
    <w:rsid w:val="697A3B33"/>
    <w:rsid w:val="699E2456"/>
    <w:rsid w:val="6A9E7060"/>
    <w:rsid w:val="6B322639"/>
    <w:rsid w:val="6C636C38"/>
    <w:rsid w:val="6DB34098"/>
    <w:rsid w:val="6DB545B6"/>
    <w:rsid w:val="6E4375A0"/>
    <w:rsid w:val="6E514CED"/>
    <w:rsid w:val="6E79491A"/>
    <w:rsid w:val="6EB563D5"/>
    <w:rsid w:val="6F225983"/>
    <w:rsid w:val="6FFC5590"/>
    <w:rsid w:val="70301DA3"/>
    <w:rsid w:val="706D1DD0"/>
    <w:rsid w:val="70856B87"/>
    <w:rsid w:val="70D527EE"/>
    <w:rsid w:val="715B5300"/>
    <w:rsid w:val="715F4BD7"/>
    <w:rsid w:val="71D27F8A"/>
    <w:rsid w:val="71F744C6"/>
    <w:rsid w:val="71F960CF"/>
    <w:rsid w:val="72640322"/>
    <w:rsid w:val="731F5D5E"/>
    <w:rsid w:val="741E793C"/>
    <w:rsid w:val="758D75E2"/>
    <w:rsid w:val="77762421"/>
    <w:rsid w:val="780F09F4"/>
    <w:rsid w:val="789C4F47"/>
    <w:rsid w:val="78A90480"/>
    <w:rsid w:val="79811327"/>
    <w:rsid w:val="7A364017"/>
    <w:rsid w:val="7A8265E1"/>
    <w:rsid w:val="7B686D42"/>
    <w:rsid w:val="7B841746"/>
    <w:rsid w:val="7D0239FF"/>
    <w:rsid w:val="7D5E40CD"/>
    <w:rsid w:val="7D693BED"/>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ocked="1"/>
    <w:lsdException w:qFormat="1" w:uiPriority="0" w:semiHidden="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ocked="1"/>
    <w:lsdException w:qFormat="1" w:uiPriority="39"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ocked="1"/>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ocked="1"/>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ocked="1"/>
    <w:lsdException w:qFormat="1"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unhideWhenUsed="0" w:uiPriority="0" w:semiHidden="0" w:name="Strong" w:locked="1"/>
    <w:lsdException w:unhideWhenUsed="0" w:uiPriority="0" w:semiHidden="0" w:name="Emphasis" w:locked="1"/>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jc w:val="center"/>
      <w:outlineLvl w:val="0"/>
    </w:pPr>
    <w:rPr>
      <w:rFonts w:eastAsia="黑体"/>
      <w:b/>
      <w:bCs/>
      <w:snapToGrid w:val="0"/>
      <w:sz w:val="30"/>
      <w:szCs w:val="30"/>
    </w:rPr>
  </w:style>
  <w:style w:type="paragraph" w:styleId="3">
    <w:name w:val="heading 2"/>
    <w:basedOn w:val="1"/>
    <w:next w:val="1"/>
    <w:unhideWhenUsed/>
    <w:qFormat/>
    <w:locked/>
    <w:uiPriority w:val="0"/>
    <w:pPr>
      <w:keepNext/>
      <w:keepLines/>
      <w:spacing w:line="360" w:lineRule="auto"/>
      <w:outlineLvl w:val="1"/>
    </w:pPr>
    <w:rPr>
      <w:b/>
      <w:color w:val="000000"/>
      <w:kern w:val="44"/>
      <w:sz w:val="32"/>
    </w:rPr>
  </w:style>
  <w:style w:type="paragraph" w:styleId="4">
    <w:name w:val="heading 3"/>
    <w:basedOn w:val="1"/>
    <w:next w:val="1"/>
    <w:unhideWhenUsed/>
    <w:qFormat/>
    <w:locked/>
    <w:uiPriority w:val="0"/>
    <w:pPr>
      <w:keepNext/>
      <w:keepLines/>
      <w:spacing w:line="360" w:lineRule="auto"/>
      <w:outlineLvl w:val="2"/>
    </w:pPr>
    <w:rPr>
      <w:b/>
      <w:sz w:val="28"/>
    </w:rPr>
  </w:style>
  <w:style w:type="paragraph" w:styleId="5">
    <w:name w:val="heading 4"/>
    <w:basedOn w:val="1"/>
    <w:next w:val="1"/>
    <w:link w:val="74"/>
    <w:semiHidden/>
    <w:unhideWhenUsed/>
    <w:qFormat/>
    <w:locked/>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6">
    <w:name w:val="Normal Indent"/>
    <w:basedOn w:val="1"/>
    <w:unhideWhenUsed/>
    <w:qFormat/>
    <w:uiPriority w:val="0"/>
    <w:pPr>
      <w:spacing w:line="360" w:lineRule="auto"/>
      <w:ind w:firstLine="200" w:firstLineChars="200"/>
    </w:pPr>
    <w:rPr>
      <w:sz w:val="24"/>
    </w:rPr>
  </w:style>
  <w:style w:type="paragraph" w:styleId="7">
    <w:name w:val="annotation text"/>
    <w:basedOn w:val="1"/>
    <w:link w:val="42"/>
    <w:semiHidden/>
    <w:qFormat/>
    <w:uiPriority w:val="0"/>
    <w:pPr>
      <w:jc w:val="left"/>
    </w:pPr>
    <w:rPr>
      <w:kern w:val="0"/>
      <w:sz w:val="20"/>
    </w:rPr>
  </w:style>
  <w:style w:type="paragraph" w:styleId="8">
    <w:name w:val="Salutation"/>
    <w:basedOn w:val="1"/>
    <w:next w:val="1"/>
    <w:qFormat/>
    <w:uiPriority w:val="0"/>
  </w:style>
  <w:style w:type="paragraph" w:styleId="9">
    <w:name w:val="Body Text"/>
    <w:basedOn w:val="1"/>
    <w:link w:val="33"/>
    <w:qFormat/>
    <w:uiPriority w:val="0"/>
    <w:pPr>
      <w:widowControl/>
      <w:snapToGrid w:val="0"/>
      <w:spacing w:before="60" w:after="160" w:line="259" w:lineRule="auto"/>
      <w:ind w:right="113"/>
    </w:pPr>
    <w:rPr>
      <w:kern w:val="0"/>
      <w:sz w:val="18"/>
      <w:szCs w:val="18"/>
    </w:rPr>
  </w:style>
  <w:style w:type="paragraph" w:styleId="10">
    <w:name w:val="Body Text Indent"/>
    <w:basedOn w:val="1"/>
    <w:link w:val="44"/>
    <w:semiHidden/>
    <w:qFormat/>
    <w:uiPriority w:val="0"/>
    <w:pPr>
      <w:spacing w:after="120"/>
      <w:ind w:left="420" w:leftChars="200"/>
    </w:pPr>
  </w:style>
  <w:style w:type="paragraph" w:styleId="11">
    <w:name w:val="Plain Text"/>
    <w:basedOn w:val="1"/>
    <w:next w:val="8"/>
    <w:qFormat/>
    <w:uiPriority w:val="0"/>
    <w:pPr>
      <w:widowControl/>
      <w:jc w:val="left"/>
    </w:pPr>
    <w:rPr>
      <w:rFonts w:ascii="宋体" w:hAnsi="Courier New"/>
      <w:kern w:val="0"/>
      <w:sz w:val="20"/>
      <w:szCs w:val="21"/>
    </w:rPr>
  </w:style>
  <w:style w:type="paragraph" w:styleId="12">
    <w:name w:val="Date"/>
    <w:basedOn w:val="1"/>
    <w:next w:val="1"/>
    <w:link w:val="35"/>
    <w:qFormat/>
    <w:uiPriority w:val="0"/>
    <w:pPr>
      <w:ind w:left="100" w:leftChars="2500"/>
    </w:pPr>
    <w:rPr>
      <w:kern w:val="0"/>
      <w:sz w:val="20"/>
    </w:rPr>
  </w:style>
  <w:style w:type="paragraph" w:styleId="13">
    <w:name w:val="Body Text Indent 2"/>
    <w:basedOn w:val="1"/>
    <w:link w:val="69"/>
    <w:qFormat/>
    <w:uiPriority w:val="0"/>
    <w:pPr>
      <w:spacing w:after="120" w:line="480" w:lineRule="auto"/>
      <w:ind w:left="420" w:leftChars="200"/>
    </w:pPr>
  </w:style>
  <w:style w:type="paragraph" w:styleId="14">
    <w:name w:val="Balloon Text"/>
    <w:basedOn w:val="1"/>
    <w:link w:val="41"/>
    <w:semiHidden/>
    <w:qFormat/>
    <w:uiPriority w:val="0"/>
    <w:rPr>
      <w:sz w:val="18"/>
      <w:szCs w:val="18"/>
    </w:rPr>
  </w:style>
  <w:style w:type="paragraph" w:styleId="15">
    <w:name w:val="footer"/>
    <w:basedOn w:val="1"/>
    <w:link w:val="32"/>
    <w:qFormat/>
    <w:uiPriority w:val="0"/>
    <w:pPr>
      <w:tabs>
        <w:tab w:val="center" w:pos="4153"/>
        <w:tab w:val="right" w:pos="8306"/>
      </w:tabs>
      <w:snapToGrid w:val="0"/>
      <w:jc w:val="left"/>
    </w:pPr>
    <w:rPr>
      <w:sz w:val="18"/>
      <w:szCs w:val="18"/>
    </w:rPr>
  </w:style>
  <w:style w:type="paragraph" w:styleId="16">
    <w:name w:val="header"/>
    <w:basedOn w:val="1"/>
    <w:link w:val="31"/>
    <w:qFormat/>
    <w:uiPriority w:val="0"/>
    <w:pPr>
      <w:pBdr>
        <w:bottom w:val="single" w:color="auto" w:sz="6" w:space="1"/>
      </w:pBdr>
      <w:tabs>
        <w:tab w:val="center" w:pos="4153"/>
        <w:tab w:val="right" w:pos="8306"/>
      </w:tabs>
      <w:snapToGrid w:val="0"/>
      <w:jc w:val="center"/>
    </w:pPr>
    <w:rPr>
      <w:sz w:val="18"/>
      <w:szCs w:val="18"/>
    </w:rPr>
  </w:style>
  <w:style w:type="paragraph" w:styleId="17">
    <w:name w:val="toc 1"/>
    <w:basedOn w:val="18"/>
    <w:next w:val="18"/>
    <w:unhideWhenUsed/>
    <w:qFormat/>
    <w:locked/>
    <w:uiPriority w:val="39"/>
    <w:pPr>
      <w:tabs>
        <w:tab w:val="right" w:leader="dot" w:pos="8296"/>
      </w:tabs>
      <w:spacing w:line="360" w:lineRule="auto"/>
      <w:jc w:val="left"/>
    </w:pPr>
    <w:rPr>
      <w:b/>
      <w:caps/>
    </w:rPr>
  </w:style>
  <w:style w:type="paragraph" w:customStyle="1" w:styleId="18">
    <w:name w:val="Default"/>
    <w:basedOn w:val="19"/>
    <w:next w:val="20"/>
    <w:qFormat/>
    <w:uiPriority w:val="0"/>
    <w:pPr>
      <w:autoSpaceDE w:val="0"/>
      <w:autoSpaceDN w:val="0"/>
    </w:pPr>
    <w:rPr>
      <w:color w:val="000000"/>
      <w:sz w:val="24"/>
      <w:szCs w:val="24"/>
    </w:rPr>
  </w:style>
  <w:style w:type="paragraph" w:customStyle="1" w:styleId="19">
    <w:name w:val="纯文本1"/>
    <w:basedOn w:val="1"/>
    <w:qFormat/>
    <w:uiPriority w:val="0"/>
    <w:pPr>
      <w:adjustRightInd w:val="0"/>
      <w:textAlignment w:val="baseline"/>
    </w:pPr>
    <w:rPr>
      <w:szCs w:val="20"/>
    </w:rPr>
  </w:style>
  <w:style w:type="paragraph" w:customStyle="1" w:styleId="20">
    <w:name w:val="1正文段落"/>
    <w:basedOn w:val="1"/>
    <w:qFormat/>
    <w:uiPriority w:val="0"/>
    <w:pPr>
      <w:ind w:firstLine="480"/>
      <w:jc w:val="left"/>
    </w:pPr>
    <w:rPr>
      <w:snapToGrid w:val="0"/>
      <w:kern w:val="0"/>
    </w:rPr>
  </w:style>
  <w:style w:type="paragraph" w:styleId="21">
    <w:name w:val="List"/>
    <w:basedOn w:val="1"/>
    <w:qFormat/>
    <w:uiPriority w:val="0"/>
    <w:pPr>
      <w:ind w:left="200" w:hanging="200" w:hangingChars="200"/>
      <w:contextualSpacing/>
    </w:pPr>
  </w:style>
  <w:style w:type="paragraph" w:styleId="22">
    <w:name w:val="toc 2"/>
    <w:basedOn w:val="1"/>
    <w:next w:val="1"/>
    <w:unhideWhenUsed/>
    <w:qFormat/>
    <w:locked/>
    <w:uiPriority w:val="39"/>
    <w:pPr>
      <w:tabs>
        <w:tab w:val="right" w:leader="dot" w:pos="8296"/>
      </w:tabs>
      <w:spacing w:line="360" w:lineRule="auto"/>
      <w:ind w:firstLine="200" w:firstLineChars="200"/>
      <w:jc w:val="left"/>
    </w:pPr>
    <w:rPr>
      <w:smallCaps/>
      <w:kern w:val="44"/>
    </w:rPr>
  </w:style>
  <w:style w:type="paragraph" w:styleId="23">
    <w:name w:val="Normal (Web)"/>
    <w:basedOn w:val="1"/>
    <w:link w:val="34"/>
    <w:qFormat/>
    <w:uiPriority w:val="99"/>
    <w:pPr>
      <w:widowControl/>
      <w:spacing w:before="100" w:beforeAutospacing="1" w:after="100" w:afterAutospacing="1"/>
      <w:jc w:val="left"/>
    </w:pPr>
    <w:rPr>
      <w:rFonts w:ascii="宋体" w:hAnsi="宋体"/>
      <w:kern w:val="0"/>
      <w:sz w:val="24"/>
    </w:rPr>
  </w:style>
  <w:style w:type="paragraph" w:styleId="24">
    <w:name w:val="annotation subject"/>
    <w:basedOn w:val="7"/>
    <w:next w:val="7"/>
    <w:link w:val="45"/>
    <w:semiHidden/>
    <w:qFormat/>
    <w:uiPriority w:val="0"/>
    <w:rPr>
      <w:b/>
      <w:bCs/>
    </w:rPr>
  </w:style>
  <w:style w:type="table" w:styleId="26">
    <w:name w:val="Table Grid"/>
    <w:basedOn w:val="2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page number"/>
    <w:basedOn w:val="27"/>
    <w:qFormat/>
    <w:uiPriority w:val="0"/>
  </w:style>
  <w:style w:type="character" w:styleId="29">
    <w:name w:val="Hyperlink"/>
    <w:unhideWhenUsed/>
    <w:qFormat/>
    <w:uiPriority w:val="99"/>
    <w:rPr>
      <w:rFonts w:hint="default"/>
      <w:color w:val="0000FF"/>
      <w:sz w:val="24"/>
      <w:szCs w:val="24"/>
      <w:u w:val="single"/>
    </w:rPr>
  </w:style>
  <w:style w:type="character" w:styleId="30">
    <w:name w:val="annotation reference"/>
    <w:semiHidden/>
    <w:qFormat/>
    <w:uiPriority w:val="0"/>
    <w:rPr>
      <w:sz w:val="21"/>
    </w:rPr>
  </w:style>
  <w:style w:type="character" w:customStyle="1" w:styleId="31">
    <w:name w:val="页眉 字符"/>
    <w:link w:val="16"/>
    <w:qFormat/>
    <w:locked/>
    <w:uiPriority w:val="0"/>
    <w:rPr>
      <w:rFonts w:cs="Times New Roman"/>
      <w:sz w:val="18"/>
      <w:szCs w:val="18"/>
    </w:rPr>
  </w:style>
  <w:style w:type="character" w:customStyle="1" w:styleId="32">
    <w:name w:val="页脚 字符"/>
    <w:link w:val="15"/>
    <w:qFormat/>
    <w:locked/>
    <w:uiPriority w:val="0"/>
    <w:rPr>
      <w:rFonts w:cs="Times New Roman"/>
      <w:sz w:val="18"/>
      <w:szCs w:val="18"/>
    </w:rPr>
  </w:style>
  <w:style w:type="character" w:customStyle="1" w:styleId="33">
    <w:name w:val="正文文本 字符"/>
    <w:link w:val="9"/>
    <w:qFormat/>
    <w:locked/>
    <w:uiPriority w:val="0"/>
    <w:rPr>
      <w:sz w:val="18"/>
    </w:rPr>
  </w:style>
  <w:style w:type="character" w:customStyle="1" w:styleId="34">
    <w:name w:val="普通(网站) 字符"/>
    <w:link w:val="23"/>
    <w:qFormat/>
    <w:locked/>
    <w:uiPriority w:val="0"/>
    <w:rPr>
      <w:rFonts w:ascii="宋体" w:hAnsi="宋体" w:eastAsia="宋体"/>
      <w:sz w:val="24"/>
    </w:rPr>
  </w:style>
  <w:style w:type="character" w:customStyle="1" w:styleId="35">
    <w:name w:val="日期 字符1"/>
    <w:link w:val="12"/>
    <w:qFormat/>
    <w:locked/>
    <w:uiPriority w:val="0"/>
    <w:rPr>
      <w:rFonts w:ascii="Times New Roman" w:hAnsi="Times New Roman" w:eastAsia="宋体"/>
      <w:sz w:val="24"/>
    </w:rPr>
  </w:style>
  <w:style w:type="character" w:customStyle="1" w:styleId="36">
    <w:name w:val="日期 字符"/>
    <w:semiHidden/>
    <w:qFormat/>
    <w:uiPriority w:val="0"/>
    <w:rPr>
      <w:rFonts w:ascii="Times New Roman" w:hAnsi="Times New Roman" w:eastAsia="宋体" w:cs="Times New Roman"/>
      <w:sz w:val="24"/>
      <w:szCs w:val="24"/>
    </w:rPr>
  </w:style>
  <w:style w:type="character" w:customStyle="1" w:styleId="37">
    <w:name w:val="正文文本 字符1"/>
    <w:semiHidden/>
    <w:qFormat/>
    <w:uiPriority w:val="0"/>
    <w:rPr>
      <w:rFonts w:ascii="Times New Roman" w:hAnsi="Times New Roman" w:eastAsia="宋体" w:cs="Times New Roman"/>
      <w:sz w:val="24"/>
      <w:szCs w:val="24"/>
    </w:rPr>
  </w:style>
  <w:style w:type="paragraph" w:customStyle="1" w:styleId="38">
    <w:name w:val="普通(网站)2"/>
    <w:basedOn w:val="1"/>
    <w:qFormat/>
    <w:uiPriority w:val="0"/>
    <w:pPr>
      <w:widowControl/>
      <w:spacing w:before="100" w:beforeAutospacing="1" w:after="100" w:afterAutospacing="1"/>
      <w:jc w:val="left"/>
    </w:pPr>
    <w:rPr>
      <w:rFonts w:ascii="宋体" w:hAnsi="宋体"/>
      <w:sz w:val="24"/>
      <w:szCs w:val="20"/>
    </w:rPr>
  </w:style>
  <w:style w:type="character" w:customStyle="1" w:styleId="39">
    <w:name w:val="表格 Char"/>
    <w:link w:val="40"/>
    <w:qFormat/>
    <w:locked/>
    <w:uiPriority w:val="0"/>
    <w:rPr>
      <w:rFonts w:ascii="宋体"/>
      <w:sz w:val="21"/>
    </w:rPr>
  </w:style>
  <w:style w:type="paragraph" w:customStyle="1" w:styleId="40">
    <w:name w:val="表格"/>
    <w:basedOn w:val="11"/>
    <w:next w:val="1"/>
    <w:link w:val="39"/>
    <w:qFormat/>
    <w:uiPriority w:val="0"/>
    <w:pPr>
      <w:adjustRightInd w:val="0"/>
      <w:snapToGrid w:val="0"/>
      <w:spacing w:beforeLines="10" w:afterLines="10" w:line="259" w:lineRule="auto"/>
      <w:jc w:val="center"/>
    </w:pPr>
  </w:style>
  <w:style w:type="character" w:customStyle="1" w:styleId="41">
    <w:name w:val="批注框文本 字符"/>
    <w:link w:val="14"/>
    <w:semiHidden/>
    <w:qFormat/>
    <w:locked/>
    <w:uiPriority w:val="0"/>
    <w:rPr>
      <w:rFonts w:ascii="Times New Roman" w:hAnsi="Times New Roman" w:eastAsia="宋体" w:cs="Times New Roman"/>
      <w:sz w:val="18"/>
      <w:szCs w:val="18"/>
    </w:rPr>
  </w:style>
  <w:style w:type="character" w:customStyle="1" w:styleId="42">
    <w:name w:val="批注文字 字符"/>
    <w:link w:val="7"/>
    <w:qFormat/>
    <w:locked/>
    <w:uiPriority w:val="0"/>
    <w:rPr>
      <w:rFonts w:ascii="Times New Roman" w:hAnsi="Times New Roman" w:eastAsia="宋体"/>
      <w:sz w:val="24"/>
    </w:rPr>
  </w:style>
  <w:style w:type="character" w:customStyle="1" w:styleId="43">
    <w:name w:val="批注文字 字符1"/>
    <w:semiHidden/>
    <w:qFormat/>
    <w:uiPriority w:val="0"/>
    <w:rPr>
      <w:rFonts w:ascii="Times New Roman" w:hAnsi="Times New Roman" w:eastAsia="宋体" w:cs="Times New Roman"/>
      <w:sz w:val="24"/>
      <w:szCs w:val="24"/>
    </w:rPr>
  </w:style>
  <w:style w:type="character" w:customStyle="1" w:styleId="44">
    <w:name w:val="正文文本缩进 字符"/>
    <w:link w:val="10"/>
    <w:semiHidden/>
    <w:qFormat/>
    <w:locked/>
    <w:uiPriority w:val="0"/>
    <w:rPr>
      <w:rFonts w:ascii="Times New Roman" w:hAnsi="Times New Roman" w:eastAsia="宋体" w:cs="Times New Roman"/>
      <w:sz w:val="24"/>
      <w:szCs w:val="24"/>
    </w:rPr>
  </w:style>
  <w:style w:type="character" w:customStyle="1" w:styleId="45">
    <w:name w:val="批注主题 字符"/>
    <w:link w:val="24"/>
    <w:semiHidden/>
    <w:qFormat/>
    <w:locked/>
    <w:uiPriority w:val="0"/>
    <w:rPr>
      <w:rFonts w:ascii="Times New Roman" w:hAnsi="Times New Roman" w:eastAsia="宋体" w:cs="Times New Roman"/>
      <w:b/>
      <w:bCs/>
      <w:kern w:val="2"/>
      <w:sz w:val="24"/>
      <w:szCs w:val="24"/>
    </w:rPr>
  </w:style>
  <w:style w:type="character" w:customStyle="1" w:styleId="46">
    <w:name w:val="普通(网站) Char"/>
    <w:qFormat/>
    <w:locked/>
    <w:uiPriority w:val="0"/>
    <w:rPr>
      <w:rFonts w:ascii="宋体" w:hAnsi="宋体" w:eastAsia="宋体"/>
      <w:sz w:val="24"/>
    </w:rPr>
  </w:style>
  <w:style w:type="paragraph" w:customStyle="1" w:styleId="47">
    <w:name w:val="表内容"/>
    <w:basedOn w:val="1"/>
    <w:next w:val="1"/>
    <w:qFormat/>
    <w:uiPriority w:val="0"/>
    <w:pPr>
      <w:spacing w:line="320" w:lineRule="exact"/>
      <w:jc w:val="center"/>
    </w:pPr>
    <w:rPr>
      <w:szCs w:val="20"/>
    </w:rPr>
  </w:style>
  <w:style w:type="paragraph" w:customStyle="1" w:styleId="48">
    <w:name w:val="标题2"/>
    <w:basedOn w:val="1"/>
    <w:link w:val="50"/>
    <w:qFormat/>
    <w:uiPriority w:val="0"/>
    <w:pPr>
      <w:spacing w:line="360" w:lineRule="auto"/>
    </w:pPr>
    <w:rPr>
      <w:b/>
      <w:color w:val="000000"/>
      <w:sz w:val="24"/>
    </w:rPr>
  </w:style>
  <w:style w:type="paragraph" w:customStyle="1" w:styleId="49">
    <w:name w:val="标题3"/>
    <w:basedOn w:val="1"/>
    <w:link w:val="52"/>
    <w:qFormat/>
    <w:uiPriority w:val="0"/>
    <w:pPr>
      <w:spacing w:line="360" w:lineRule="auto"/>
      <w:ind w:firstLine="482" w:firstLineChars="200"/>
    </w:pPr>
    <w:rPr>
      <w:b/>
      <w:color w:val="000000"/>
      <w:sz w:val="24"/>
    </w:rPr>
  </w:style>
  <w:style w:type="character" w:customStyle="1" w:styleId="50">
    <w:name w:val="标题2 字符"/>
    <w:link w:val="48"/>
    <w:qFormat/>
    <w:uiPriority w:val="0"/>
    <w:rPr>
      <w:b/>
      <w:color w:val="000000"/>
      <w:kern w:val="2"/>
      <w:sz w:val="24"/>
      <w:szCs w:val="24"/>
    </w:rPr>
  </w:style>
  <w:style w:type="paragraph" w:customStyle="1" w:styleId="51">
    <w:name w:val="正文-Jin"/>
    <w:basedOn w:val="1"/>
    <w:link w:val="54"/>
    <w:qFormat/>
    <w:uiPriority w:val="0"/>
    <w:pPr>
      <w:spacing w:line="360" w:lineRule="auto"/>
      <w:ind w:firstLine="480" w:firstLineChars="200"/>
    </w:pPr>
    <w:rPr>
      <w:color w:val="000000"/>
      <w:sz w:val="24"/>
    </w:rPr>
  </w:style>
  <w:style w:type="character" w:customStyle="1" w:styleId="52">
    <w:name w:val="标题3 字符"/>
    <w:link w:val="49"/>
    <w:qFormat/>
    <w:uiPriority w:val="0"/>
    <w:rPr>
      <w:b/>
      <w:color w:val="000000"/>
      <w:kern w:val="2"/>
      <w:sz w:val="24"/>
      <w:szCs w:val="24"/>
    </w:rPr>
  </w:style>
  <w:style w:type="paragraph" w:customStyle="1" w:styleId="53">
    <w:name w:val="表标题-Jin"/>
    <w:basedOn w:val="51"/>
    <w:link w:val="56"/>
    <w:qFormat/>
    <w:uiPriority w:val="0"/>
    <w:pPr>
      <w:spacing w:before="120" w:beforeLines="50" w:line="240" w:lineRule="auto"/>
      <w:ind w:firstLine="0" w:firstLineChars="0"/>
      <w:jc w:val="center"/>
    </w:pPr>
    <w:rPr>
      <w:rFonts w:eastAsia="黑体"/>
      <w:b/>
      <w:bCs/>
      <w:sz w:val="21"/>
      <w:szCs w:val="21"/>
    </w:rPr>
  </w:style>
  <w:style w:type="character" w:customStyle="1" w:styleId="54">
    <w:name w:val="正文-Jin 字符"/>
    <w:link w:val="51"/>
    <w:qFormat/>
    <w:uiPriority w:val="0"/>
    <w:rPr>
      <w:color w:val="000000"/>
      <w:kern w:val="2"/>
      <w:sz w:val="24"/>
      <w:szCs w:val="24"/>
    </w:rPr>
  </w:style>
  <w:style w:type="paragraph" w:customStyle="1" w:styleId="55">
    <w:name w:val="表内-Jin"/>
    <w:basedOn w:val="1"/>
    <w:link w:val="57"/>
    <w:qFormat/>
    <w:uiPriority w:val="0"/>
    <w:pPr>
      <w:jc w:val="center"/>
    </w:pPr>
    <w:rPr>
      <w:bCs/>
      <w:color w:val="000000"/>
      <w:szCs w:val="21"/>
    </w:rPr>
  </w:style>
  <w:style w:type="character" w:customStyle="1" w:styleId="56">
    <w:name w:val="表标题-Jin 字符"/>
    <w:link w:val="53"/>
    <w:qFormat/>
    <w:uiPriority w:val="0"/>
    <w:rPr>
      <w:rFonts w:eastAsia="黑体"/>
      <w:b/>
      <w:bCs/>
      <w:color w:val="000000"/>
      <w:kern w:val="2"/>
      <w:sz w:val="21"/>
      <w:szCs w:val="21"/>
    </w:rPr>
  </w:style>
  <w:style w:type="character" w:customStyle="1" w:styleId="57">
    <w:name w:val="表内-Jin 字符"/>
    <w:link w:val="55"/>
    <w:qFormat/>
    <w:uiPriority w:val="0"/>
    <w:rPr>
      <w:bCs/>
      <w:color w:val="000000"/>
      <w:kern w:val="2"/>
      <w:sz w:val="21"/>
      <w:szCs w:val="21"/>
    </w:rPr>
  </w:style>
  <w:style w:type="character" w:customStyle="1" w:styleId="58">
    <w:name w:val="表格-Nick 字符"/>
    <w:link w:val="59"/>
    <w:qFormat/>
    <w:uiPriority w:val="0"/>
    <w:rPr>
      <w:sz w:val="21"/>
    </w:rPr>
  </w:style>
  <w:style w:type="paragraph" w:customStyle="1" w:styleId="59">
    <w:name w:val="表格-Nick"/>
    <w:basedOn w:val="1"/>
    <w:link w:val="58"/>
    <w:qFormat/>
    <w:uiPriority w:val="0"/>
    <w:pPr>
      <w:jc w:val="center"/>
    </w:pPr>
    <w:rPr>
      <w:kern w:val="0"/>
      <w:szCs w:val="20"/>
    </w:rPr>
  </w:style>
  <w:style w:type="paragraph" w:customStyle="1" w:styleId="60">
    <w:name w:val="Char Char Char Char Char Char1 Char"/>
    <w:basedOn w:val="1"/>
    <w:qFormat/>
    <w:uiPriority w:val="0"/>
    <w:pPr>
      <w:ind w:firstLine="200" w:firstLineChars="200"/>
    </w:pPr>
  </w:style>
  <w:style w:type="paragraph" w:customStyle="1" w:styleId="61">
    <w:name w:val="表和图标题格式"/>
    <w:basedOn w:val="1"/>
    <w:qFormat/>
    <w:uiPriority w:val="0"/>
    <w:pPr>
      <w:spacing w:before="156" w:beforeLines="50"/>
      <w:jc w:val="center"/>
    </w:pPr>
    <w:rPr>
      <w:b/>
      <w:szCs w:val="21"/>
    </w:rPr>
  </w:style>
  <w:style w:type="character" w:customStyle="1" w:styleId="62">
    <w:name w:val="font31"/>
    <w:qFormat/>
    <w:uiPriority w:val="0"/>
    <w:rPr>
      <w:rFonts w:hint="default" w:ascii="Times New Roman" w:hAnsi="Times New Roman" w:cs="Times New Roman"/>
      <w:color w:val="000000"/>
      <w:sz w:val="20"/>
      <w:szCs w:val="20"/>
      <w:u w:val="none"/>
      <w:vertAlign w:val="superscript"/>
    </w:rPr>
  </w:style>
  <w:style w:type="character" w:customStyle="1" w:styleId="63">
    <w:name w:val="font51"/>
    <w:qFormat/>
    <w:uiPriority w:val="0"/>
    <w:rPr>
      <w:rFonts w:hint="eastAsia" w:ascii="宋体" w:hAnsi="宋体" w:eastAsia="宋体"/>
      <w:color w:val="000000"/>
      <w:sz w:val="16"/>
      <w:szCs w:val="16"/>
      <w:u w:val="none"/>
    </w:rPr>
  </w:style>
  <w:style w:type="character" w:customStyle="1" w:styleId="64">
    <w:name w:val="font61"/>
    <w:qFormat/>
    <w:uiPriority w:val="0"/>
    <w:rPr>
      <w:rFonts w:hint="default" w:ascii="Times New Roman" w:hAnsi="Times New Roman" w:cs="Times New Roman"/>
      <w:color w:val="000000"/>
      <w:sz w:val="20"/>
      <w:szCs w:val="20"/>
      <w:u w:val="none"/>
      <w:vertAlign w:val="superscript"/>
    </w:rPr>
  </w:style>
  <w:style w:type="character" w:customStyle="1" w:styleId="65">
    <w:name w:val="font41"/>
    <w:qFormat/>
    <w:uiPriority w:val="0"/>
    <w:rPr>
      <w:rFonts w:hint="default" w:ascii="Times New Roman" w:hAnsi="Times New Roman" w:cs="Times New Roman"/>
      <w:color w:val="000000"/>
      <w:sz w:val="20"/>
      <w:szCs w:val="20"/>
      <w:u w:val="none"/>
    </w:rPr>
  </w:style>
  <w:style w:type="character" w:customStyle="1" w:styleId="66">
    <w:name w:val="smallpromo  style14"/>
    <w:qFormat/>
    <w:uiPriority w:val="0"/>
  </w:style>
  <w:style w:type="character" w:customStyle="1" w:styleId="67">
    <w:name w:val="表格标题-Nick 字符"/>
    <w:link w:val="68"/>
    <w:qFormat/>
    <w:uiPriority w:val="0"/>
    <w:rPr>
      <w:b/>
      <w:sz w:val="21"/>
      <w:szCs w:val="21"/>
    </w:rPr>
  </w:style>
  <w:style w:type="paragraph" w:customStyle="1" w:styleId="68">
    <w:name w:val="表格标题-Nick"/>
    <w:basedOn w:val="1"/>
    <w:link w:val="67"/>
    <w:qFormat/>
    <w:uiPriority w:val="0"/>
    <w:pPr>
      <w:spacing w:before="120" w:beforeLines="50"/>
      <w:jc w:val="center"/>
    </w:pPr>
    <w:rPr>
      <w:b/>
      <w:kern w:val="0"/>
      <w:szCs w:val="21"/>
    </w:rPr>
  </w:style>
  <w:style w:type="character" w:customStyle="1" w:styleId="69">
    <w:name w:val="正文文本缩进 2 字符"/>
    <w:basedOn w:val="27"/>
    <w:link w:val="13"/>
    <w:qFormat/>
    <w:uiPriority w:val="0"/>
    <w:rPr>
      <w:kern w:val="2"/>
      <w:sz w:val="21"/>
      <w:szCs w:val="24"/>
    </w:rPr>
  </w:style>
  <w:style w:type="paragraph" w:customStyle="1" w:styleId="70">
    <w:name w:val="标题4-J"/>
    <w:basedOn w:val="51"/>
    <w:link w:val="72"/>
    <w:qFormat/>
    <w:uiPriority w:val="0"/>
    <w:pPr>
      <w:ind w:firstLine="482"/>
    </w:pPr>
    <w:rPr>
      <w:b/>
      <w:bCs/>
    </w:rPr>
  </w:style>
  <w:style w:type="paragraph" w:customStyle="1" w:styleId="71">
    <w:name w:val="Char Char Char Char Char Char1 Char1"/>
    <w:basedOn w:val="1"/>
    <w:qFormat/>
    <w:uiPriority w:val="0"/>
    <w:pPr>
      <w:ind w:firstLine="200" w:firstLineChars="200"/>
    </w:pPr>
  </w:style>
  <w:style w:type="character" w:customStyle="1" w:styleId="72">
    <w:name w:val="标题4-J 字符"/>
    <w:basedOn w:val="54"/>
    <w:link w:val="70"/>
    <w:qFormat/>
    <w:uiPriority w:val="0"/>
    <w:rPr>
      <w:b/>
      <w:bCs/>
      <w:color w:val="000000"/>
      <w:kern w:val="2"/>
      <w:sz w:val="24"/>
      <w:szCs w:val="24"/>
    </w:rPr>
  </w:style>
  <w:style w:type="paragraph" w:customStyle="1" w:styleId="73">
    <w:name w:val="图标题-J"/>
    <w:basedOn w:val="51"/>
    <w:link w:val="75"/>
    <w:qFormat/>
    <w:uiPriority w:val="0"/>
    <w:pPr>
      <w:spacing w:after="120" w:afterLines="50" w:line="240" w:lineRule="auto"/>
      <w:ind w:firstLine="0" w:firstLineChars="0"/>
      <w:jc w:val="center"/>
    </w:pPr>
    <w:rPr>
      <w:rFonts w:eastAsia="黑体"/>
      <w:b/>
      <w:bCs/>
      <w:sz w:val="21"/>
      <w:szCs w:val="21"/>
    </w:rPr>
  </w:style>
  <w:style w:type="character" w:customStyle="1" w:styleId="74">
    <w:name w:val="标题 4 字符"/>
    <w:basedOn w:val="27"/>
    <w:link w:val="5"/>
    <w:semiHidden/>
    <w:qFormat/>
    <w:uiPriority w:val="0"/>
    <w:rPr>
      <w:rFonts w:asciiTheme="majorHAnsi" w:hAnsiTheme="majorHAnsi" w:eastAsiaTheme="majorEastAsia" w:cstheme="majorBidi"/>
      <w:b/>
      <w:bCs/>
      <w:kern w:val="2"/>
      <w:sz w:val="28"/>
      <w:szCs w:val="28"/>
    </w:rPr>
  </w:style>
  <w:style w:type="character" w:customStyle="1" w:styleId="75">
    <w:name w:val="图标题-J 字符"/>
    <w:basedOn w:val="54"/>
    <w:link w:val="73"/>
    <w:qFormat/>
    <w:uiPriority w:val="0"/>
    <w:rPr>
      <w:rFonts w:eastAsia="黑体"/>
      <w:b/>
      <w:bCs/>
      <w:color w:val="000000"/>
      <w:kern w:val="2"/>
      <w:sz w:val="21"/>
      <w:szCs w:val="21"/>
    </w:rPr>
  </w:style>
  <w:style w:type="character" w:customStyle="1" w:styleId="76">
    <w:name w:val="Char Char11"/>
    <w:qFormat/>
    <w:uiPriority w:val="0"/>
    <w:rPr>
      <w:rFonts w:ascii="宋体" w:hAnsi="宋体" w:eastAsia="汉鼎简书宋" w:cs="宋体"/>
      <w:b/>
      <w:spacing w:val="4"/>
      <w:kern w:val="2"/>
      <w:sz w:val="24"/>
      <w:szCs w:val="24"/>
      <w:lang w:val="en-US" w:eastAsia="zh-CN" w:bidi="ar-SA"/>
    </w:rPr>
  </w:style>
  <w:style w:type="paragraph" w:customStyle="1" w:styleId="77">
    <w:name w:val="表格式"/>
    <w:basedOn w:val="21"/>
    <w:qFormat/>
    <w:uiPriority w:val="0"/>
    <w:pPr>
      <w:ind w:left="0" w:firstLine="0" w:firstLineChars="0"/>
      <w:contextualSpacing w:val="0"/>
      <w:jc w:val="center"/>
    </w:pPr>
    <w:rPr>
      <w:szCs w:val="21"/>
    </w:rPr>
  </w:style>
  <w:style w:type="paragraph" w:customStyle="1" w:styleId="78">
    <w:name w:val="报告正文"/>
    <w:qFormat/>
    <w:uiPriority w:val="0"/>
    <w:pPr>
      <w:spacing w:line="360" w:lineRule="auto"/>
      <w:ind w:firstLine="723" w:firstLineChars="200"/>
    </w:pPr>
    <w:rPr>
      <w:rFonts w:ascii="Times New Roman" w:hAnsi="Times New Roman" w:eastAsia="宋体" w:cs="宋体"/>
      <w:sz w:val="24"/>
      <w:szCs w:val="24"/>
      <w:lang w:val="en-US" w:eastAsia="zh-CN" w:bidi="ar-SA"/>
    </w:rPr>
  </w:style>
  <w:style w:type="character" w:customStyle="1" w:styleId="79">
    <w:name w:val="表格标题 字符"/>
    <w:link w:val="80"/>
    <w:qFormat/>
    <w:uiPriority w:val="0"/>
    <w:rPr>
      <w:b/>
      <w:kern w:val="2"/>
      <w:sz w:val="21"/>
      <w:szCs w:val="21"/>
    </w:rPr>
  </w:style>
  <w:style w:type="paragraph" w:customStyle="1" w:styleId="80">
    <w:name w:val="表格标题"/>
    <w:basedOn w:val="1"/>
    <w:link w:val="79"/>
    <w:qFormat/>
    <w:uiPriority w:val="0"/>
    <w:pPr>
      <w:spacing w:before="120" w:beforeLines="50"/>
      <w:jc w:val="center"/>
    </w:pPr>
    <w:rPr>
      <w:b/>
      <w:szCs w:val="21"/>
    </w:rPr>
  </w:style>
  <w:style w:type="paragraph" w:customStyle="1" w:styleId="81">
    <w:name w:val="样式 样式 正文缩进s4标题4表正文正文非缩进图标题段1Body Text(ch)缩进ALT+Z特点四号正文不... + 首行缩..."/>
    <w:basedOn w:val="1"/>
    <w:unhideWhenUsed/>
    <w:qFormat/>
    <w:uiPriority w:val="0"/>
    <w:pPr>
      <w:ind w:firstLine="480" w:firstLineChars="200"/>
    </w:pPr>
    <w:rPr>
      <w:rFonts w:hint="eastAsia" w:ascii="宋体" w:hAnsi="宋体" w:cs="宋体"/>
      <w:kern w:val="0"/>
      <w:sz w:val="24"/>
    </w:rPr>
  </w:style>
  <w:style w:type="paragraph" w:customStyle="1" w:styleId="82">
    <w:name w:val="表标题-J"/>
    <w:basedOn w:val="1"/>
    <w:unhideWhenUsed/>
    <w:qFormat/>
    <w:uiPriority w:val="0"/>
    <w:pPr>
      <w:tabs>
        <w:tab w:val="left" w:pos="7920"/>
      </w:tabs>
      <w:spacing w:before="156" w:beforeLines="50"/>
      <w:jc w:val="center"/>
    </w:pPr>
    <w:rPr>
      <w:rFonts w:eastAsia="黑体"/>
    </w:rPr>
  </w:style>
  <w:style w:type="paragraph" w:customStyle="1" w:styleId="83">
    <w:name w:val="图标题-Jin"/>
    <w:basedOn w:val="6"/>
    <w:unhideWhenUsed/>
    <w:qFormat/>
    <w:uiPriority w:val="0"/>
    <w:pPr>
      <w:spacing w:after="156" w:afterLines="50" w:line="240" w:lineRule="auto"/>
      <w:ind w:firstLine="0" w:firstLineChars="0"/>
      <w:jc w:val="center"/>
    </w:pPr>
    <w:rPr>
      <w:b/>
      <w:sz w:val="21"/>
      <w:lang w:val="zh-CN"/>
    </w:rPr>
  </w:style>
  <w:style w:type="paragraph" w:customStyle="1" w:styleId="84">
    <w:name w:val="表美容-J"/>
    <w:basedOn w:val="51"/>
    <w:unhideWhenUsed/>
    <w:qFormat/>
    <w:uiPriority w:val="0"/>
    <w:pPr>
      <w:spacing w:line="240" w:lineRule="auto"/>
      <w:ind w:firstLine="0" w:firstLineChars="0"/>
      <w:jc w:val="center"/>
    </w:pPr>
    <w:rPr>
      <w:sz w:val="21"/>
    </w:rPr>
  </w:style>
  <w:style w:type="paragraph" w:customStyle="1" w:styleId="85">
    <w:name w:val="样式 正文缩进s4标题4表正文正文非缩进图标题段1Body Text(ch)缩进ALT+Z特点四号正文不...2"/>
    <w:basedOn w:val="6"/>
    <w:link w:val="86"/>
    <w:unhideWhenUsed/>
    <w:qFormat/>
    <w:uiPriority w:val="0"/>
    <w:pPr>
      <w:spacing w:line="240" w:lineRule="auto"/>
    </w:pPr>
    <w:rPr>
      <w:rFonts w:hint="eastAsia" w:ascii="宋体" w:hAnsi="Calibri"/>
      <w:kern w:val="0"/>
    </w:rPr>
  </w:style>
  <w:style w:type="character" w:customStyle="1" w:styleId="86">
    <w:name w:val="样式 正文缩进s4标题4表正文正文非缩进图标题段1Body Text(ch)缩进ALT+Z特点四号正文不...2 Char"/>
    <w:link w:val="85"/>
    <w:unhideWhenUsed/>
    <w:qFormat/>
    <w:uiPriority w:val="0"/>
    <w:rPr>
      <w:rFonts w:hint="eastAsia" w:ascii="宋体" w:hAnsi="Calibri" w:eastAsia="宋体"/>
      <w:sz w:val="24"/>
      <w:szCs w:val="24"/>
    </w:rPr>
  </w:style>
  <w:style w:type="paragraph" w:customStyle="1" w:styleId="87">
    <w:name w:val="图表"/>
    <w:basedOn w:val="1"/>
    <w:autoRedefine/>
    <w:qFormat/>
    <w:uiPriority w:val="0"/>
    <w:pPr>
      <w:adjustRightInd w:val="0"/>
      <w:spacing w:line="460" w:lineRule="atLeast"/>
      <w:jc w:val="center"/>
      <w:textAlignment w:val="baseline"/>
    </w:pPr>
    <w:rPr>
      <w:kern w:val="0"/>
    </w:rPr>
  </w:style>
  <w:style w:type="table" w:customStyle="1" w:styleId="88">
    <w:name w:val="Table Normal"/>
    <w:autoRedefine/>
    <w:semiHidden/>
    <w:unhideWhenUsed/>
    <w:qFormat/>
    <w:uiPriority w:val="0"/>
    <w:tblPr>
      <w:tblCellMar>
        <w:top w:w="0" w:type="dxa"/>
        <w:left w:w="0" w:type="dxa"/>
        <w:bottom w:w="0" w:type="dxa"/>
        <w:right w:w="0" w:type="dxa"/>
      </w:tblCellMar>
    </w:tblPr>
  </w:style>
  <w:style w:type="paragraph" w:customStyle="1" w:styleId="89">
    <w:name w:val="中冶正文"/>
    <w:basedOn w:val="1"/>
    <w:autoRedefine/>
    <w:qFormat/>
    <w:uiPriority w:val="0"/>
    <w:pPr>
      <w:autoSpaceDN w:val="0"/>
      <w:spacing w:line="500" w:lineRule="exact"/>
      <w:ind w:firstLine="480" w:firstLineChars="200"/>
    </w:pPr>
    <w:rPr>
      <w:rFonts w:ascii="等线" w:hAnsi="等线" w:cs="等线"/>
      <w:kern w:val="0"/>
    </w:rPr>
  </w:style>
  <w:style w:type="paragraph" w:customStyle="1" w:styleId="90">
    <w:name w:val="正文部分"/>
    <w:basedOn w:val="1"/>
    <w:qFormat/>
    <w:uiPriority w:val="0"/>
    <w:pPr>
      <w:adjustRightInd w:val="0"/>
      <w:snapToGrid w:val="0"/>
      <w:spacing w:line="360" w:lineRule="auto"/>
      <w:ind w:firstLine="720" w:firstLineChars="200"/>
    </w:pPr>
    <w:rPr>
      <w:rFonts w:hint="eastAsia"/>
    </w:rPr>
  </w:style>
  <w:style w:type="paragraph" w:customStyle="1" w:styleId="91">
    <w:name w:val="表"/>
    <w:basedOn w:val="1"/>
    <w:qFormat/>
    <w:uiPriority w:val="0"/>
    <w:pPr>
      <w:jc w:val="center"/>
    </w:pPr>
    <w:rPr>
      <w:rFonts w:ascii="Calibri" w:hAnsi="Calibri"/>
      <w:b/>
    </w:rPr>
  </w:style>
  <w:style w:type="paragraph" w:customStyle="1" w:styleId="92">
    <w:name w:val="Table Text"/>
    <w:basedOn w:val="1"/>
    <w:autoRedefine/>
    <w:semiHidden/>
    <w:qFormat/>
    <w:uiPriority w:val="0"/>
    <w:rPr>
      <w:rFonts w:ascii="仿宋" w:hAnsi="仿宋" w:eastAsia="仿宋" w:cs="仿宋"/>
      <w:sz w:val="20"/>
      <w:szCs w:val="20"/>
      <w:lang w:eastAsia="en-US"/>
    </w:rPr>
  </w:style>
</w:styles>
</file>

<file path=word/_rels/document.xml.rels><?xml version="1.0" encoding="UTF-8" standalone="yes"?>
<Relationships xmlns="http://schemas.openxmlformats.org/package/2006/relationships"><Relationship Id="rId92" Type="http://schemas.openxmlformats.org/officeDocument/2006/relationships/fontTable" Target="fontTable.xml"/><Relationship Id="rId91" Type="http://schemas.openxmlformats.org/officeDocument/2006/relationships/customXml" Target="../customXml/item2.xml"/><Relationship Id="rId90" Type="http://schemas.openxmlformats.org/officeDocument/2006/relationships/numbering" Target="numbering.xml"/><Relationship Id="rId9" Type="http://schemas.openxmlformats.org/officeDocument/2006/relationships/theme" Target="theme/theme1.xml"/><Relationship Id="rId89" Type="http://schemas.openxmlformats.org/officeDocument/2006/relationships/customXml" Target="../customXml/item1.xml"/><Relationship Id="rId88" Type="http://schemas.openxmlformats.org/officeDocument/2006/relationships/image" Target="media/image48.png"/><Relationship Id="rId87" Type="http://schemas.openxmlformats.org/officeDocument/2006/relationships/image" Target="media/image47.jpeg"/><Relationship Id="rId86" Type="http://schemas.openxmlformats.org/officeDocument/2006/relationships/image" Target="media/image46.wmf"/><Relationship Id="rId85" Type="http://schemas.openxmlformats.org/officeDocument/2006/relationships/oleObject" Target="embeddings/oleObject29.bin"/><Relationship Id="rId84" Type="http://schemas.openxmlformats.org/officeDocument/2006/relationships/image" Target="media/image45.wmf"/><Relationship Id="rId83" Type="http://schemas.openxmlformats.org/officeDocument/2006/relationships/oleObject" Target="embeddings/oleObject28.bin"/><Relationship Id="rId82" Type="http://schemas.openxmlformats.org/officeDocument/2006/relationships/image" Target="media/image44.wmf"/><Relationship Id="rId81" Type="http://schemas.openxmlformats.org/officeDocument/2006/relationships/oleObject" Target="embeddings/oleObject27.bin"/><Relationship Id="rId80" Type="http://schemas.openxmlformats.org/officeDocument/2006/relationships/image" Target="media/image43.wmf"/><Relationship Id="rId8" Type="http://schemas.openxmlformats.org/officeDocument/2006/relationships/footer" Target="footer5.xml"/><Relationship Id="rId79" Type="http://schemas.openxmlformats.org/officeDocument/2006/relationships/oleObject" Target="embeddings/oleObject26.bin"/><Relationship Id="rId78" Type="http://schemas.openxmlformats.org/officeDocument/2006/relationships/image" Target="media/image42.wmf"/><Relationship Id="rId77" Type="http://schemas.openxmlformats.org/officeDocument/2006/relationships/oleObject" Target="embeddings/oleObject25.bin"/><Relationship Id="rId76" Type="http://schemas.openxmlformats.org/officeDocument/2006/relationships/image" Target="media/image41.wmf"/><Relationship Id="rId75" Type="http://schemas.openxmlformats.org/officeDocument/2006/relationships/oleObject" Target="embeddings/oleObject24.bin"/><Relationship Id="rId74" Type="http://schemas.openxmlformats.org/officeDocument/2006/relationships/image" Target="media/image40.wmf"/><Relationship Id="rId73" Type="http://schemas.openxmlformats.org/officeDocument/2006/relationships/oleObject" Target="embeddings/oleObject23.bin"/><Relationship Id="rId72" Type="http://schemas.openxmlformats.org/officeDocument/2006/relationships/image" Target="media/image39.wmf"/><Relationship Id="rId71" Type="http://schemas.openxmlformats.org/officeDocument/2006/relationships/oleObject" Target="embeddings/oleObject22.bin"/><Relationship Id="rId70" Type="http://schemas.openxmlformats.org/officeDocument/2006/relationships/image" Target="media/image38.wmf"/><Relationship Id="rId7" Type="http://schemas.openxmlformats.org/officeDocument/2006/relationships/footer" Target="footer4.xml"/><Relationship Id="rId69" Type="http://schemas.openxmlformats.org/officeDocument/2006/relationships/oleObject" Target="embeddings/oleObject21.bin"/><Relationship Id="rId68" Type="http://schemas.openxmlformats.org/officeDocument/2006/relationships/image" Target="media/image37.wmf"/><Relationship Id="rId67" Type="http://schemas.openxmlformats.org/officeDocument/2006/relationships/oleObject" Target="embeddings/oleObject20.bin"/><Relationship Id="rId66" Type="http://schemas.openxmlformats.org/officeDocument/2006/relationships/image" Target="media/image36.wmf"/><Relationship Id="rId65" Type="http://schemas.openxmlformats.org/officeDocument/2006/relationships/oleObject" Target="embeddings/oleObject19.bin"/><Relationship Id="rId64" Type="http://schemas.openxmlformats.org/officeDocument/2006/relationships/image" Target="media/image35.wmf"/><Relationship Id="rId63" Type="http://schemas.openxmlformats.org/officeDocument/2006/relationships/oleObject" Target="embeddings/oleObject18.bin"/><Relationship Id="rId62" Type="http://schemas.openxmlformats.org/officeDocument/2006/relationships/image" Target="media/image34.wmf"/><Relationship Id="rId61" Type="http://schemas.openxmlformats.org/officeDocument/2006/relationships/oleObject" Target="embeddings/oleObject17.bin"/><Relationship Id="rId60" Type="http://schemas.openxmlformats.org/officeDocument/2006/relationships/image" Target="media/image33.wmf"/><Relationship Id="rId6" Type="http://schemas.openxmlformats.org/officeDocument/2006/relationships/header" Target="header1.xml"/><Relationship Id="rId59" Type="http://schemas.openxmlformats.org/officeDocument/2006/relationships/oleObject" Target="embeddings/oleObject16.bin"/><Relationship Id="rId58" Type="http://schemas.openxmlformats.org/officeDocument/2006/relationships/image" Target="media/image32.wmf"/><Relationship Id="rId57" Type="http://schemas.openxmlformats.org/officeDocument/2006/relationships/oleObject" Target="embeddings/oleObject15.bin"/><Relationship Id="rId56" Type="http://schemas.openxmlformats.org/officeDocument/2006/relationships/image" Target="media/image31.wmf"/><Relationship Id="rId55" Type="http://schemas.openxmlformats.org/officeDocument/2006/relationships/oleObject" Target="embeddings/oleObject14.bin"/><Relationship Id="rId54" Type="http://schemas.openxmlformats.org/officeDocument/2006/relationships/image" Target="media/image30.wmf"/><Relationship Id="rId53" Type="http://schemas.openxmlformats.org/officeDocument/2006/relationships/oleObject" Target="embeddings/oleObject13.bin"/><Relationship Id="rId52" Type="http://schemas.openxmlformats.org/officeDocument/2006/relationships/image" Target="media/image29.wmf"/><Relationship Id="rId51" Type="http://schemas.openxmlformats.org/officeDocument/2006/relationships/oleObject" Target="embeddings/oleObject12.bin"/><Relationship Id="rId50" Type="http://schemas.openxmlformats.org/officeDocument/2006/relationships/image" Target="media/image28.wmf"/><Relationship Id="rId5" Type="http://schemas.openxmlformats.org/officeDocument/2006/relationships/footer" Target="footer3.xml"/><Relationship Id="rId49" Type="http://schemas.openxmlformats.org/officeDocument/2006/relationships/oleObject" Target="embeddings/oleObject11.bin"/><Relationship Id="rId48" Type="http://schemas.openxmlformats.org/officeDocument/2006/relationships/image" Target="media/image27.jpeg"/><Relationship Id="rId47" Type="http://schemas.openxmlformats.org/officeDocument/2006/relationships/image" Target="media/image26.jpeg"/><Relationship Id="rId46" Type="http://schemas.openxmlformats.org/officeDocument/2006/relationships/image" Target="media/image25.wmf"/><Relationship Id="rId45" Type="http://schemas.openxmlformats.org/officeDocument/2006/relationships/oleObject" Target="embeddings/oleObject10.bin"/><Relationship Id="rId44" Type="http://schemas.openxmlformats.org/officeDocument/2006/relationships/image" Target="media/image24.wmf"/><Relationship Id="rId43" Type="http://schemas.openxmlformats.org/officeDocument/2006/relationships/oleObject" Target="embeddings/oleObject9.bin"/><Relationship Id="rId42" Type="http://schemas.openxmlformats.org/officeDocument/2006/relationships/image" Target="media/image23.wmf"/><Relationship Id="rId41" Type="http://schemas.openxmlformats.org/officeDocument/2006/relationships/oleObject" Target="embeddings/oleObject8.bin"/><Relationship Id="rId40" Type="http://schemas.openxmlformats.org/officeDocument/2006/relationships/image" Target="media/image22.wmf"/><Relationship Id="rId4" Type="http://schemas.openxmlformats.org/officeDocument/2006/relationships/footer" Target="footer2.xml"/><Relationship Id="rId39" Type="http://schemas.openxmlformats.org/officeDocument/2006/relationships/oleObject" Target="embeddings/oleObject7.bin"/><Relationship Id="rId38" Type="http://schemas.openxmlformats.org/officeDocument/2006/relationships/image" Target="media/image21.wmf"/><Relationship Id="rId37" Type="http://schemas.openxmlformats.org/officeDocument/2006/relationships/oleObject" Target="embeddings/oleObject6.bin"/><Relationship Id="rId36" Type="http://schemas.openxmlformats.org/officeDocument/2006/relationships/image" Target="media/image20.jpeg"/><Relationship Id="rId35" Type="http://schemas.openxmlformats.org/officeDocument/2006/relationships/image" Target="media/image19.wmf"/><Relationship Id="rId34" Type="http://schemas.openxmlformats.org/officeDocument/2006/relationships/oleObject" Target="embeddings/oleObject5.bin"/><Relationship Id="rId33" Type="http://schemas.openxmlformats.org/officeDocument/2006/relationships/image" Target="media/image18.wmf"/><Relationship Id="rId32" Type="http://schemas.openxmlformats.org/officeDocument/2006/relationships/oleObject" Target="embeddings/oleObject4.bin"/><Relationship Id="rId31" Type="http://schemas.openxmlformats.org/officeDocument/2006/relationships/image" Target="media/image17.wmf"/><Relationship Id="rId30" Type="http://schemas.openxmlformats.org/officeDocument/2006/relationships/oleObject" Target="embeddings/oleObject3.bin"/><Relationship Id="rId3" Type="http://schemas.openxmlformats.org/officeDocument/2006/relationships/footer" Target="footer1.xml"/><Relationship Id="rId29" Type="http://schemas.openxmlformats.org/officeDocument/2006/relationships/image" Target="media/image16.wmf"/><Relationship Id="rId28" Type="http://schemas.openxmlformats.org/officeDocument/2006/relationships/oleObject" Target="embeddings/oleObject2.bin"/><Relationship Id="rId27" Type="http://schemas.openxmlformats.org/officeDocument/2006/relationships/image" Target="media/image15.wmf"/><Relationship Id="rId26" Type="http://schemas.openxmlformats.org/officeDocument/2006/relationships/oleObject" Target="embeddings/oleObject1.bin"/><Relationship Id="rId25" Type="http://schemas.openxmlformats.org/officeDocument/2006/relationships/image" Target="media/image14.png"/><Relationship Id="rId24" Type="http://schemas.openxmlformats.org/officeDocument/2006/relationships/image" Target="media/image13.jpeg"/><Relationship Id="rId23" Type="http://schemas.openxmlformats.org/officeDocument/2006/relationships/image" Target="media/image12.jpeg"/><Relationship Id="rId22" Type="http://schemas.openxmlformats.org/officeDocument/2006/relationships/image" Target="media/image11.png"/><Relationship Id="rId21" Type="http://schemas.openxmlformats.org/officeDocument/2006/relationships/image" Target="media/image10.emf"/><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emf"/><Relationship Id="rId18" Type="http://schemas.openxmlformats.org/officeDocument/2006/relationships/package" Target="embeddings/Microsoft_Visio___2.vsdx"/><Relationship Id="rId17" Type="http://schemas.openxmlformats.org/officeDocument/2006/relationships/image" Target="media/image7.emf"/><Relationship Id="rId16" Type="http://schemas.openxmlformats.org/officeDocument/2006/relationships/package" Target="embeddings/Microsoft_Visio___1.vsdx"/><Relationship Id="rId15" Type="http://schemas.openxmlformats.org/officeDocument/2006/relationships/image" Target="media/image6.jpe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713402A-2F85-4780-B9B6-D4DE53A63B5B}">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91</Pages>
  <Words>111</Words>
  <Characters>122</Characters>
  <Lines>440</Lines>
  <Paragraphs>124</Paragraphs>
  <TotalTime>594</TotalTime>
  <ScaleCrop>false</ScaleCrop>
  <LinksUpToDate>false</LinksUpToDate>
  <CharactersWithSpaces>127</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2021-10-21T07:26:00Z</dcterms:created>
  <dc:creator>lhj</dc:creator>
  <cp:lastModifiedBy>拒绝者</cp:lastModifiedBy>
  <cp:lastPrinted>2020-12-24T01:50:00Z</cp:lastPrinted>
  <dcterms:modified xsi:type="dcterms:W3CDTF">2025-03-18T02:57:10Z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KSOTemplateDocerSaveRecord">
    <vt:lpwstr>eyJoZGlkIjoiYzYxMWVjYTA2Mzg4OTJkNzM0NWQ4MDNiOWJhOTA5ZTEiLCJ1c2VySWQiOiI0OTQ3NDkxMzYifQ==</vt:lpwstr>
  </property>
  <property fmtid="{D5CDD505-2E9C-101B-9397-08002B2CF9AE}" pid="4" name="ICV">
    <vt:lpwstr>CAF6B755BAE7452E8EEB472FF63873CA_12</vt:lpwstr>
  </property>
</Properties>
</file>