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3AA39">
      <w:pPr>
        <w:rPr>
          <w:rFonts w:ascii="仿宋_GB2312" w:hAnsi="仿宋_GB2312" w:eastAsia="仿宋_GB2312" w:cs="仿宋_GB2312"/>
          <w:color w:val="auto"/>
          <w:sz w:val="36"/>
          <w:szCs w:val="36"/>
        </w:rPr>
      </w:pPr>
    </w:p>
    <w:p w14:paraId="0D34B25D">
      <w:pPr>
        <w:rPr>
          <w:rFonts w:ascii="仿宋_GB2312" w:hAnsi="仿宋_GB2312" w:eastAsia="仿宋_GB2312" w:cs="仿宋_GB2312"/>
          <w:color w:val="auto"/>
          <w:sz w:val="36"/>
          <w:szCs w:val="36"/>
        </w:rPr>
      </w:pPr>
    </w:p>
    <w:p w14:paraId="7AF8C850">
      <w:pPr>
        <w:rPr>
          <w:rFonts w:ascii="仿宋_GB2312" w:hAnsi="仿宋_GB2312" w:eastAsia="仿宋_GB2312" w:cs="仿宋_GB2312"/>
          <w:color w:val="auto"/>
          <w:sz w:val="36"/>
          <w:szCs w:val="36"/>
        </w:rPr>
      </w:pPr>
    </w:p>
    <w:p w14:paraId="07114934">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7E674F7D">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（生态影响类）</w:t>
      </w:r>
    </w:p>
    <w:p w14:paraId="3A8E7575">
      <w:pPr>
        <w:adjustRightInd w:val="0"/>
        <w:snapToGrid w:val="0"/>
        <w:spacing w:line="288" w:lineRule="auto"/>
        <w:jc w:val="center"/>
        <w:outlineLvl w:val="0"/>
        <w:rPr>
          <w:rFonts w:ascii="华文仿宋" w:hAnsi="华文仿宋" w:eastAsia="华文仿宋" w:cs="华文仿宋"/>
          <w:color w:val="auto"/>
          <w:kern w:val="44"/>
          <w:sz w:val="44"/>
          <w:szCs w:val="44"/>
        </w:rPr>
      </w:pPr>
      <w:bookmarkStart w:id="0" w:name="_Hlk57883728"/>
    </w:p>
    <w:p w14:paraId="033895A3">
      <w:pPr>
        <w:jc w:val="center"/>
        <w:rPr>
          <w:rFonts w:eastAsia="仿宋"/>
          <w:color w:val="auto"/>
          <w:sz w:val="52"/>
          <w:szCs w:val="52"/>
        </w:rPr>
      </w:pPr>
    </w:p>
    <w:p w14:paraId="28CDD09C">
      <w:pPr>
        <w:ind w:firstLine="1040"/>
        <w:rPr>
          <w:rFonts w:eastAsia="仿宋"/>
          <w:color w:val="auto"/>
          <w:sz w:val="44"/>
          <w:szCs w:val="44"/>
        </w:rPr>
      </w:pPr>
    </w:p>
    <w:p w14:paraId="0E394BDA">
      <w:pPr>
        <w:ind w:firstLine="1040"/>
        <w:rPr>
          <w:rFonts w:eastAsia="仿宋"/>
          <w:color w:val="auto"/>
          <w:sz w:val="44"/>
          <w:szCs w:val="44"/>
        </w:rPr>
      </w:pPr>
    </w:p>
    <w:p w14:paraId="0B323549">
      <w:pPr>
        <w:ind w:firstLine="1040"/>
        <w:rPr>
          <w:rFonts w:eastAsia="仿宋"/>
          <w:color w:val="auto"/>
          <w:sz w:val="44"/>
          <w:szCs w:val="44"/>
        </w:rPr>
      </w:pPr>
    </w:p>
    <w:p w14:paraId="436802B8">
      <w:pPr>
        <w:ind w:firstLine="1040"/>
        <w:rPr>
          <w:rFonts w:eastAsia="仿宋"/>
          <w:color w:val="auto"/>
          <w:sz w:val="44"/>
          <w:szCs w:val="44"/>
        </w:rPr>
      </w:pPr>
    </w:p>
    <w:bookmarkEnd w:id="0"/>
    <w:p w14:paraId="21FE7893">
      <w:pPr>
        <w:adjustRightInd w:val="0"/>
        <w:snapToGrid w:val="0"/>
        <w:spacing w:line="360" w:lineRule="auto"/>
        <w:ind w:left="2519" w:leftChars="495" w:hanging="1480"/>
        <w:rPr>
          <w:rFonts w:hint="eastAsia" w:ascii="宋体" w:hAnsi="宋体" w:cs="宋体"/>
          <w:color w:val="auto"/>
          <w:sz w:val="28"/>
          <w:szCs w:val="28"/>
          <w:u w:val="single"/>
        </w:rPr>
      </w:pPr>
      <w:r>
        <w:rPr>
          <w:rFonts w:hint="eastAsia" w:ascii="宋体" w:hAnsi="宋体" w:cs="宋体"/>
          <w:color w:val="auto"/>
          <w:sz w:val="28"/>
          <w:szCs w:val="28"/>
        </w:rPr>
        <w:t>项目名称：</w:t>
      </w:r>
      <w:r>
        <w:rPr>
          <w:rFonts w:hint="eastAsia" w:ascii="宋体" w:hAnsi="宋体" w:cs="宋体"/>
          <w:color w:val="auto"/>
          <w:sz w:val="28"/>
          <w:szCs w:val="28"/>
          <w:u w:val="single"/>
          <w:lang w:eastAsia="zh-CN"/>
        </w:rPr>
        <w:t xml:space="preserve"> 朱集东煤矿1262（1）工作面地面钻井工程</w:t>
      </w:r>
      <w:r>
        <w:rPr>
          <w:rFonts w:hint="eastAsia" w:ascii="宋体" w:hAnsi="宋体" w:cs="宋体"/>
          <w:color w:val="auto"/>
          <w:sz w:val="28"/>
          <w:szCs w:val="28"/>
          <w:u w:val="single"/>
        </w:rPr>
        <w:t xml:space="preserve">                       </w:t>
      </w:r>
    </w:p>
    <w:p w14:paraId="3DE91426">
      <w:pPr>
        <w:adjustRightInd w:val="0"/>
        <w:snapToGrid w:val="0"/>
        <w:spacing w:line="360" w:lineRule="auto"/>
        <w:ind w:firstLine="1040"/>
        <w:rPr>
          <w:rFonts w:hint="eastAsia" w:ascii="宋体" w:hAnsi="宋体" w:cs="宋体"/>
          <w:color w:val="auto"/>
          <w:sz w:val="28"/>
          <w:szCs w:val="28"/>
          <w:u w:val="single"/>
        </w:rPr>
      </w:pPr>
      <w:r>
        <w:rPr>
          <w:rFonts w:hint="eastAsia" w:ascii="宋体" w:hAnsi="宋体" w:cs="宋体"/>
          <w:color w:val="auto"/>
          <w:sz w:val="28"/>
          <w:szCs w:val="28"/>
        </w:rPr>
        <w:t>建设单位（盖章）：</w:t>
      </w:r>
      <w:r>
        <w:rPr>
          <w:rFonts w:hint="eastAsia" w:ascii="宋体" w:hAnsi="宋体" w:cs="宋体"/>
          <w:color w:val="auto"/>
          <w:sz w:val="28"/>
          <w:szCs w:val="28"/>
          <w:u w:val="single"/>
          <w:lang w:eastAsia="zh-CN"/>
        </w:rPr>
        <w:t>淮南矿业（集团）有限责任公司朱集东煤矿</w:t>
      </w:r>
      <w:r>
        <w:rPr>
          <w:rFonts w:hint="eastAsia" w:ascii="宋体" w:hAnsi="宋体" w:cs="宋体"/>
          <w:color w:val="auto"/>
          <w:sz w:val="28"/>
          <w:szCs w:val="28"/>
          <w:u w:val="single"/>
        </w:rPr>
        <w:t xml:space="preserve">                 </w:t>
      </w:r>
    </w:p>
    <w:p w14:paraId="62221430">
      <w:pPr>
        <w:adjustRightInd w:val="0"/>
        <w:snapToGrid w:val="0"/>
        <w:spacing w:line="360" w:lineRule="auto"/>
        <w:ind w:firstLine="1040"/>
        <w:rPr>
          <w:rFonts w:hint="eastAsia" w:ascii="宋体" w:hAnsi="宋体" w:cs="宋体"/>
          <w:color w:val="auto"/>
          <w:sz w:val="28"/>
          <w:szCs w:val="28"/>
          <w:u w:val="single"/>
        </w:rPr>
      </w:pPr>
      <w:r>
        <w:rPr>
          <w:rFonts w:hint="eastAsia" w:ascii="宋体" w:hAnsi="宋体" w:cs="宋体"/>
          <w:color w:val="auto"/>
          <w:sz w:val="28"/>
          <w:szCs w:val="28"/>
        </w:rPr>
        <w:t xml:space="preserve">编制日期： </w:t>
      </w:r>
      <w:r>
        <w:rPr>
          <w:rFonts w:hint="eastAsia" w:ascii="宋体" w:hAnsi="宋体" w:cs="宋体"/>
          <w:color w:val="auto"/>
          <w:sz w:val="28"/>
          <w:szCs w:val="28"/>
          <w:u w:val="single"/>
        </w:rPr>
        <w:t xml:space="preserve">            二零二</w:t>
      </w:r>
      <w:r>
        <w:rPr>
          <w:rFonts w:hint="eastAsia" w:ascii="宋体" w:hAnsi="宋体" w:cs="宋体"/>
          <w:color w:val="auto"/>
          <w:sz w:val="28"/>
          <w:szCs w:val="28"/>
          <w:u w:val="single"/>
          <w:lang w:eastAsia="zh-CN"/>
        </w:rPr>
        <w:t>五</w:t>
      </w:r>
      <w:r>
        <w:rPr>
          <w:rFonts w:hint="eastAsia" w:ascii="宋体" w:hAnsi="宋体" w:cs="宋体"/>
          <w:color w:val="auto"/>
          <w:sz w:val="28"/>
          <w:szCs w:val="28"/>
          <w:u w:val="single"/>
        </w:rPr>
        <w:t>年</w:t>
      </w:r>
      <w:r>
        <w:rPr>
          <w:rFonts w:hint="eastAsia" w:ascii="宋体" w:hAnsi="宋体" w:cs="宋体"/>
          <w:color w:val="auto"/>
          <w:sz w:val="28"/>
          <w:szCs w:val="28"/>
          <w:u w:val="single"/>
          <w:lang w:eastAsia="zh-CN"/>
        </w:rPr>
        <w:t>四</w:t>
      </w:r>
      <w:r>
        <w:rPr>
          <w:rFonts w:hint="eastAsia" w:ascii="宋体" w:hAnsi="宋体" w:cs="宋体"/>
          <w:color w:val="auto"/>
          <w:sz w:val="28"/>
          <w:szCs w:val="28"/>
          <w:u w:val="single"/>
        </w:rPr>
        <w:t xml:space="preserve">月                                 </w:t>
      </w:r>
    </w:p>
    <w:p w14:paraId="02FC6F1B">
      <w:pPr>
        <w:adjustRightInd w:val="0"/>
        <w:snapToGrid w:val="0"/>
        <w:spacing w:line="288" w:lineRule="auto"/>
        <w:ind w:firstLine="1040"/>
        <w:rPr>
          <w:rFonts w:ascii="仿宋_GB2312" w:eastAsia="仿宋_GB2312"/>
          <w:color w:val="auto"/>
          <w:sz w:val="36"/>
          <w:szCs w:val="36"/>
          <w:u w:val="single"/>
        </w:rPr>
      </w:pPr>
    </w:p>
    <w:p w14:paraId="51548D0E">
      <w:pPr>
        <w:adjustRightInd w:val="0"/>
        <w:snapToGrid w:val="0"/>
        <w:spacing w:line="288" w:lineRule="auto"/>
        <w:ind w:firstLine="1040"/>
        <w:rPr>
          <w:rFonts w:ascii="仿宋_GB2312" w:eastAsia="仿宋_GB2312"/>
          <w:color w:val="auto"/>
          <w:sz w:val="36"/>
          <w:szCs w:val="36"/>
        </w:rPr>
      </w:pPr>
    </w:p>
    <w:p w14:paraId="75A4C3C1">
      <w:pPr>
        <w:adjustRightInd w:val="0"/>
        <w:snapToGrid w:val="0"/>
        <w:spacing w:line="288" w:lineRule="auto"/>
        <w:ind w:firstLine="1040"/>
        <w:rPr>
          <w:rFonts w:ascii="仿宋_GB2312" w:eastAsia="仿宋_GB2312"/>
          <w:color w:val="auto"/>
          <w:sz w:val="36"/>
          <w:szCs w:val="36"/>
        </w:rPr>
      </w:pPr>
    </w:p>
    <w:p w14:paraId="1EED1784">
      <w:pPr>
        <w:adjustRightInd w:val="0"/>
        <w:snapToGrid w:val="0"/>
        <w:spacing w:line="288" w:lineRule="auto"/>
        <w:ind w:firstLine="1040"/>
        <w:rPr>
          <w:rFonts w:hint="eastAsia" w:ascii="仿宋_GB2312" w:eastAsia="仿宋_GB2312"/>
          <w:color w:val="auto"/>
          <w:sz w:val="36"/>
          <w:szCs w:val="36"/>
        </w:rPr>
      </w:pPr>
    </w:p>
    <w:p w14:paraId="1019E046">
      <w:pPr>
        <w:adjustRightInd w:val="0"/>
        <w:snapToGrid w:val="0"/>
        <w:spacing w:line="288" w:lineRule="auto"/>
        <w:ind w:firstLine="1040"/>
        <w:rPr>
          <w:rFonts w:hint="eastAsia" w:ascii="仿宋_GB2312" w:eastAsia="仿宋_GB2312"/>
          <w:color w:val="auto"/>
          <w:sz w:val="36"/>
          <w:szCs w:val="36"/>
        </w:rPr>
      </w:pPr>
    </w:p>
    <w:p w14:paraId="2F8F22E6">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4D8FD30B">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1CF95ADC">
      <w:pPr>
        <w:widowControl/>
        <w:spacing w:before="100" w:beforeAutospacing="1" w:after="100" w:afterAutospacing="1"/>
        <w:jc w:val="center"/>
        <w:outlineLvl w:val="0"/>
        <w:rPr>
          <w:rFonts w:ascii="黑体" w:hAnsi="黑体" w:eastAsia="黑体" w:cs="Times New Roman"/>
          <w:snapToGrid w:val="0"/>
          <w:color w:val="auto"/>
          <w:kern w:val="0"/>
          <w:sz w:val="30"/>
          <w:szCs w:val="30"/>
        </w:rPr>
      </w:pPr>
      <w:r>
        <w:rPr>
          <w:rFonts w:hint="eastAsia" w:ascii="黑体" w:hAnsi="黑体" w:eastAsia="黑体" w:cs="Times New Roman"/>
          <w:snapToGrid w:val="0"/>
          <w:color w:val="auto"/>
          <w:kern w:val="0"/>
          <w:sz w:val="30"/>
          <w:szCs w:val="30"/>
        </w:rPr>
        <w:t>一、建设项目基本情况</w:t>
      </w:r>
    </w:p>
    <w:tbl>
      <w:tblPr>
        <w:tblStyle w:val="26"/>
        <w:tblW w:w="498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11"/>
        <w:gridCol w:w="2937"/>
        <w:gridCol w:w="2483"/>
        <w:gridCol w:w="2739"/>
      </w:tblGrid>
      <w:tr w14:paraId="37D8A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6" w:hRule="atLeast"/>
        </w:trPr>
        <w:tc>
          <w:tcPr>
            <w:tcW w:w="609" w:type="pct"/>
            <w:tcMar>
              <w:top w:w="16" w:type="dxa"/>
              <w:left w:w="16" w:type="dxa"/>
              <w:right w:w="16" w:type="dxa"/>
            </w:tcMar>
            <w:vAlign w:val="center"/>
          </w:tcPr>
          <w:p w14:paraId="33D28603">
            <w:pPr>
              <w:spacing w:line="360" w:lineRule="auto"/>
              <w:jc w:val="center"/>
              <w:rPr>
                <w:rFonts w:ascii="Times New Roman" w:hAnsi="宋体" w:eastAsia="宋体" w:cs="Times New Roman"/>
                <w:color w:val="auto"/>
                <w:sz w:val="24"/>
                <w:szCs w:val="24"/>
              </w:rPr>
            </w:pPr>
            <w:r>
              <w:rPr>
                <w:rFonts w:ascii="Times New Roman" w:hAnsi="宋体" w:eastAsia="宋体" w:cs="Times New Roman"/>
                <w:color w:val="auto"/>
                <w:sz w:val="24"/>
                <w:szCs w:val="24"/>
              </w:rPr>
              <w:t>建设项目名称</w:t>
            </w:r>
          </w:p>
        </w:tc>
        <w:tc>
          <w:tcPr>
            <w:tcW w:w="4390" w:type="pct"/>
            <w:gridSpan w:val="3"/>
            <w:vAlign w:val="center"/>
          </w:tcPr>
          <w:p w14:paraId="3CA6A5F4">
            <w:pPr>
              <w:spacing w:line="360" w:lineRule="auto"/>
              <w:jc w:val="center"/>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t xml:space="preserve"> 朱集东煤矿1262（1）工作面地面钻井工程</w:t>
            </w:r>
          </w:p>
        </w:tc>
      </w:tr>
      <w:tr w14:paraId="6ADB8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609" w:type="pct"/>
            <w:tcMar>
              <w:top w:w="16" w:type="dxa"/>
              <w:left w:w="16" w:type="dxa"/>
              <w:right w:w="16" w:type="dxa"/>
            </w:tcMar>
            <w:vAlign w:val="center"/>
          </w:tcPr>
          <w:p w14:paraId="27C7C423">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项目代码</w:t>
            </w:r>
          </w:p>
        </w:tc>
        <w:tc>
          <w:tcPr>
            <w:tcW w:w="4390" w:type="pct"/>
            <w:gridSpan w:val="3"/>
            <w:vAlign w:val="center"/>
          </w:tcPr>
          <w:p w14:paraId="209A22A4">
            <w:pPr>
              <w:spacing w:line="360" w:lineRule="auto"/>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2503-340406-04-05-534109</w:t>
            </w:r>
          </w:p>
        </w:tc>
      </w:tr>
      <w:tr w14:paraId="6F37C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609" w:type="pct"/>
            <w:tcMar>
              <w:top w:w="16" w:type="dxa"/>
              <w:left w:w="16" w:type="dxa"/>
              <w:right w:w="16" w:type="dxa"/>
            </w:tcMar>
            <w:vAlign w:val="center"/>
          </w:tcPr>
          <w:p w14:paraId="77E46832">
            <w:pPr>
              <w:spacing w:line="360" w:lineRule="auto"/>
              <w:jc w:val="center"/>
              <w:rPr>
                <w:rFonts w:ascii="Times New Roman" w:hAnsi="宋体" w:eastAsia="宋体" w:cs="Times New Roman"/>
                <w:color w:val="auto"/>
                <w:sz w:val="24"/>
                <w:szCs w:val="24"/>
              </w:rPr>
            </w:pPr>
            <w:r>
              <w:rPr>
                <w:rFonts w:ascii="Times New Roman" w:hAnsi="宋体" w:eastAsia="宋体" w:cs="Times New Roman"/>
                <w:color w:val="auto"/>
                <w:sz w:val="24"/>
                <w:szCs w:val="24"/>
              </w:rPr>
              <w:t>建设单位联系人</w:t>
            </w:r>
          </w:p>
        </w:tc>
        <w:tc>
          <w:tcPr>
            <w:tcW w:w="1580" w:type="pct"/>
            <w:vAlign w:val="center"/>
          </w:tcPr>
          <w:p w14:paraId="0B1761C4">
            <w:pPr>
              <w:spacing w:line="360" w:lineRule="auto"/>
              <w:jc w:val="center"/>
              <w:rPr>
                <w:rFonts w:hint="default"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王***</w:t>
            </w:r>
          </w:p>
        </w:tc>
        <w:tc>
          <w:tcPr>
            <w:tcW w:w="1336" w:type="pct"/>
            <w:vAlign w:val="center"/>
          </w:tcPr>
          <w:p w14:paraId="00145B62">
            <w:pPr>
              <w:spacing w:line="360" w:lineRule="auto"/>
              <w:jc w:val="center"/>
              <w:rPr>
                <w:rFonts w:ascii="Times New Roman" w:hAnsi="宋体" w:eastAsia="宋体" w:cs="Times New Roman"/>
                <w:color w:val="auto"/>
                <w:sz w:val="24"/>
                <w:szCs w:val="24"/>
              </w:rPr>
            </w:pPr>
            <w:r>
              <w:rPr>
                <w:rFonts w:ascii="Times New Roman" w:hAnsi="宋体" w:eastAsia="宋体" w:cs="Times New Roman"/>
                <w:color w:val="auto"/>
                <w:sz w:val="24"/>
                <w:szCs w:val="24"/>
              </w:rPr>
              <w:t>联系方式</w:t>
            </w:r>
          </w:p>
        </w:tc>
        <w:tc>
          <w:tcPr>
            <w:tcW w:w="1473" w:type="pct"/>
            <w:vAlign w:val="center"/>
          </w:tcPr>
          <w:p w14:paraId="1517CEE6">
            <w:pPr>
              <w:spacing w:line="360" w:lineRule="auto"/>
              <w:jc w:val="center"/>
              <w:rPr>
                <w:rFonts w:hint="default"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w:t>
            </w:r>
          </w:p>
        </w:tc>
      </w:tr>
      <w:tr w14:paraId="2E032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609" w:type="pct"/>
            <w:tcMar>
              <w:top w:w="16" w:type="dxa"/>
              <w:left w:w="16" w:type="dxa"/>
              <w:right w:w="16" w:type="dxa"/>
            </w:tcMar>
            <w:vAlign w:val="center"/>
          </w:tcPr>
          <w:p w14:paraId="080D0640">
            <w:pPr>
              <w:spacing w:line="360" w:lineRule="auto"/>
              <w:jc w:val="center"/>
              <w:rPr>
                <w:rFonts w:ascii="Times New Roman" w:hAnsi="宋体" w:eastAsia="宋体" w:cs="Times New Roman"/>
                <w:color w:val="auto"/>
                <w:sz w:val="24"/>
                <w:szCs w:val="24"/>
              </w:rPr>
            </w:pPr>
            <w:r>
              <w:rPr>
                <w:rFonts w:ascii="Times New Roman" w:hAnsi="宋体" w:eastAsia="宋体" w:cs="Times New Roman"/>
                <w:color w:val="auto"/>
                <w:sz w:val="24"/>
                <w:szCs w:val="24"/>
              </w:rPr>
              <w:t>建设地点</w:t>
            </w:r>
          </w:p>
        </w:tc>
        <w:tc>
          <w:tcPr>
            <w:tcW w:w="4390" w:type="pct"/>
            <w:gridSpan w:val="3"/>
            <w:vAlign w:val="center"/>
          </w:tcPr>
          <w:p w14:paraId="28C50F4C">
            <w:pPr>
              <w:spacing w:line="360" w:lineRule="auto"/>
              <w:jc w:val="center"/>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rPr>
              <w:t>安徽省</w:t>
            </w:r>
            <w:r>
              <w:rPr>
                <w:rFonts w:hint="eastAsia" w:ascii="Times New Roman" w:hAnsi="宋体" w:eastAsia="宋体" w:cs="Times New Roman"/>
                <w:color w:val="auto"/>
                <w:sz w:val="24"/>
                <w:szCs w:val="24"/>
                <w:lang w:eastAsia="zh-CN"/>
              </w:rPr>
              <w:t>淮南市潘集区潘集镇小圩村</w:t>
            </w:r>
          </w:p>
        </w:tc>
      </w:tr>
      <w:tr w14:paraId="084ED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09" w:type="pct"/>
            <w:tcMar>
              <w:top w:w="16" w:type="dxa"/>
              <w:left w:w="16" w:type="dxa"/>
              <w:right w:w="16" w:type="dxa"/>
            </w:tcMar>
            <w:vAlign w:val="center"/>
          </w:tcPr>
          <w:p w14:paraId="668666CC">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地理坐标</w:t>
            </w:r>
          </w:p>
        </w:tc>
        <w:tc>
          <w:tcPr>
            <w:tcW w:w="4390" w:type="pct"/>
            <w:gridSpan w:val="3"/>
            <w:vAlign w:val="center"/>
          </w:tcPr>
          <w:p w14:paraId="59FCCB44">
            <w:pPr>
              <w:spacing w:line="360" w:lineRule="auto"/>
              <w:jc w:val="center"/>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lang w:val="en-US" w:eastAsia="zh-CN"/>
              </w:rPr>
              <w:t>1#井场</w:t>
            </w:r>
            <w:r>
              <w:rPr>
                <w:rFonts w:hint="eastAsia" w:ascii="Times New Roman" w:hAnsi="宋体" w:eastAsia="宋体" w:cs="Times New Roman"/>
                <w:color w:val="auto"/>
                <w:sz w:val="24"/>
                <w:szCs w:val="24"/>
                <w:highlight w:val="none"/>
              </w:rPr>
              <w:t xml:space="preserve">：中心坐标E </w:t>
            </w:r>
            <w:r>
              <w:rPr>
                <w:rFonts w:hint="eastAsia" w:ascii="Times New Roman" w:hAnsi="Times New Roman" w:eastAsia="宋体" w:cs="Times New Roman"/>
                <w:color w:val="auto"/>
                <w:sz w:val="24"/>
                <w:szCs w:val="24"/>
                <w:highlight w:val="none"/>
                <w:u w:val="single"/>
              </w:rPr>
              <w:t>116</w:t>
            </w:r>
            <w:r>
              <w:rPr>
                <w:rFonts w:ascii="Times New Roman" w:hAnsi="宋体" w:eastAsia="宋体" w:cs="Times New Roman"/>
                <w:color w:val="auto"/>
                <w:sz w:val="24"/>
                <w:szCs w:val="24"/>
                <w:highlight w:val="none"/>
              </w:rPr>
              <w:t>度</w:t>
            </w:r>
            <w:r>
              <w:rPr>
                <w:rFonts w:hint="eastAsia" w:ascii="Times New Roman" w:hAnsi="Times New Roman" w:eastAsia="宋体" w:cs="Times New Roman"/>
                <w:color w:val="auto"/>
                <w:sz w:val="24"/>
                <w:szCs w:val="24"/>
                <w:highlight w:val="none"/>
                <w:u w:val="single"/>
                <w:lang w:val="en-US" w:eastAsia="zh-CN"/>
              </w:rPr>
              <w:t>48</w:t>
            </w:r>
            <w:r>
              <w:rPr>
                <w:rFonts w:ascii="Times New Roman" w:hAnsi="宋体"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11.136</w:t>
            </w:r>
            <w:r>
              <w:rPr>
                <w:rFonts w:ascii="Times New Roman" w:hAnsi="宋体" w:eastAsia="宋体" w:cs="Times New Roman"/>
                <w:color w:val="auto"/>
                <w:sz w:val="24"/>
                <w:szCs w:val="24"/>
                <w:highlight w:val="none"/>
              </w:rPr>
              <w:t>秒，</w:t>
            </w:r>
            <w:r>
              <w:rPr>
                <w:rFonts w:hint="eastAsia" w:ascii="Times New Roman" w:hAnsi="宋体" w:eastAsia="宋体" w:cs="Times New Roman"/>
                <w:color w:val="auto"/>
                <w:sz w:val="24"/>
                <w:szCs w:val="24"/>
                <w:highlight w:val="none"/>
              </w:rPr>
              <w:t xml:space="preserve">N </w:t>
            </w:r>
            <w:r>
              <w:rPr>
                <w:rFonts w:hint="eastAsia" w:ascii="Times New Roman" w:hAnsi="Times New Roman" w:eastAsia="宋体" w:cs="Times New Roman"/>
                <w:color w:val="auto"/>
                <w:sz w:val="24"/>
                <w:szCs w:val="24"/>
                <w:highlight w:val="none"/>
                <w:u w:val="single"/>
              </w:rPr>
              <w:t>3</w:t>
            </w:r>
            <w:r>
              <w:rPr>
                <w:rFonts w:hint="eastAsia" w:ascii="Times New Roman" w:hAnsi="Times New Roman" w:eastAsia="宋体" w:cs="Times New Roman"/>
                <w:color w:val="auto"/>
                <w:sz w:val="24"/>
                <w:szCs w:val="24"/>
                <w:highlight w:val="none"/>
                <w:u w:val="single"/>
                <w:lang w:val="en-US" w:eastAsia="zh-CN"/>
              </w:rPr>
              <w:t>2</w:t>
            </w:r>
            <w:r>
              <w:rPr>
                <w:rFonts w:ascii="Times New Roman" w:hAnsi="宋体" w:eastAsia="宋体" w:cs="Times New Roman"/>
                <w:color w:val="auto"/>
                <w:sz w:val="24"/>
                <w:szCs w:val="24"/>
                <w:highlight w:val="none"/>
              </w:rPr>
              <w:t>度</w:t>
            </w:r>
            <w:r>
              <w:rPr>
                <w:rFonts w:hint="eastAsia" w:ascii="Times New Roman" w:hAnsi="Times New Roman" w:eastAsia="宋体" w:cs="Times New Roman"/>
                <w:color w:val="auto"/>
                <w:sz w:val="24"/>
                <w:szCs w:val="24"/>
                <w:highlight w:val="none"/>
                <w:u w:val="single"/>
                <w:lang w:val="en-US" w:eastAsia="zh-CN"/>
              </w:rPr>
              <w:t>51</w:t>
            </w:r>
            <w:r>
              <w:rPr>
                <w:rFonts w:ascii="Times New Roman" w:hAnsi="宋体"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48.978</w:t>
            </w:r>
            <w:r>
              <w:rPr>
                <w:rFonts w:ascii="Times New Roman" w:hAnsi="宋体" w:eastAsia="宋体" w:cs="Times New Roman"/>
                <w:color w:val="auto"/>
                <w:sz w:val="24"/>
                <w:szCs w:val="24"/>
                <w:highlight w:val="none"/>
              </w:rPr>
              <w:t>秒</w:t>
            </w:r>
          </w:p>
          <w:p w14:paraId="449AE062">
            <w:pPr>
              <w:spacing w:line="360" w:lineRule="auto"/>
              <w:jc w:val="center"/>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lang w:val="en-US" w:eastAsia="zh-CN"/>
              </w:rPr>
              <w:t>2#井场</w:t>
            </w:r>
            <w:r>
              <w:rPr>
                <w:rFonts w:hint="eastAsia" w:ascii="Times New Roman" w:hAnsi="宋体" w:eastAsia="宋体" w:cs="Times New Roman"/>
                <w:color w:val="auto"/>
                <w:sz w:val="24"/>
                <w:szCs w:val="24"/>
                <w:highlight w:val="none"/>
              </w:rPr>
              <w:t xml:space="preserve">：中心坐标E </w:t>
            </w:r>
            <w:r>
              <w:rPr>
                <w:rFonts w:hint="eastAsia" w:ascii="Times New Roman" w:hAnsi="Times New Roman" w:eastAsia="宋体" w:cs="Times New Roman"/>
                <w:color w:val="auto"/>
                <w:sz w:val="24"/>
                <w:szCs w:val="24"/>
                <w:highlight w:val="none"/>
                <w:u w:val="single"/>
              </w:rPr>
              <w:t>116</w:t>
            </w:r>
            <w:r>
              <w:rPr>
                <w:rFonts w:ascii="Times New Roman" w:hAnsi="宋体" w:eastAsia="宋体" w:cs="Times New Roman"/>
                <w:color w:val="auto"/>
                <w:sz w:val="24"/>
                <w:szCs w:val="24"/>
                <w:highlight w:val="none"/>
              </w:rPr>
              <w:t>度</w:t>
            </w:r>
            <w:r>
              <w:rPr>
                <w:rFonts w:hint="eastAsia" w:ascii="Times New Roman" w:hAnsi="Times New Roman" w:eastAsia="宋体" w:cs="Times New Roman"/>
                <w:color w:val="auto"/>
                <w:sz w:val="24"/>
                <w:szCs w:val="24"/>
                <w:highlight w:val="none"/>
                <w:u w:val="single"/>
                <w:lang w:val="en-US" w:eastAsia="zh-CN"/>
              </w:rPr>
              <w:t>48</w:t>
            </w:r>
            <w:r>
              <w:rPr>
                <w:rFonts w:ascii="Times New Roman" w:hAnsi="宋体"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16.960</w:t>
            </w:r>
            <w:r>
              <w:rPr>
                <w:rFonts w:ascii="Times New Roman" w:hAnsi="宋体" w:eastAsia="宋体" w:cs="Times New Roman"/>
                <w:color w:val="auto"/>
                <w:sz w:val="24"/>
                <w:szCs w:val="24"/>
                <w:highlight w:val="none"/>
              </w:rPr>
              <w:t>秒，</w:t>
            </w:r>
            <w:r>
              <w:rPr>
                <w:rFonts w:hint="eastAsia" w:ascii="Times New Roman" w:hAnsi="宋体" w:eastAsia="宋体" w:cs="Times New Roman"/>
                <w:color w:val="auto"/>
                <w:sz w:val="24"/>
                <w:szCs w:val="24"/>
                <w:highlight w:val="none"/>
              </w:rPr>
              <w:t xml:space="preserve">N </w:t>
            </w:r>
            <w:r>
              <w:rPr>
                <w:rFonts w:hint="eastAsia" w:ascii="Times New Roman" w:hAnsi="Times New Roman" w:eastAsia="宋体" w:cs="Times New Roman"/>
                <w:color w:val="auto"/>
                <w:sz w:val="24"/>
                <w:szCs w:val="24"/>
                <w:highlight w:val="none"/>
                <w:u w:val="single"/>
              </w:rPr>
              <w:t>32</w:t>
            </w:r>
            <w:r>
              <w:rPr>
                <w:rFonts w:ascii="Times New Roman" w:hAnsi="宋体" w:eastAsia="宋体" w:cs="Times New Roman"/>
                <w:color w:val="auto"/>
                <w:sz w:val="24"/>
                <w:szCs w:val="24"/>
                <w:highlight w:val="none"/>
              </w:rPr>
              <w:t>度</w:t>
            </w:r>
            <w:r>
              <w:rPr>
                <w:rFonts w:hint="eastAsia" w:ascii="Times New Roman" w:hAnsi="宋体" w:eastAsia="宋体" w:cs="Times New Roman"/>
                <w:color w:val="auto"/>
                <w:sz w:val="24"/>
                <w:szCs w:val="24"/>
                <w:highlight w:val="none"/>
                <w:lang w:val="en-US" w:eastAsia="zh-CN"/>
              </w:rPr>
              <w:t>51</w:t>
            </w:r>
            <w:r>
              <w:rPr>
                <w:rFonts w:ascii="Times New Roman" w:hAnsi="宋体"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48.450</w:t>
            </w:r>
            <w:r>
              <w:rPr>
                <w:rFonts w:ascii="Times New Roman" w:hAnsi="宋体" w:eastAsia="宋体" w:cs="Times New Roman"/>
                <w:color w:val="auto"/>
                <w:sz w:val="24"/>
                <w:szCs w:val="24"/>
                <w:highlight w:val="none"/>
              </w:rPr>
              <w:t>秒</w:t>
            </w:r>
          </w:p>
          <w:p w14:paraId="73ABFD66">
            <w:pPr>
              <w:spacing w:line="360" w:lineRule="auto"/>
              <w:jc w:val="center"/>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lang w:val="en-US" w:eastAsia="zh-CN"/>
              </w:rPr>
              <w:t>3#井场</w:t>
            </w:r>
            <w:r>
              <w:rPr>
                <w:rFonts w:hint="eastAsia" w:ascii="Times New Roman" w:hAnsi="宋体" w:eastAsia="宋体" w:cs="Times New Roman"/>
                <w:color w:val="auto"/>
                <w:sz w:val="24"/>
                <w:szCs w:val="24"/>
                <w:highlight w:val="none"/>
              </w:rPr>
              <w:t xml:space="preserve">：中心坐标E </w:t>
            </w:r>
            <w:r>
              <w:rPr>
                <w:rFonts w:hint="eastAsia" w:ascii="Times New Roman" w:hAnsi="Times New Roman" w:eastAsia="宋体" w:cs="Times New Roman"/>
                <w:color w:val="auto"/>
                <w:sz w:val="24"/>
                <w:szCs w:val="24"/>
                <w:highlight w:val="none"/>
                <w:u w:val="single"/>
              </w:rPr>
              <w:t>116</w:t>
            </w:r>
            <w:r>
              <w:rPr>
                <w:rFonts w:ascii="Times New Roman" w:hAnsi="宋体" w:eastAsia="宋体" w:cs="Times New Roman"/>
                <w:color w:val="auto"/>
                <w:sz w:val="24"/>
                <w:szCs w:val="24"/>
                <w:highlight w:val="none"/>
              </w:rPr>
              <w:t>度</w:t>
            </w:r>
            <w:r>
              <w:rPr>
                <w:rFonts w:hint="eastAsia" w:ascii="Times New Roman" w:hAnsi="Times New Roman" w:eastAsia="宋体" w:cs="Times New Roman"/>
                <w:color w:val="auto"/>
                <w:sz w:val="24"/>
                <w:szCs w:val="24"/>
                <w:highlight w:val="none"/>
                <w:u w:val="single"/>
                <w:lang w:val="en-US" w:eastAsia="zh-CN"/>
              </w:rPr>
              <w:t>48</w:t>
            </w:r>
            <w:r>
              <w:rPr>
                <w:rFonts w:ascii="Times New Roman" w:hAnsi="宋体"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46.269</w:t>
            </w:r>
            <w:r>
              <w:rPr>
                <w:rFonts w:ascii="Times New Roman" w:hAnsi="宋体" w:eastAsia="宋体" w:cs="Times New Roman"/>
                <w:color w:val="auto"/>
                <w:sz w:val="24"/>
                <w:szCs w:val="24"/>
                <w:highlight w:val="none"/>
              </w:rPr>
              <w:t>秒，</w:t>
            </w:r>
            <w:r>
              <w:rPr>
                <w:rFonts w:hint="eastAsia" w:ascii="Times New Roman" w:hAnsi="宋体" w:eastAsia="宋体" w:cs="Times New Roman"/>
                <w:color w:val="auto"/>
                <w:sz w:val="24"/>
                <w:szCs w:val="24"/>
                <w:highlight w:val="none"/>
              </w:rPr>
              <w:t xml:space="preserve">N </w:t>
            </w:r>
            <w:r>
              <w:rPr>
                <w:rFonts w:hint="eastAsia" w:ascii="Times New Roman" w:hAnsi="Times New Roman" w:eastAsia="宋体" w:cs="Times New Roman"/>
                <w:color w:val="auto"/>
                <w:sz w:val="24"/>
                <w:szCs w:val="24"/>
                <w:highlight w:val="none"/>
                <w:u w:val="single"/>
              </w:rPr>
              <w:t>32</w:t>
            </w:r>
            <w:r>
              <w:rPr>
                <w:rFonts w:ascii="Times New Roman" w:hAnsi="宋体" w:eastAsia="宋体" w:cs="Times New Roman"/>
                <w:color w:val="auto"/>
                <w:sz w:val="24"/>
                <w:szCs w:val="24"/>
                <w:highlight w:val="none"/>
              </w:rPr>
              <w:t>度</w:t>
            </w:r>
            <w:r>
              <w:rPr>
                <w:rFonts w:hint="eastAsia" w:ascii="Times New Roman" w:hAnsi="宋体" w:eastAsia="宋体" w:cs="Times New Roman"/>
                <w:color w:val="auto"/>
                <w:sz w:val="24"/>
                <w:szCs w:val="24"/>
                <w:highlight w:val="none"/>
                <w:lang w:val="en-US" w:eastAsia="zh-CN"/>
              </w:rPr>
              <w:t>51</w:t>
            </w:r>
            <w:r>
              <w:rPr>
                <w:rFonts w:ascii="Times New Roman" w:hAnsi="宋体"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34.410</w:t>
            </w:r>
            <w:r>
              <w:rPr>
                <w:rFonts w:ascii="Times New Roman" w:hAnsi="宋体" w:eastAsia="宋体" w:cs="Times New Roman"/>
                <w:color w:val="auto"/>
                <w:sz w:val="24"/>
                <w:szCs w:val="24"/>
                <w:highlight w:val="none"/>
              </w:rPr>
              <w:t>秒</w:t>
            </w:r>
          </w:p>
        </w:tc>
      </w:tr>
      <w:tr w14:paraId="7D398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609" w:type="pct"/>
            <w:tcMar>
              <w:top w:w="16" w:type="dxa"/>
              <w:left w:w="16" w:type="dxa"/>
              <w:right w:w="16" w:type="dxa"/>
            </w:tcMar>
            <w:vAlign w:val="center"/>
          </w:tcPr>
          <w:p w14:paraId="31A364D3">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建设项目</w:t>
            </w:r>
          </w:p>
          <w:p w14:paraId="68019126">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行业类别</w:t>
            </w:r>
          </w:p>
        </w:tc>
        <w:tc>
          <w:tcPr>
            <w:tcW w:w="1580" w:type="pct"/>
            <w:vAlign w:val="center"/>
          </w:tcPr>
          <w:p w14:paraId="20394BC2">
            <w:pPr>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“四十六、专业技术服务业99中的陆地矿产资源地质勘查（含油气资源勘探）；二氧化碳地质封存中其他”</w:t>
            </w:r>
          </w:p>
        </w:tc>
        <w:tc>
          <w:tcPr>
            <w:tcW w:w="1336" w:type="pct"/>
            <w:vAlign w:val="center"/>
          </w:tcPr>
          <w:p w14:paraId="62914F36">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用地（用海）面积（</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ascii="Times New Roman" w:hAnsi="宋体" w:eastAsia="宋体" w:cs="Times New Roman"/>
                <w:color w:val="auto"/>
                <w:sz w:val="24"/>
                <w:szCs w:val="24"/>
              </w:rPr>
              <w:t>）</w:t>
            </w:r>
            <w:r>
              <w:rPr>
                <w:rFonts w:hint="eastAsia" w:ascii="Times New Roman" w:hAnsi="Times New Roman" w:eastAsia="宋体" w:cs="Times New Roman"/>
                <w:color w:val="auto"/>
                <w:sz w:val="24"/>
                <w:szCs w:val="24"/>
              </w:rPr>
              <w:t>/</w:t>
            </w:r>
            <w:r>
              <w:rPr>
                <w:rFonts w:ascii="Times New Roman" w:hAnsi="宋体" w:eastAsia="宋体" w:cs="Times New Roman"/>
                <w:color w:val="auto"/>
                <w:sz w:val="24"/>
                <w:szCs w:val="24"/>
              </w:rPr>
              <w:t>长度（</w:t>
            </w:r>
            <w:r>
              <w:rPr>
                <w:rFonts w:ascii="Times New Roman" w:hAnsi="Times New Roman" w:eastAsia="宋体" w:cs="Times New Roman"/>
                <w:color w:val="auto"/>
                <w:sz w:val="24"/>
                <w:szCs w:val="24"/>
              </w:rPr>
              <w:t>km</w:t>
            </w:r>
            <w:r>
              <w:rPr>
                <w:rFonts w:ascii="Times New Roman" w:hAnsi="宋体" w:eastAsia="宋体" w:cs="Times New Roman"/>
                <w:color w:val="auto"/>
                <w:sz w:val="24"/>
                <w:szCs w:val="24"/>
              </w:rPr>
              <w:t>）</w:t>
            </w:r>
          </w:p>
        </w:tc>
        <w:tc>
          <w:tcPr>
            <w:tcW w:w="1473" w:type="pct"/>
            <w:vAlign w:val="center"/>
          </w:tcPr>
          <w:p w14:paraId="3EEBE719">
            <w:pPr>
              <w:spacing w:line="360" w:lineRule="auto"/>
              <w:jc w:val="center"/>
              <w:rPr>
                <w:rFonts w:ascii="Times New Roman" w:hAnsi="Times New Roman" w:eastAsia="宋体" w:cs="Times New Roman"/>
                <w:color w:val="auto"/>
                <w:sz w:val="24"/>
                <w:szCs w:val="24"/>
              </w:rPr>
            </w:pPr>
            <w:r>
              <w:rPr>
                <w:rFonts w:hint="eastAsia" w:ascii="Times New Roman" w:hAnsi="宋体" w:eastAsia="宋体" w:cs="Times New Roman"/>
                <w:color w:val="auto"/>
                <w:sz w:val="24"/>
                <w:szCs w:val="24"/>
                <w:highlight w:val="none"/>
                <w:lang w:val="en-US" w:eastAsia="zh-CN"/>
              </w:rPr>
              <w:t>15107</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（临时用地）</w:t>
            </w:r>
          </w:p>
        </w:tc>
      </w:tr>
      <w:tr w14:paraId="193EC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609" w:type="pct"/>
            <w:tcMar>
              <w:top w:w="16" w:type="dxa"/>
              <w:left w:w="16" w:type="dxa"/>
              <w:right w:w="16" w:type="dxa"/>
            </w:tcMar>
            <w:vAlign w:val="center"/>
          </w:tcPr>
          <w:p w14:paraId="2CEB8AAB">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建设性质</w:t>
            </w:r>
          </w:p>
        </w:tc>
        <w:tc>
          <w:tcPr>
            <w:tcW w:w="1580" w:type="pct"/>
            <w:vAlign w:val="center"/>
          </w:tcPr>
          <w:p w14:paraId="3DB138D0">
            <w:pPr>
              <w:spacing w:line="36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F052"/>
            </w:r>
            <w:r>
              <w:rPr>
                <w:rFonts w:ascii="Times New Roman" w:hAnsi="Times New Roman" w:eastAsia="宋体" w:cs="Times New Roman"/>
                <w:color w:val="auto"/>
                <w:sz w:val="24"/>
                <w:szCs w:val="24"/>
              </w:rPr>
              <w:t>新建（迁建）</w:t>
            </w:r>
          </w:p>
          <w:p w14:paraId="594BA5AD">
            <w:pPr>
              <w:spacing w:line="36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F0A3"/>
            </w:r>
            <w:r>
              <w:rPr>
                <w:rFonts w:ascii="Times New Roman" w:hAnsi="宋体" w:eastAsia="宋体" w:cs="Times New Roman"/>
                <w:color w:val="auto"/>
                <w:sz w:val="24"/>
                <w:szCs w:val="24"/>
              </w:rPr>
              <w:t>改建</w:t>
            </w:r>
            <w:r>
              <w:rPr>
                <w:rFonts w:hint="eastAsia" w:ascii="Times New Roman" w:hAnsi="宋体" w:eastAsia="宋体" w:cs="Times New Roman"/>
                <w:color w:val="auto"/>
                <w:sz w:val="24"/>
                <w:szCs w:val="24"/>
              </w:rPr>
              <w:t xml:space="preserve"> </w:t>
            </w:r>
          </w:p>
          <w:p w14:paraId="080DBAA8">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color w:val="auto"/>
                <w:sz w:val="24"/>
                <w:szCs w:val="24"/>
              </w:rPr>
              <w:t>□</w:t>
            </w:r>
            <w:r>
              <w:rPr>
                <w:rFonts w:ascii="Times New Roman" w:hAnsi="宋体" w:eastAsia="宋体" w:cs="Times New Roman"/>
                <w:color w:val="auto"/>
                <w:sz w:val="24"/>
                <w:szCs w:val="24"/>
              </w:rPr>
              <w:t>扩建</w:t>
            </w:r>
          </w:p>
          <w:p w14:paraId="371FFA4B">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color w:val="auto"/>
                <w:sz w:val="24"/>
                <w:szCs w:val="24"/>
              </w:rPr>
              <w:t>□</w:t>
            </w:r>
            <w:r>
              <w:rPr>
                <w:rFonts w:ascii="Times New Roman" w:hAnsi="宋体" w:eastAsia="宋体" w:cs="Times New Roman"/>
                <w:color w:val="auto"/>
                <w:sz w:val="24"/>
                <w:szCs w:val="24"/>
              </w:rPr>
              <w:t>技术改造</w:t>
            </w:r>
          </w:p>
        </w:tc>
        <w:tc>
          <w:tcPr>
            <w:tcW w:w="1336" w:type="pct"/>
            <w:vAlign w:val="center"/>
          </w:tcPr>
          <w:p w14:paraId="78B32C54">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建设项目</w:t>
            </w:r>
          </w:p>
          <w:p w14:paraId="768C61FC">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申报情形</w:t>
            </w:r>
          </w:p>
        </w:tc>
        <w:tc>
          <w:tcPr>
            <w:tcW w:w="1473" w:type="pct"/>
            <w:vAlign w:val="center"/>
          </w:tcPr>
          <w:p w14:paraId="75AF6124">
            <w:pPr>
              <w:spacing w:line="360" w:lineRule="auto"/>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F052"/>
            </w:r>
            <w:r>
              <w:rPr>
                <w:rFonts w:ascii="Times New Roman" w:hAnsi="Times New Roman" w:eastAsia="宋体" w:cs="Times New Roman"/>
                <w:color w:val="auto"/>
                <w:sz w:val="24"/>
                <w:szCs w:val="24"/>
              </w:rPr>
              <w:t>首次申报项目</w:t>
            </w:r>
          </w:p>
          <w:p w14:paraId="36050E0A">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color w:val="auto"/>
                <w:sz w:val="24"/>
                <w:szCs w:val="24"/>
              </w:rPr>
              <w:t>□</w:t>
            </w:r>
            <w:r>
              <w:rPr>
                <w:rFonts w:ascii="Times New Roman" w:hAnsi="宋体" w:eastAsia="宋体" w:cs="Times New Roman"/>
                <w:color w:val="auto"/>
                <w:sz w:val="24"/>
                <w:szCs w:val="24"/>
              </w:rPr>
              <w:t>不予批准后再次申报项目</w:t>
            </w:r>
          </w:p>
          <w:p w14:paraId="7EC2562B">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color w:val="auto"/>
                <w:sz w:val="24"/>
                <w:szCs w:val="24"/>
              </w:rPr>
              <w:t>□</w:t>
            </w:r>
            <w:r>
              <w:rPr>
                <w:rFonts w:ascii="Times New Roman" w:hAnsi="宋体" w:eastAsia="宋体" w:cs="Times New Roman"/>
                <w:color w:val="auto"/>
                <w:sz w:val="24"/>
                <w:szCs w:val="24"/>
              </w:rPr>
              <w:t>超五年重新审核项目</w:t>
            </w:r>
          </w:p>
          <w:p w14:paraId="13771E20">
            <w:pPr>
              <w:spacing w:line="360" w:lineRule="auto"/>
              <w:rPr>
                <w:rFonts w:ascii="Times New Roman" w:hAnsi="Times New Roman" w:eastAsia="宋体" w:cs="Times New Roman"/>
                <w:color w:val="auto"/>
                <w:sz w:val="24"/>
                <w:szCs w:val="24"/>
              </w:rPr>
            </w:pPr>
            <w:r>
              <w:rPr>
                <w:rFonts w:hint="eastAsia" w:ascii="宋体" w:hAnsi="宋体" w:eastAsia="宋体" w:cs="Times New Roman"/>
                <w:color w:val="auto"/>
                <w:sz w:val="24"/>
                <w:szCs w:val="24"/>
              </w:rPr>
              <w:t>□</w:t>
            </w:r>
            <w:r>
              <w:rPr>
                <w:rFonts w:ascii="Times New Roman" w:hAnsi="宋体" w:eastAsia="宋体" w:cs="Times New Roman"/>
                <w:color w:val="auto"/>
                <w:sz w:val="24"/>
                <w:szCs w:val="24"/>
              </w:rPr>
              <w:t>重大变动重新报批项目</w:t>
            </w:r>
          </w:p>
        </w:tc>
      </w:tr>
      <w:tr w14:paraId="6C669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609" w:type="pct"/>
            <w:tcMar>
              <w:top w:w="16" w:type="dxa"/>
              <w:left w:w="16" w:type="dxa"/>
              <w:right w:w="16" w:type="dxa"/>
            </w:tcMar>
            <w:vAlign w:val="center"/>
          </w:tcPr>
          <w:p w14:paraId="31CBE7A8">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项目审批（核准</w:t>
            </w:r>
            <w:r>
              <w:rPr>
                <w:rFonts w:ascii="Times New Roman" w:hAnsi="Times New Roman" w:eastAsia="宋体" w:cs="Times New Roman"/>
                <w:color w:val="auto"/>
                <w:sz w:val="24"/>
                <w:szCs w:val="24"/>
              </w:rPr>
              <w:t>/</w:t>
            </w:r>
          </w:p>
          <w:p w14:paraId="3F18DEF7">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备案）部门（选填）</w:t>
            </w:r>
          </w:p>
        </w:tc>
        <w:tc>
          <w:tcPr>
            <w:tcW w:w="1580" w:type="pct"/>
            <w:vAlign w:val="center"/>
          </w:tcPr>
          <w:p w14:paraId="2E2258B0">
            <w:pPr>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淮南</w:t>
            </w:r>
            <w:r>
              <w:rPr>
                <w:rFonts w:hint="eastAsia" w:ascii="Times New Roman" w:hAnsi="Times New Roman" w:eastAsia="宋体" w:cs="Times New Roman"/>
                <w:color w:val="auto"/>
                <w:sz w:val="24"/>
                <w:szCs w:val="24"/>
                <w:lang w:eastAsia="zh-CN"/>
              </w:rPr>
              <w:t>市潘集区发展和改革委员会</w:t>
            </w:r>
          </w:p>
        </w:tc>
        <w:tc>
          <w:tcPr>
            <w:tcW w:w="1336" w:type="pct"/>
            <w:vAlign w:val="center"/>
          </w:tcPr>
          <w:p w14:paraId="42CA115E">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项目审批（核准</w:t>
            </w:r>
            <w:r>
              <w:rPr>
                <w:rFonts w:ascii="Times New Roman" w:hAnsi="Times New Roman" w:eastAsia="宋体" w:cs="Times New Roman"/>
                <w:color w:val="auto"/>
                <w:sz w:val="24"/>
                <w:szCs w:val="24"/>
              </w:rPr>
              <w:t>/</w:t>
            </w:r>
          </w:p>
          <w:p w14:paraId="6FFECAB6">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备案）文号（选填）</w:t>
            </w:r>
          </w:p>
        </w:tc>
        <w:tc>
          <w:tcPr>
            <w:tcW w:w="1473" w:type="pct"/>
            <w:vAlign w:val="center"/>
          </w:tcPr>
          <w:p w14:paraId="479B2FEA">
            <w:pPr>
              <w:spacing w:line="36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p>
        </w:tc>
      </w:tr>
      <w:tr w14:paraId="7F132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09" w:type="pct"/>
            <w:tcMar>
              <w:top w:w="16" w:type="dxa"/>
              <w:left w:w="16" w:type="dxa"/>
              <w:right w:w="16" w:type="dxa"/>
            </w:tcMar>
            <w:vAlign w:val="center"/>
          </w:tcPr>
          <w:p w14:paraId="40D34827">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总投资（万元）</w:t>
            </w:r>
          </w:p>
        </w:tc>
        <w:tc>
          <w:tcPr>
            <w:tcW w:w="1580" w:type="pct"/>
            <w:vAlign w:val="center"/>
          </w:tcPr>
          <w:p w14:paraId="7531CCC0">
            <w:pPr>
              <w:spacing w:line="36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2400</w:t>
            </w:r>
          </w:p>
        </w:tc>
        <w:tc>
          <w:tcPr>
            <w:tcW w:w="1336" w:type="pct"/>
            <w:tcMar>
              <w:top w:w="16" w:type="dxa"/>
              <w:left w:w="16" w:type="dxa"/>
              <w:right w:w="16" w:type="dxa"/>
            </w:tcMar>
            <w:vAlign w:val="center"/>
          </w:tcPr>
          <w:p w14:paraId="4C3B2564">
            <w:pPr>
              <w:spacing w:line="360" w:lineRule="auto"/>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环保投资（万元）</w:t>
            </w:r>
          </w:p>
        </w:tc>
        <w:tc>
          <w:tcPr>
            <w:tcW w:w="1473" w:type="pct"/>
            <w:vAlign w:val="center"/>
          </w:tcPr>
          <w:p w14:paraId="7FAB05A0">
            <w:pPr>
              <w:spacing w:line="36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91</w:t>
            </w:r>
          </w:p>
        </w:tc>
      </w:tr>
      <w:tr w14:paraId="462AC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609" w:type="pct"/>
            <w:tcMar>
              <w:top w:w="16" w:type="dxa"/>
              <w:left w:w="16" w:type="dxa"/>
              <w:right w:w="16" w:type="dxa"/>
            </w:tcMar>
            <w:vAlign w:val="center"/>
          </w:tcPr>
          <w:p w14:paraId="084D7629">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环保投资占比（</w:t>
            </w:r>
            <w:r>
              <w:rPr>
                <w:rFonts w:ascii="Times New Roman" w:hAnsi="Times New Roman" w:eastAsia="宋体" w:cs="Times New Roman"/>
                <w:color w:val="auto"/>
                <w:sz w:val="24"/>
                <w:szCs w:val="24"/>
              </w:rPr>
              <w:t>%</w:t>
            </w:r>
            <w:r>
              <w:rPr>
                <w:rFonts w:ascii="Times New Roman" w:hAnsi="宋体" w:eastAsia="宋体" w:cs="Times New Roman"/>
                <w:color w:val="auto"/>
                <w:sz w:val="24"/>
                <w:szCs w:val="24"/>
              </w:rPr>
              <w:t>）</w:t>
            </w:r>
          </w:p>
        </w:tc>
        <w:tc>
          <w:tcPr>
            <w:tcW w:w="1580" w:type="pct"/>
            <w:vAlign w:val="center"/>
          </w:tcPr>
          <w:p w14:paraId="679E3E42">
            <w:pPr>
              <w:spacing w:line="36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3.79</w:t>
            </w:r>
          </w:p>
        </w:tc>
        <w:tc>
          <w:tcPr>
            <w:tcW w:w="1336" w:type="pct"/>
            <w:tcMar>
              <w:top w:w="16" w:type="dxa"/>
              <w:left w:w="16" w:type="dxa"/>
              <w:right w:w="16" w:type="dxa"/>
            </w:tcMar>
            <w:vAlign w:val="center"/>
          </w:tcPr>
          <w:p w14:paraId="4CEB32E5">
            <w:pPr>
              <w:spacing w:line="360" w:lineRule="auto"/>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施工工期</w:t>
            </w:r>
          </w:p>
        </w:tc>
        <w:tc>
          <w:tcPr>
            <w:tcW w:w="1473" w:type="pct"/>
            <w:vAlign w:val="center"/>
          </w:tcPr>
          <w:p w14:paraId="1D12FA67">
            <w:pPr>
              <w:spacing w:line="360" w:lineRule="auto"/>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个月</w:t>
            </w:r>
          </w:p>
        </w:tc>
      </w:tr>
      <w:tr w14:paraId="28B4F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609" w:type="pct"/>
            <w:tcMar>
              <w:top w:w="16" w:type="dxa"/>
              <w:left w:w="16" w:type="dxa"/>
              <w:right w:w="16" w:type="dxa"/>
            </w:tcMar>
            <w:vAlign w:val="center"/>
          </w:tcPr>
          <w:p w14:paraId="13AC8CEC">
            <w:pPr>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是否开工建设</w:t>
            </w:r>
          </w:p>
        </w:tc>
        <w:tc>
          <w:tcPr>
            <w:tcW w:w="4390" w:type="pct"/>
            <w:gridSpan w:val="3"/>
            <w:vAlign w:val="center"/>
          </w:tcPr>
          <w:p w14:paraId="40049216">
            <w:pPr>
              <w:spacing w:line="360" w:lineRule="auto"/>
              <w:ind w:firstLine="105"/>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0052"/>
            </w:r>
            <w:r>
              <w:rPr>
                <w:rFonts w:ascii="Times New Roman" w:hAnsi="Times New Roman" w:eastAsia="宋体" w:cs="Times New Roman"/>
                <w:color w:val="auto"/>
                <w:sz w:val="24"/>
                <w:szCs w:val="24"/>
              </w:rPr>
              <w:t>否</w:t>
            </w:r>
          </w:p>
          <w:p w14:paraId="06DD6CF6">
            <w:pPr>
              <w:spacing w:line="360" w:lineRule="auto"/>
              <w:ind w:firstLine="92"/>
              <w:jc w:val="left"/>
              <w:rPr>
                <w:rFonts w:ascii="Times New Roman" w:hAnsi="Times New Roman" w:eastAsia="宋体" w:cs="Times New Roman"/>
                <w:color w:val="auto"/>
                <w:sz w:val="24"/>
                <w:szCs w:val="24"/>
              </w:rPr>
            </w:pPr>
            <w:r>
              <w:rPr>
                <w:rFonts w:hint="eastAsia" w:ascii="宋体" w:hAnsi="宋体" w:eastAsia="宋体" w:cs="Times New Roman"/>
                <w:color w:val="auto"/>
                <w:sz w:val="24"/>
                <w:szCs w:val="24"/>
              </w:rPr>
              <w:t>□</w:t>
            </w:r>
            <w:r>
              <w:rPr>
                <w:rFonts w:ascii="Times New Roman" w:hAnsi="宋体" w:eastAsia="宋体" w:cs="Times New Roman"/>
                <w:color w:val="auto"/>
                <w:sz w:val="24"/>
                <w:szCs w:val="24"/>
              </w:rPr>
              <w:t>是：</w:t>
            </w:r>
          </w:p>
        </w:tc>
      </w:tr>
      <w:tr w14:paraId="1AA43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609" w:type="pct"/>
            <w:tcMar>
              <w:top w:w="16" w:type="dxa"/>
              <w:left w:w="16" w:type="dxa"/>
              <w:right w:w="16" w:type="dxa"/>
            </w:tcMar>
            <w:vAlign w:val="center"/>
          </w:tcPr>
          <w:p w14:paraId="33639501">
            <w:pPr>
              <w:autoSpaceDE w:val="0"/>
              <w:autoSpaceDN w:val="0"/>
              <w:spacing w:line="360" w:lineRule="auto"/>
              <w:jc w:val="center"/>
              <w:rPr>
                <w:rFonts w:ascii="Times New Roman" w:hAnsi="Times New Roman" w:eastAsia="宋体" w:cs="Times New Roman"/>
                <w:color w:val="auto"/>
                <w:kern w:val="0"/>
                <w:sz w:val="24"/>
                <w:szCs w:val="24"/>
              </w:rPr>
            </w:pPr>
            <w:r>
              <w:rPr>
                <w:rFonts w:ascii="Times New Roman" w:hAnsi="宋体" w:eastAsia="宋体" w:cs="Times New Roman"/>
                <w:color w:val="auto"/>
                <w:kern w:val="0"/>
                <w:sz w:val="24"/>
                <w:szCs w:val="24"/>
              </w:rPr>
              <w:t>专项评价设置情况</w:t>
            </w:r>
          </w:p>
        </w:tc>
        <w:tc>
          <w:tcPr>
            <w:tcW w:w="4390" w:type="pct"/>
            <w:gridSpan w:val="3"/>
            <w:tcMar>
              <w:top w:w="16" w:type="dxa"/>
              <w:left w:w="16" w:type="dxa"/>
              <w:right w:w="16" w:type="dxa"/>
            </w:tcMar>
            <w:vAlign w:val="center"/>
          </w:tcPr>
          <w:p w14:paraId="387EB9B6">
            <w:pPr>
              <w:autoSpaceDE w:val="0"/>
              <w:autoSpaceDN w:val="0"/>
              <w:spacing w:line="360" w:lineRule="auto"/>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本项目无需设置专项评价，判定依据见下表：</w:t>
            </w:r>
          </w:p>
          <w:p w14:paraId="23C264EB">
            <w:pPr>
              <w:spacing w:line="360" w:lineRule="auto"/>
              <w:jc w:val="center"/>
              <w:rPr>
                <w:rFonts w:ascii="Times New Roman" w:hAnsi="Times New Roman" w:eastAsia="黑体" w:cs="Times New Roman"/>
                <w:color w:val="auto"/>
                <w:sz w:val="24"/>
                <w:szCs w:val="24"/>
              </w:rPr>
            </w:pPr>
            <w:r>
              <w:rPr>
                <w:rFonts w:ascii="Times New Roman" w:hAnsi="黑体" w:eastAsia="黑体" w:cs="Times New Roman"/>
                <w:color w:val="auto"/>
                <w:sz w:val="24"/>
                <w:szCs w:val="24"/>
              </w:rPr>
              <w:t>表</w:t>
            </w:r>
            <w:r>
              <w:rPr>
                <w:rFonts w:ascii="Times New Roman" w:hAnsi="Times New Roman" w:eastAsia="黑体" w:cs="Times New Roman"/>
                <w:color w:val="auto"/>
                <w:sz w:val="24"/>
                <w:szCs w:val="24"/>
              </w:rPr>
              <w:t>1-1</w:t>
            </w:r>
            <w:r>
              <w:rPr>
                <w:rFonts w:hint="eastAsia" w:ascii="Times New Roman" w:hAnsi="Times New Roman" w:eastAsia="黑体" w:cs="Times New Roman"/>
                <w:color w:val="auto"/>
                <w:sz w:val="24"/>
                <w:szCs w:val="24"/>
              </w:rPr>
              <w:t xml:space="preserve">  </w:t>
            </w:r>
            <w:r>
              <w:rPr>
                <w:rFonts w:ascii="Times New Roman" w:hAnsi="黑体" w:eastAsia="黑体" w:cs="Times New Roman"/>
                <w:color w:val="auto"/>
                <w:sz w:val="24"/>
                <w:szCs w:val="24"/>
              </w:rPr>
              <w:t>专项评价设置原则对应一览表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5577"/>
              <w:gridCol w:w="1256"/>
            </w:tblGrid>
            <w:tr w14:paraId="0B413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5F1D5C0B">
                  <w:pPr>
                    <w:spacing w:line="276" w:lineRule="auto"/>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专项评价的类别</w:t>
                  </w:r>
                </w:p>
              </w:tc>
              <w:tc>
                <w:tcPr>
                  <w:tcW w:w="3431" w:type="pct"/>
                  <w:tcBorders>
                    <w:right w:val="single" w:color="auto" w:sz="4" w:space="0"/>
                  </w:tcBorders>
                  <w:vAlign w:val="center"/>
                </w:tcPr>
                <w:p w14:paraId="19FB25E7">
                  <w:pPr>
                    <w:spacing w:line="276" w:lineRule="auto"/>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涉及项目类别</w:t>
                  </w:r>
                </w:p>
              </w:tc>
              <w:tc>
                <w:tcPr>
                  <w:tcW w:w="773" w:type="pct"/>
                  <w:vAlign w:val="center"/>
                </w:tcPr>
                <w:p w14:paraId="0B88024A">
                  <w:pPr>
                    <w:spacing w:line="276" w:lineRule="auto"/>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本项目是否涉及</w:t>
                  </w:r>
                </w:p>
              </w:tc>
            </w:tr>
            <w:tr w14:paraId="6A5BD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7587C758">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地表水</w:t>
                  </w:r>
                </w:p>
              </w:tc>
              <w:tc>
                <w:tcPr>
                  <w:tcW w:w="3431" w:type="pct"/>
                  <w:tcBorders>
                    <w:right w:val="single" w:color="auto" w:sz="4" w:space="0"/>
                  </w:tcBorders>
                  <w:vAlign w:val="center"/>
                </w:tcPr>
                <w:p w14:paraId="234B1547">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水力发电：引水式发电、涉及调峰发电的项目；</w:t>
                  </w:r>
                </w:p>
                <w:p w14:paraId="50FAB423">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人工湖、人工湿地：全部；</w:t>
                  </w:r>
                </w:p>
                <w:p w14:paraId="15028A3F">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水库：全部；</w:t>
                  </w:r>
                </w:p>
                <w:p w14:paraId="07632F5D">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引水工程：全部(配套的管线工程等除外)；</w:t>
                  </w:r>
                </w:p>
                <w:p w14:paraId="10B0BE3D">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防洪除涝工程：包含水库的项目；</w:t>
                  </w:r>
                </w:p>
                <w:p w14:paraId="3AF00E37">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河湖整治：涉及清淤且底泥存在重金属污染的项目</w:t>
                  </w:r>
                </w:p>
              </w:tc>
              <w:tc>
                <w:tcPr>
                  <w:tcW w:w="773" w:type="pct"/>
                  <w:vAlign w:val="center"/>
                </w:tcPr>
                <w:p w14:paraId="23E87143">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不涉及</w:t>
                  </w:r>
                </w:p>
              </w:tc>
            </w:tr>
            <w:tr w14:paraId="3A64E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5407AAFD">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地下水</w:t>
                  </w:r>
                </w:p>
              </w:tc>
              <w:tc>
                <w:tcPr>
                  <w:tcW w:w="3431" w:type="pct"/>
                  <w:tcBorders>
                    <w:right w:val="single" w:color="auto" w:sz="4" w:space="0"/>
                  </w:tcBorders>
                  <w:vAlign w:val="center"/>
                </w:tcPr>
                <w:p w14:paraId="3950D1BC">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陆地石油和天然气开采：全部；</w:t>
                  </w:r>
                </w:p>
                <w:p w14:paraId="319BB551">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地下水（含矿泉水）开采：全部；</w:t>
                  </w:r>
                </w:p>
                <w:p w14:paraId="252414F5">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水利、水电、交通等：含穿越可溶岩地层隧道的项目</w:t>
                  </w:r>
                </w:p>
              </w:tc>
              <w:tc>
                <w:tcPr>
                  <w:tcW w:w="773" w:type="pct"/>
                  <w:vAlign w:val="center"/>
                </w:tcPr>
                <w:p w14:paraId="05617993">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不涉及</w:t>
                  </w:r>
                </w:p>
              </w:tc>
            </w:tr>
            <w:tr w14:paraId="4766B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0D5B889B">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生态</w:t>
                  </w:r>
                </w:p>
              </w:tc>
              <w:tc>
                <w:tcPr>
                  <w:tcW w:w="3431" w:type="pct"/>
                  <w:tcBorders>
                    <w:right w:val="single" w:color="auto" w:sz="4" w:space="0"/>
                  </w:tcBorders>
                  <w:vAlign w:val="center"/>
                </w:tcPr>
                <w:p w14:paraId="2133A3BC">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涉及环境敏感区（不包括饮用水水源保护区，以居住、医疗卫生、文化教育、科研、行政办公为主要功能的区域，以及文物保护单位）的项目</w:t>
                  </w:r>
                </w:p>
              </w:tc>
              <w:tc>
                <w:tcPr>
                  <w:tcW w:w="773" w:type="pct"/>
                  <w:vAlign w:val="center"/>
                </w:tcPr>
                <w:p w14:paraId="37ADA8C3">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不涉及</w:t>
                  </w:r>
                </w:p>
              </w:tc>
            </w:tr>
            <w:tr w14:paraId="1CEE4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7DD1BD87">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大气</w:t>
                  </w:r>
                </w:p>
              </w:tc>
              <w:tc>
                <w:tcPr>
                  <w:tcW w:w="3431" w:type="pct"/>
                  <w:tcBorders>
                    <w:right w:val="single" w:color="auto" w:sz="4" w:space="0"/>
                  </w:tcBorders>
                  <w:vAlign w:val="center"/>
                </w:tcPr>
                <w:p w14:paraId="48C1D8BE">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油气、液体化工码头：全部；</w:t>
                  </w:r>
                </w:p>
                <w:p w14:paraId="7DFECFCB">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干散货（含煤炭、矿石）、件杂、多用途、通用码头：涉及粉尘、挥发性有机物排放的项目</w:t>
                  </w:r>
                </w:p>
              </w:tc>
              <w:tc>
                <w:tcPr>
                  <w:tcW w:w="773" w:type="pct"/>
                  <w:vAlign w:val="center"/>
                </w:tcPr>
                <w:p w14:paraId="71463A76">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不涉及</w:t>
                  </w:r>
                </w:p>
              </w:tc>
            </w:tr>
            <w:tr w14:paraId="21674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1C6D5852">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噪声</w:t>
                  </w:r>
                </w:p>
              </w:tc>
              <w:tc>
                <w:tcPr>
                  <w:tcW w:w="3431" w:type="pct"/>
                  <w:tcBorders>
                    <w:right w:val="single" w:color="auto" w:sz="4" w:space="0"/>
                  </w:tcBorders>
                  <w:vAlign w:val="center"/>
                </w:tcPr>
                <w:p w14:paraId="46AB5551">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公路、铁路、机场等交通运输业涉及环境敏感区（以居住、医疗卫生、文化教育、科研、行政办公为主要功能的区域）的项目；</w:t>
                  </w:r>
                </w:p>
                <w:p w14:paraId="39B9909E">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城市道路（不含维护，不含支路、人行天桥、人行地道）：全部</w:t>
                  </w:r>
                </w:p>
              </w:tc>
              <w:tc>
                <w:tcPr>
                  <w:tcW w:w="773" w:type="pct"/>
                  <w:vAlign w:val="center"/>
                </w:tcPr>
                <w:p w14:paraId="1F1A4305">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不涉及</w:t>
                  </w:r>
                </w:p>
              </w:tc>
            </w:tr>
            <w:tr w14:paraId="02C5E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41BE5BED">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环境风险</w:t>
                  </w:r>
                </w:p>
              </w:tc>
              <w:tc>
                <w:tcPr>
                  <w:tcW w:w="3431" w:type="pct"/>
                  <w:tcBorders>
                    <w:right w:val="single" w:color="auto" w:sz="4" w:space="0"/>
                  </w:tcBorders>
                  <w:vAlign w:val="center"/>
                </w:tcPr>
                <w:p w14:paraId="2D0D3775">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石油和天然气开采：全部；</w:t>
                  </w:r>
                </w:p>
                <w:p w14:paraId="6EA948D2">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油气、液体化工码头：全部；</w:t>
                  </w:r>
                </w:p>
                <w:p w14:paraId="67078656">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原油、成品油、天然气管线（不含城镇天然气管线、企业厂区内管线），危险化学品输送管线（不含企业厂区内管线）：全部</w:t>
                  </w:r>
                </w:p>
              </w:tc>
              <w:tc>
                <w:tcPr>
                  <w:tcW w:w="773" w:type="pct"/>
                  <w:vAlign w:val="center"/>
                </w:tcPr>
                <w:p w14:paraId="11D2135F">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不涉及</w:t>
                  </w:r>
                </w:p>
              </w:tc>
            </w:tr>
          </w:tbl>
          <w:p w14:paraId="1EF05A52">
            <w:pPr>
              <w:autoSpaceDE w:val="0"/>
              <w:autoSpaceDN w:val="0"/>
              <w:spacing w:line="360" w:lineRule="auto"/>
              <w:rPr>
                <w:rFonts w:ascii="Times New Roman" w:hAnsi="Times New Roman" w:eastAsia="宋体" w:cs="Times New Roman"/>
                <w:color w:val="auto"/>
                <w:kern w:val="0"/>
                <w:sz w:val="24"/>
                <w:szCs w:val="24"/>
              </w:rPr>
            </w:pPr>
          </w:p>
        </w:tc>
      </w:tr>
      <w:tr w14:paraId="55365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trPr>
        <w:tc>
          <w:tcPr>
            <w:tcW w:w="609" w:type="pct"/>
            <w:tcMar>
              <w:top w:w="16" w:type="dxa"/>
              <w:left w:w="16" w:type="dxa"/>
              <w:right w:w="16" w:type="dxa"/>
            </w:tcMar>
            <w:vAlign w:val="center"/>
          </w:tcPr>
          <w:p w14:paraId="1A1E4B0A">
            <w:pPr>
              <w:autoSpaceDE w:val="0"/>
              <w:autoSpaceDN w:val="0"/>
              <w:spacing w:line="360" w:lineRule="auto"/>
              <w:jc w:val="center"/>
              <w:rPr>
                <w:rFonts w:ascii="Times New Roman" w:hAnsi="Times New Roman" w:eastAsia="宋体" w:cs="Times New Roman"/>
                <w:color w:val="auto"/>
                <w:kern w:val="0"/>
                <w:sz w:val="24"/>
                <w:szCs w:val="24"/>
              </w:rPr>
            </w:pPr>
            <w:r>
              <w:rPr>
                <w:rFonts w:ascii="Times New Roman" w:hAnsi="宋体" w:eastAsia="宋体" w:cs="Times New Roman"/>
                <w:color w:val="auto"/>
                <w:sz w:val="24"/>
                <w:szCs w:val="24"/>
              </w:rPr>
              <w:t>规划情况</w:t>
            </w:r>
          </w:p>
        </w:tc>
        <w:tc>
          <w:tcPr>
            <w:tcW w:w="4390" w:type="pct"/>
            <w:gridSpan w:val="3"/>
            <w:tcMar>
              <w:top w:w="16" w:type="dxa"/>
              <w:left w:w="16" w:type="dxa"/>
              <w:right w:w="16" w:type="dxa"/>
            </w:tcMar>
            <w:vAlign w:val="center"/>
          </w:tcPr>
          <w:p w14:paraId="173B05C2">
            <w:pPr>
              <w:autoSpaceDE w:val="0"/>
              <w:autoSpaceDN w:val="0"/>
              <w:spacing w:line="360" w:lineRule="auto"/>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规划名称：《淮南潘谢矿区总体开发规划》</w:t>
            </w:r>
          </w:p>
          <w:p w14:paraId="4ED9E719">
            <w:pPr>
              <w:autoSpaceDE w:val="0"/>
              <w:autoSpaceDN w:val="0"/>
              <w:spacing w:line="360" w:lineRule="auto"/>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审批单位：国家发展和改革委员会</w:t>
            </w:r>
          </w:p>
          <w:p w14:paraId="3EE05275">
            <w:pPr>
              <w:autoSpaceDE w:val="0"/>
              <w:autoSpaceDN w:val="0"/>
              <w:spacing w:line="360" w:lineRule="auto"/>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审批文号：发改能源</w:t>
            </w:r>
            <w:r>
              <w:rPr>
                <w:rFonts w:ascii="Times New Roman" w:hAnsi="Times New Roman" w:eastAsia="宋体" w:cs="Times New Roman"/>
                <w:color w:val="auto"/>
                <w:kern w:val="0"/>
                <w:sz w:val="24"/>
                <w:szCs w:val="24"/>
              </w:rPr>
              <w:t>[20</w:t>
            </w:r>
            <w:r>
              <w:rPr>
                <w:rFonts w:hint="eastAsia" w:ascii="Times New Roman" w:hAnsi="Times New Roman" w:eastAsia="宋体" w:cs="Times New Roman"/>
                <w:color w:val="auto"/>
                <w:kern w:val="0"/>
                <w:sz w:val="24"/>
                <w:szCs w:val="24"/>
              </w:rPr>
              <w:t>04</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2301号文</w:t>
            </w:r>
          </w:p>
        </w:tc>
      </w:tr>
      <w:tr w14:paraId="7DD92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trPr>
        <w:tc>
          <w:tcPr>
            <w:tcW w:w="609" w:type="pct"/>
            <w:tcMar>
              <w:top w:w="16" w:type="dxa"/>
              <w:left w:w="16" w:type="dxa"/>
              <w:right w:w="16" w:type="dxa"/>
            </w:tcMar>
            <w:vAlign w:val="center"/>
          </w:tcPr>
          <w:p w14:paraId="290C0F3A">
            <w:pPr>
              <w:autoSpaceDE w:val="0"/>
              <w:autoSpaceDN w:val="0"/>
              <w:spacing w:line="360"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规划环境影响</w:t>
            </w:r>
          </w:p>
          <w:p w14:paraId="0E8C7148">
            <w:pPr>
              <w:autoSpaceDE w:val="0"/>
              <w:autoSpaceDN w:val="0"/>
              <w:spacing w:line="360" w:lineRule="auto"/>
              <w:jc w:val="center"/>
              <w:rPr>
                <w:rFonts w:ascii="Times New Roman" w:hAnsi="Times New Roman" w:eastAsia="宋体" w:cs="Times New Roman"/>
                <w:color w:val="auto"/>
                <w:kern w:val="0"/>
                <w:sz w:val="24"/>
                <w:szCs w:val="24"/>
              </w:rPr>
            </w:pPr>
            <w:r>
              <w:rPr>
                <w:rFonts w:ascii="Times New Roman" w:hAnsi="宋体" w:eastAsia="宋体" w:cs="Times New Roman"/>
                <w:color w:val="auto"/>
                <w:sz w:val="24"/>
                <w:szCs w:val="24"/>
              </w:rPr>
              <w:t>评价情况</w:t>
            </w:r>
          </w:p>
        </w:tc>
        <w:tc>
          <w:tcPr>
            <w:tcW w:w="4390" w:type="pct"/>
            <w:gridSpan w:val="3"/>
            <w:tcMar>
              <w:top w:w="16" w:type="dxa"/>
              <w:left w:w="16" w:type="dxa"/>
              <w:right w:w="16" w:type="dxa"/>
            </w:tcMar>
            <w:vAlign w:val="center"/>
          </w:tcPr>
          <w:p w14:paraId="51CCCB25">
            <w:pPr>
              <w:spacing w:line="360" w:lineRule="auto"/>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规划环评名称：《淮南潘谢矿区</w:t>
            </w:r>
            <w:r>
              <w:rPr>
                <w:rFonts w:hint="eastAsia" w:ascii="Times New Roman" w:hAnsi="Times New Roman" w:eastAsia="宋体" w:cs="Times New Roman"/>
                <w:color w:val="auto"/>
                <w:kern w:val="0"/>
                <w:sz w:val="24"/>
                <w:szCs w:val="24"/>
              </w:rPr>
              <w:t>总体</w:t>
            </w:r>
            <w:r>
              <w:rPr>
                <w:rFonts w:ascii="Times New Roman" w:hAnsi="Times New Roman" w:eastAsia="宋体" w:cs="Times New Roman"/>
                <w:color w:val="auto"/>
                <w:kern w:val="0"/>
                <w:sz w:val="24"/>
                <w:szCs w:val="24"/>
              </w:rPr>
              <w:t>开发规划环境影响报告书》</w:t>
            </w:r>
          </w:p>
          <w:p w14:paraId="4B61CC2A">
            <w:pPr>
              <w:spacing w:line="360" w:lineRule="auto"/>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审查单位：原国家环境保护总局</w:t>
            </w:r>
          </w:p>
          <w:p w14:paraId="507911DD">
            <w:pPr>
              <w:spacing w:line="360" w:lineRule="auto"/>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审查文件名称：关于印发《淮南潘谢矿区总体开发规划环境影响报告书》审查意见的通知</w:t>
            </w:r>
          </w:p>
          <w:p w14:paraId="0904DFE9">
            <w:pPr>
              <w:spacing w:line="360" w:lineRule="auto"/>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审批文号：环函[2006]86号文</w:t>
            </w:r>
          </w:p>
        </w:tc>
      </w:tr>
      <w:tr w14:paraId="582A6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trPr>
        <w:tc>
          <w:tcPr>
            <w:tcW w:w="609" w:type="pct"/>
            <w:tcMar>
              <w:top w:w="16" w:type="dxa"/>
              <w:left w:w="16" w:type="dxa"/>
              <w:right w:w="16" w:type="dxa"/>
            </w:tcMar>
            <w:vAlign w:val="center"/>
          </w:tcPr>
          <w:p w14:paraId="496C5C41">
            <w:pPr>
              <w:autoSpaceDE w:val="0"/>
              <w:autoSpaceDN w:val="0"/>
              <w:spacing w:line="360" w:lineRule="auto"/>
              <w:jc w:val="center"/>
              <w:rPr>
                <w:rFonts w:ascii="Times New Roman" w:hAnsi="Times New Roman" w:eastAsia="宋体" w:cs="Times New Roman"/>
                <w:color w:val="auto"/>
                <w:kern w:val="0"/>
                <w:sz w:val="24"/>
                <w:szCs w:val="24"/>
              </w:rPr>
            </w:pPr>
            <w:r>
              <w:rPr>
                <w:rFonts w:ascii="Times New Roman" w:hAnsi="宋体" w:eastAsia="宋体" w:cs="Times New Roman"/>
                <w:color w:val="auto"/>
                <w:kern w:val="0"/>
                <w:sz w:val="24"/>
                <w:szCs w:val="24"/>
              </w:rPr>
              <w:t>规划及</w:t>
            </w:r>
            <w:r>
              <w:rPr>
                <w:rFonts w:ascii="Times New Roman" w:hAnsi="宋体" w:eastAsia="宋体" w:cs="Times New Roman"/>
                <w:color w:val="auto"/>
                <w:sz w:val="24"/>
                <w:szCs w:val="24"/>
              </w:rPr>
              <w:t>规划环境影响评价</w:t>
            </w:r>
            <w:r>
              <w:rPr>
                <w:rFonts w:ascii="Times New Roman" w:hAnsi="宋体" w:eastAsia="宋体" w:cs="Times New Roman"/>
                <w:color w:val="auto"/>
                <w:kern w:val="0"/>
                <w:sz w:val="24"/>
                <w:szCs w:val="24"/>
              </w:rPr>
              <w:t>符合性分析</w:t>
            </w:r>
          </w:p>
        </w:tc>
        <w:tc>
          <w:tcPr>
            <w:tcW w:w="4390" w:type="pct"/>
            <w:gridSpan w:val="3"/>
            <w:tcMar>
              <w:top w:w="16" w:type="dxa"/>
              <w:left w:w="16" w:type="dxa"/>
              <w:right w:w="16" w:type="dxa"/>
            </w:tcMar>
            <w:vAlign w:val="center"/>
          </w:tcPr>
          <w:p w14:paraId="6B2E3783">
            <w:pPr>
              <w:spacing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规划及规划环境影响评价符合性分析</w:t>
            </w:r>
          </w:p>
          <w:p w14:paraId="335E2F63">
            <w:pPr>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lang w:eastAsia="zh-CN"/>
              </w:rPr>
              <w:t>淮南潘谢矿区位于安徽省中北部，地跨淮南市潘集区、谢家集区、凤台县和阜阳市颍上县，东西长70km，南北宽25km，面积1571km2，资源储量285亿吨。2004年10月21</w:t>
            </w:r>
            <w:r>
              <w:rPr>
                <w:rFonts w:hint="eastAsia" w:ascii="Times New Roman" w:hAnsi="Times New Roman" w:eastAsia="宋体" w:cs="Times New Roman"/>
                <w:color w:val="auto"/>
                <w:kern w:val="0"/>
                <w:sz w:val="24"/>
                <w:szCs w:val="24"/>
                <w:highlight w:val="none"/>
                <w:lang w:eastAsia="zh-CN"/>
              </w:rPr>
              <w:t>日，国家发展和改革委员会以发改能源[2004]2301号文批准了淮南潘谢矿区总体规划，本项目位于安徽省淮南市潘集区潘集镇小圩村境内，属于潘谢矿区中的朱集东煤矿采矿权范围内。本项目实施保障朱集东煤矿矿井生产接替，</w:t>
            </w:r>
            <w:r>
              <w:rPr>
                <w:rFonts w:hint="eastAsia" w:ascii="Times New Roman" w:hAnsi="Times New Roman" w:eastAsia="宋体" w:cs="Times New Roman"/>
                <w:color w:val="auto"/>
                <w:kern w:val="0"/>
                <w:sz w:val="24"/>
                <w:szCs w:val="24"/>
                <w:highlight w:val="none"/>
              </w:rPr>
              <w:t>确保1262（1）工作面安全回采和1262（3）工作面卸压瓦斯抽采，</w:t>
            </w:r>
            <w:r>
              <w:rPr>
                <w:rFonts w:hint="eastAsia" w:ascii="Times New Roman" w:hAnsi="Times New Roman" w:eastAsia="宋体" w:cs="Times New Roman"/>
                <w:color w:val="auto"/>
                <w:kern w:val="0"/>
                <w:sz w:val="24"/>
                <w:szCs w:val="24"/>
                <w:highlight w:val="none"/>
                <w:lang w:eastAsia="zh-CN"/>
              </w:rPr>
              <w:t>因此项目实施符合《淮南潘谢矿区总体规划》相关要求。</w:t>
            </w:r>
          </w:p>
          <w:p w14:paraId="018CEAD0">
            <w:pPr>
              <w:spacing w:line="360" w:lineRule="auto"/>
              <w:ind w:firstLine="480" w:firstLineChars="200"/>
              <w:jc w:val="left"/>
            </w:pPr>
            <w:r>
              <w:rPr>
                <w:rFonts w:hint="eastAsia" w:ascii="Times New Roman" w:hAnsi="Times New Roman" w:eastAsia="宋体" w:cs="Times New Roman"/>
                <w:color w:val="auto"/>
                <w:kern w:val="0"/>
                <w:sz w:val="24"/>
                <w:szCs w:val="24"/>
                <w:highlight w:val="none"/>
              </w:rPr>
              <w:t>《淮南潘</w:t>
            </w:r>
            <w:r>
              <w:rPr>
                <w:rFonts w:hint="eastAsia" w:ascii="Times New Roman" w:hAnsi="Times New Roman" w:eastAsia="宋体" w:cs="Times New Roman"/>
                <w:color w:val="auto"/>
                <w:kern w:val="0"/>
                <w:sz w:val="24"/>
                <w:szCs w:val="24"/>
                <w:highlight w:val="none"/>
                <w:lang w:eastAsia="zh-CN"/>
              </w:rPr>
              <w:t>谢矿区总体开发规划环境影响报告书</w:t>
            </w:r>
            <w:r>
              <w:rPr>
                <w:rFonts w:hint="eastAsia" w:ascii="Times New Roman" w:hAnsi="Times New Roman" w:eastAsia="宋体" w:cs="Times New Roman"/>
                <w:color w:val="auto"/>
                <w:kern w:val="0"/>
                <w:sz w:val="24"/>
                <w:szCs w:val="24"/>
                <w:lang w:eastAsia="zh-CN"/>
              </w:rPr>
              <w:t>》审查意见（环函〔2006〕86号）要求“充分利用矿区资源优势和就地转化能力，以“发展先进生产生产力，保护生命，保护资源，保护环境”的理念将矿区建设成为华东地区重要的大型煤电基地，对于促进区域经济、社会、环境、资源的协调发展具有重要意义</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eastAsia="zh-CN"/>
              </w:rPr>
              <w:t>。本项目可</w:t>
            </w:r>
            <w:r>
              <w:rPr>
                <w:rFonts w:hint="eastAsia" w:ascii="Times New Roman" w:hAnsi="Times New Roman" w:eastAsia="宋体" w:cs="Times New Roman"/>
                <w:color w:val="auto"/>
                <w:kern w:val="0"/>
                <w:sz w:val="24"/>
                <w:szCs w:val="24"/>
                <w:lang w:val="en-US" w:eastAsia="zh-CN"/>
              </w:rPr>
              <w:t>通过辅助钻井</w:t>
            </w:r>
            <w:r>
              <w:rPr>
                <w:rFonts w:hint="eastAsia" w:ascii="Times New Roman" w:hAnsi="Times New Roman" w:eastAsia="宋体" w:cs="Times New Roman"/>
                <w:color w:val="auto"/>
                <w:kern w:val="0"/>
                <w:sz w:val="24"/>
                <w:szCs w:val="24"/>
                <w:lang w:eastAsia="zh-CN"/>
              </w:rPr>
              <w:t>勘查项目区地质情况，勘查</w:t>
            </w:r>
            <w:r>
              <w:rPr>
                <w:rFonts w:hint="eastAsia" w:asciiTheme="minorHAnsi" w:hAnsiTheme="minorHAnsi" w:eastAsiaTheme="minorEastAsia" w:cstheme="minorBidi"/>
                <w:color w:val="auto"/>
                <w:kern w:val="2"/>
                <w:sz w:val="24"/>
                <w:szCs w:val="22"/>
                <w:lang w:val="en-US" w:eastAsia="zh-CN" w:bidi="ar-SA"/>
              </w:rPr>
              <w:t>新地层及基岩段岩性，准确掌握13-1、11-2煤层的位置及厚度</w:t>
            </w:r>
            <w:r>
              <w:rPr>
                <w:rFonts w:hint="eastAsia" w:cstheme="minorBidi"/>
                <w:color w:val="auto"/>
                <w:kern w:val="2"/>
                <w:sz w:val="24"/>
                <w:szCs w:val="22"/>
                <w:lang w:val="en-US" w:eastAsia="zh-CN" w:bidi="ar-SA"/>
              </w:rPr>
              <w:t>，</w:t>
            </w:r>
            <w:r>
              <w:rPr>
                <w:rFonts w:hint="eastAsia" w:ascii="Times New Roman" w:hAnsi="Times New Roman" w:eastAsia="宋体" w:cs="Times New Roman"/>
                <w:color w:val="auto"/>
                <w:kern w:val="0"/>
                <w:sz w:val="24"/>
                <w:szCs w:val="24"/>
                <w:lang w:val="en-US" w:eastAsia="zh-CN"/>
              </w:rPr>
              <w:t>为矿井</w:t>
            </w:r>
            <w:r>
              <w:rPr>
                <w:rFonts w:hint="eastAsia" w:ascii="Times New Roman" w:hAnsi="Times New Roman" w:eastAsia="宋体" w:cs="Times New Roman"/>
                <w:color w:val="auto"/>
                <w:kern w:val="0"/>
                <w:sz w:val="24"/>
                <w:szCs w:val="24"/>
                <w:lang w:eastAsia="zh-CN"/>
              </w:rPr>
              <w:t>开采提供地质资料，保障矿井安全开采。因此项目实施符合</w:t>
            </w:r>
            <w:r>
              <w:rPr>
                <w:rFonts w:hint="eastAsia" w:ascii="Times New Roman" w:hAnsi="Times New Roman" w:eastAsia="宋体" w:cs="Times New Roman"/>
                <w:color w:val="auto"/>
                <w:kern w:val="0"/>
                <w:sz w:val="24"/>
                <w:szCs w:val="24"/>
              </w:rPr>
              <w:t>《淮南潘</w:t>
            </w:r>
            <w:r>
              <w:rPr>
                <w:rFonts w:hint="eastAsia" w:ascii="Times New Roman" w:hAnsi="Times New Roman" w:eastAsia="宋体" w:cs="Times New Roman"/>
                <w:color w:val="auto"/>
                <w:kern w:val="0"/>
                <w:sz w:val="24"/>
                <w:szCs w:val="24"/>
                <w:lang w:eastAsia="zh-CN"/>
              </w:rPr>
              <w:t>谢矿区总体开发规划环境影响报告书》审查意见。</w:t>
            </w:r>
          </w:p>
        </w:tc>
      </w:tr>
      <w:tr w14:paraId="4BE0A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609" w:type="pct"/>
            <w:tcMar>
              <w:top w:w="16" w:type="dxa"/>
              <w:left w:w="16" w:type="dxa"/>
              <w:right w:w="16" w:type="dxa"/>
            </w:tcMar>
            <w:vAlign w:val="center"/>
          </w:tcPr>
          <w:p w14:paraId="54F58E40">
            <w:pPr>
              <w:autoSpaceDE w:val="0"/>
              <w:autoSpaceDN w:val="0"/>
              <w:spacing w:line="360" w:lineRule="auto"/>
              <w:jc w:val="center"/>
              <w:rPr>
                <w:rFonts w:ascii="Times New Roman" w:hAnsi="Times New Roman" w:eastAsia="宋体" w:cs="Times New Roman"/>
                <w:color w:val="auto"/>
                <w:kern w:val="0"/>
                <w:sz w:val="24"/>
                <w:szCs w:val="24"/>
              </w:rPr>
            </w:pPr>
            <w:bookmarkStart w:id="1" w:name="_Hlk56690880"/>
            <w:r>
              <w:rPr>
                <w:rFonts w:ascii="Times New Roman" w:hAnsi="宋体" w:eastAsia="宋体" w:cs="Times New Roman"/>
                <w:color w:val="auto"/>
                <w:kern w:val="0"/>
                <w:sz w:val="24"/>
                <w:szCs w:val="24"/>
                <w:highlight w:val="none"/>
              </w:rPr>
              <w:t>其他符合性分析</w:t>
            </w:r>
            <w:bookmarkEnd w:id="1"/>
          </w:p>
        </w:tc>
        <w:tc>
          <w:tcPr>
            <w:tcW w:w="4390" w:type="pct"/>
            <w:gridSpan w:val="3"/>
            <w:tcMar>
              <w:top w:w="16" w:type="dxa"/>
              <w:left w:w="16" w:type="dxa"/>
              <w:right w:w="16" w:type="dxa"/>
            </w:tcMar>
            <w:vAlign w:val="center"/>
          </w:tcPr>
          <w:p w14:paraId="02F7FDFE">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w:t>
            </w:r>
            <w:r>
              <w:rPr>
                <w:rFonts w:hint="eastAsia" w:ascii="Times New Roman" w:hAnsi="Times New Roman" w:eastAsia="宋体" w:cs="Times New Roman"/>
                <w:b/>
                <w:color w:val="auto"/>
                <w:kern w:val="0"/>
                <w:sz w:val="24"/>
                <w:szCs w:val="24"/>
              </w:rPr>
              <w:t>1</w:t>
            </w:r>
            <w:r>
              <w:rPr>
                <w:rFonts w:ascii="Times New Roman" w:hAnsi="Times New Roman" w:eastAsia="宋体" w:cs="Times New Roman"/>
                <w:b/>
                <w:color w:val="auto"/>
                <w:kern w:val="0"/>
                <w:sz w:val="24"/>
                <w:szCs w:val="24"/>
              </w:rPr>
              <w:t>）产业政策符合性分析</w:t>
            </w:r>
          </w:p>
          <w:p w14:paraId="56113D4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bCs/>
                <w:color w:val="auto"/>
                <w:sz w:val="24"/>
                <w:szCs w:val="24"/>
              </w:rPr>
              <w:t>本项</w:t>
            </w:r>
            <w:r>
              <w:rPr>
                <w:rFonts w:hint="eastAsia" w:ascii="Times New Roman" w:hAnsi="Times New Roman" w:eastAsia="宋体" w:cs="Times New Roman"/>
                <w:color w:val="auto"/>
                <w:kern w:val="0"/>
                <w:sz w:val="24"/>
                <w:szCs w:val="24"/>
                <w:highlight w:val="none"/>
              </w:rPr>
              <w:t>目是煤矿开采过程中</w:t>
            </w:r>
            <w:r>
              <w:rPr>
                <w:rFonts w:hint="eastAsia" w:ascii="Times New Roman" w:hAnsi="Times New Roman" w:eastAsia="宋体" w:cs="Times New Roman"/>
                <w:color w:val="auto"/>
                <w:kern w:val="0"/>
                <w:sz w:val="24"/>
                <w:szCs w:val="24"/>
                <w:highlight w:val="none"/>
                <w:lang w:eastAsia="zh-CN"/>
              </w:rPr>
              <w:t>一项辅助性工程</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主要保障矿井生产接替</w:t>
            </w:r>
            <w:r>
              <w:rPr>
                <w:rFonts w:hint="eastAsia" w:eastAsia="宋体" w:cs="Times New Roman"/>
                <w:color w:val="auto"/>
                <w:kern w:val="0"/>
                <w:sz w:val="24"/>
                <w:szCs w:val="24"/>
                <w:highlight w:val="none"/>
                <w:lang w:eastAsia="zh-CN"/>
              </w:rPr>
              <w:t>和</w:t>
            </w:r>
            <w:r>
              <w:rPr>
                <w:rFonts w:hint="eastAsia" w:ascii="Times New Roman" w:hAnsi="Times New Roman" w:eastAsia="宋体" w:cs="Times New Roman"/>
                <w:color w:val="auto"/>
                <w:kern w:val="0"/>
                <w:sz w:val="24"/>
                <w:szCs w:val="24"/>
                <w:highlight w:val="none"/>
              </w:rPr>
              <w:t>1262（1）工作面安全</w:t>
            </w:r>
            <w:r>
              <w:rPr>
                <w:rFonts w:hint="eastAsia" w:ascii="Times New Roman" w:hAnsi="Times New Roman" w:eastAsia="宋体" w:cs="Times New Roman"/>
                <w:color w:val="auto"/>
                <w:kern w:val="0"/>
                <w:sz w:val="24"/>
                <w:szCs w:val="24"/>
                <w:highlight w:val="none"/>
                <w:lang w:eastAsia="zh-CN"/>
              </w:rPr>
              <w:t>回采，</w:t>
            </w:r>
            <w:r>
              <w:rPr>
                <w:rFonts w:hint="eastAsia" w:ascii="Times New Roman" w:hAnsi="Times New Roman" w:eastAsia="宋体" w:cs="Times New Roman"/>
                <w:color w:val="auto"/>
                <w:kern w:val="0"/>
                <w:sz w:val="24"/>
                <w:szCs w:val="24"/>
              </w:rPr>
              <w:t>钻井</w:t>
            </w:r>
            <w:r>
              <w:rPr>
                <w:rFonts w:hint="eastAsia" w:ascii="Times New Roman" w:hAnsi="Times New Roman" w:eastAsia="宋体" w:cs="Times New Roman"/>
                <w:color w:val="auto"/>
                <w:kern w:val="0"/>
                <w:sz w:val="24"/>
                <w:szCs w:val="24"/>
                <w:lang w:eastAsia="zh-CN"/>
              </w:rPr>
              <w:t>用于勘查项目区地质情况，勘查</w:t>
            </w:r>
            <w:r>
              <w:rPr>
                <w:rFonts w:hint="eastAsia" w:asciiTheme="minorHAnsi" w:hAnsiTheme="minorHAnsi" w:eastAsiaTheme="minorEastAsia" w:cstheme="minorBidi"/>
                <w:color w:val="auto"/>
                <w:kern w:val="2"/>
                <w:sz w:val="24"/>
                <w:szCs w:val="22"/>
                <w:lang w:val="en-US" w:eastAsia="zh-CN" w:bidi="ar-SA"/>
              </w:rPr>
              <w:t>新地层及基岩段岩性，准确掌握13-1、11-2煤层的位置及厚度</w:t>
            </w:r>
            <w:r>
              <w:rPr>
                <w:rFonts w:hint="eastAsia" w:cstheme="minorBidi"/>
                <w:color w:val="auto"/>
                <w:kern w:val="2"/>
                <w:sz w:val="24"/>
                <w:szCs w:val="22"/>
                <w:lang w:val="en-US" w:eastAsia="zh-CN" w:bidi="ar-SA"/>
              </w:rPr>
              <w:t>。</w:t>
            </w:r>
            <w:r>
              <w:rPr>
                <w:rFonts w:ascii="Times New Roman" w:hAnsi="Times New Roman" w:eastAsia="宋体" w:cs="Times New Roman"/>
                <w:bCs/>
                <w:color w:val="auto"/>
                <w:sz w:val="24"/>
                <w:szCs w:val="24"/>
              </w:rPr>
              <w:t>根据</w:t>
            </w:r>
            <w:r>
              <w:rPr>
                <w:rFonts w:ascii="Times New Roman" w:hAnsi="Times New Roman" w:eastAsia="宋体" w:cs="Times New Roman"/>
                <w:color w:val="auto"/>
                <w:sz w:val="24"/>
                <w:szCs w:val="24"/>
              </w:rPr>
              <w:t>《产业结构调整指导目录（20</w:t>
            </w:r>
            <w:r>
              <w:rPr>
                <w:rFonts w:hint="eastAsia" w:ascii="Times New Roman" w:hAnsi="Times New Roman" w:eastAsia="宋体" w:cs="Times New Roman"/>
                <w:color w:val="auto"/>
                <w:sz w:val="24"/>
                <w:szCs w:val="24"/>
              </w:rPr>
              <w:t>24</w:t>
            </w:r>
            <w:r>
              <w:rPr>
                <w:rFonts w:ascii="Times New Roman" w:hAnsi="Times New Roman" w:eastAsia="宋体" w:cs="Times New Roman"/>
                <w:color w:val="auto"/>
                <w:sz w:val="24"/>
                <w:szCs w:val="24"/>
              </w:rPr>
              <w:t>年本）》，</w:t>
            </w:r>
            <w:r>
              <w:rPr>
                <w:rFonts w:hint="eastAsia" w:ascii="Times New Roman" w:hAnsi="Times New Roman" w:eastAsia="宋体" w:cs="Times New Roman"/>
                <w:color w:val="auto"/>
                <w:sz w:val="24"/>
                <w:szCs w:val="24"/>
              </w:rPr>
              <w:t>本项目</w:t>
            </w:r>
            <w:r>
              <w:rPr>
                <w:rFonts w:ascii="Times New Roman" w:hAnsi="Times New Roman" w:eastAsia="宋体" w:cs="Times New Roman"/>
                <w:color w:val="auto"/>
                <w:sz w:val="24"/>
                <w:szCs w:val="24"/>
              </w:rPr>
              <w:t>属于“鼓励类中三、煤炭</w:t>
            </w:r>
            <w:r>
              <w:rPr>
                <w:rFonts w:hint="eastAsia" w:ascii="Times New Roman" w:hAnsi="Times New Roman" w:eastAsia="宋体" w:cs="Times New Roman"/>
                <w:color w:val="auto"/>
                <w:sz w:val="24"/>
                <w:szCs w:val="24"/>
              </w:rPr>
              <w:t>4、煤田地质及地球物理勘探</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，为鼓励类，且本项目已取得</w:t>
            </w:r>
            <w:r>
              <w:rPr>
                <w:rFonts w:ascii="Times New Roman" w:hAnsi="Times New Roman" w:eastAsia="宋体" w:cs="Times New Roman"/>
                <w:color w:val="auto"/>
                <w:sz w:val="24"/>
                <w:szCs w:val="24"/>
              </w:rPr>
              <w:t>淮南市</w:t>
            </w:r>
            <w:r>
              <w:rPr>
                <w:rFonts w:hint="eastAsia" w:ascii="Times New Roman" w:hAnsi="Times New Roman" w:eastAsia="宋体" w:cs="Times New Roman"/>
                <w:color w:val="auto"/>
                <w:sz w:val="24"/>
                <w:szCs w:val="24"/>
                <w:lang w:eastAsia="zh-CN"/>
              </w:rPr>
              <w:t>潘集区发展和改革委员会</w:t>
            </w:r>
            <w:r>
              <w:rPr>
                <w:rFonts w:ascii="Times New Roman" w:hAnsi="Times New Roman" w:eastAsia="宋体" w:cs="Times New Roman"/>
                <w:color w:val="auto"/>
                <w:sz w:val="24"/>
                <w:szCs w:val="24"/>
              </w:rPr>
              <w:t>备案，项目编码为</w:t>
            </w:r>
            <w:r>
              <w:rPr>
                <w:rFonts w:hint="eastAsia" w:ascii="Times New Roman" w:hAnsi="Times New Roman" w:eastAsia="宋体" w:cs="Times New Roman"/>
                <w:color w:val="auto"/>
                <w:sz w:val="24"/>
                <w:szCs w:val="24"/>
                <w:lang w:eastAsia="zh-CN"/>
              </w:rPr>
              <w:t>2503-340406-04-05-534109</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因此，本项目的建设符合国家和地方产业政策要求。</w:t>
            </w:r>
          </w:p>
          <w:p w14:paraId="0220AB71">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（2）选址符合性分析</w:t>
            </w:r>
          </w:p>
          <w:p w14:paraId="59098A18">
            <w:pPr>
              <w:autoSpaceDE w:val="0"/>
              <w:autoSpaceDN w:val="0"/>
              <w:spacing w:line="360" w:lineRule="auto"/>
              <w:ind w:firstLine="480" w:firstLineChars="200"/>
              <w:rPr>
                <w:rFonts w:hint="eastAsia" w:ascii="Times New Roman" w:hAnsi="Times New Roman" w:eastAsia="宋体" w:cs="Times New Roman"/>
                <w:color w:val="auto"/>
                <w:kern w:val="0"/>
                <w:sz w:val="24"/>
                <w:lang w:eastAsia="zh-CN"/>
              </w:rPr>
            </w:pPr>
            <w:r>
              <w:rPr>
                <w:rFonts w:hint="eastAsia" w:ascii="Times New Roman" w:hAnsi="宋体" w:eastAsia="宋体" w:cs="Times New Roman"/>
                <w:color w:val="auto"/>
                <w:sz w:val="24"/>
                <w:szCs w:val="24"/>
              </w:rPr>
              <w:t>本项目</w:t>
            </w:r>
            <w:r>
              <w:rPr>
                <w:rFonts w:hint="eastAsia" w:ascii="Times New Roman" w:hAnsi="宋体" w:eastAsia="宋体" w:cs="Times New Roman"/>
                <w:color w:val="auto"/>
                <w:sz w:val="24"/>
                <w:szCs w:val="24"/>
                <w:lang w:eastAsia="zh-CN"/>
              </w:rPr>
              <w:t>施工总占地面积</w:t>
            </w:r>
            <w:r>
              <w:rPr>
                <w:rFonts w:hint="eastAsia" w:ascii="Times New Roman" w:hAnsi="宋体" w:eastAsia="宋体" w:cs="Times New Roman"/>
                <w:color w:val="auto"/>
                <w:sz w:val="24"/>
                <w:szCs w:val="24"/>
                <w:lang w:val="en-US" w:eastAsia="zh-CN"/>
              </w:rPr>
              <w:t>15107平方，均为潘集区潘集镇小圩村境内的农用地，占地全部为临时占用，</w:t>
            </w:r>
            <w:r>
              <w:rPr>
                <w:rFonts w:hint="eastAsia" w:ascii="Times New Roman" w:hAnsi="宋体" w:eastAsia="宋体" w:cs="Times New Roman"/>
                <w:color w:val="auto"/>
                <w:sz w:val="24"/>
                <w:szCs w:val="24"/>
                <w:highlight w:val="none"/>
                <w:lang w:eastAsia="zh-CN"/>
              </w:rPr>
              <w:t>已</w:t>
            </w:r>
            <w:r>
              <w:rPr>
                <w:rFonts w:hint="eastAsia" w:ascii="Times New Roman" w:hAnsi="宋体" w:eastAsia="宋体" w:cs="Times New Roman"/>
                <w:color w:val="auto"/>
                <w:sz w:val="24"/>
                <w:szCs w:val="24"/>
                <w:highlight w:val="none"/>
              </w:rPr>
              <w:t>取得了</w:t>
            </w:r>
            <w:r>
              <w:rPr>
                <w:rFonts w:hint="eastAsia" w:ascii="Times New Roman" w:hAnsi="宋体" w:eastAsia="宋体" w:cs="Times New Roman"/>
                <w:color w:val="auto"/>
                <w:sz w:val="24"/>
                <w:szCs w:val="24"/>
                <w:highlight w:val="none"/>
                <w:lang w:eastAsia="zh-CN"/>
              </w:rPr>
              <w:t>淮南市</w:t>
            </w:r>
            <w:r>
              <w:rPr>
                <w:rFonts w:hint="eastAsia" w:ascii="Times New Roman" w:hAnsi="宋体" w:eastAsia="宋体" w:cs="Times New Roman"/>
                <w:color w:val="auto"/>
                <w:sz w:val="24"/>
                <w:szCs w:val="24"/>
                <w:highlight w:val="none"/>
              </w:rPr>
              <w:t>自然资源和规划局出具的项目临时用地批复，临时用地期限为2年</w:t>
            </w:r>
            <w:r>
              <w:rPr>
                <w:rFonts w:hint="eastAsia" w:ascii="Times New Roman" w:hAnsi="宋体" w:eastAsia="宋体" w:cs="Times New Roman"/>
                <w:color w:val="auto"/>
                <w:sz w:val="24"/>
                <w:szCs w:val="24"/>
              </w:rPr>
              <w:t>。</w:t>
            </w:r>
          </w:p>
          <w:p w14:paraId="5AEB1EC1">
            <w:pPr>
              <w:autoSpaceDE w:val="0"/>
              <w:autoSpaceDN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eastAsia="zh-CN"/>
              </w:rPr>
              <w:t>经现场调查，项目施工场地周边主要</w:t>
            </w:r>
            <w:r>
              <w:rPr>
                <w:rFonts w:hint="eastAsia" w:ascii="Times New Roman" w:hAnsi="Times New Roman" w:eastAsia="宋体" w:cs="Times New Roman"/>
                <w:color w:val="auto"/>
                <w:kern w:val="0"/>
                <w:sz w:val="24"/>
              </w:rPr>
              <w:t>为农田</w:t>
            </w:r>
            <w:r>
              <w:rPr>
                <w:rFonts w:hint="eastAsia" w:ascii="Times New Roman" w:hAnsi="Times New Roman" w:eastAsia="宋体" w:cs="Times New Roman"/>
                <w:color w:val="auto"/>
                <w:kern w:val="0"/>
                <w:sz w:val="24"/>
                <w:lang w:eastAsia="zh-CN"/>
              </w:rPr>
              <w:t>和村庄。</w:t>
            </w:r>
            <w:r>
              <w:rPr>
                <w:rFonts w:hint="eastAsia" w:ascii="Times New Roman" w:hAnsi="Times New Roman" w:eastAsia="宋体" w:cs="Times New Roman"/>
                <w:color w:val="auto"/>
                <w:kern w:val="0"/>
                <w:sz w:val="24"/>
              </w:rPr>
              <w:t>项目区范围内无自然保护区、风景名胜区、世界文化和自然遗产、饮用水水源保护区；也没有以医疗卫生、文化教育、科研、行政办公等为主要功能的区域，无文物保护单位，无具有特殊历史、文化、科学、民族意义的保护地等环境敏感区，因此本项目选址合理可行。</w:t>
            </w:r>
          </w:p>
          <w:p w14:paraId="6E84CB74">
            <w:pPr>
              <w:autoSpaceDE w:val="0"/>
              <w:autoSpaceDN w:val="0"/>
              <w:spacing w:line="360" w:lineRule="auto"/>
              <w:ind w:firstLine="482" w:firstLineChars="200"/>
              <w:rPr>
                <w:rFonts w:hint="eastAsia" w:ascii="Times New Roman" w:hAnsi="Times New Roman" w:eastAsia="宋体" w:cs="Times New Roman"/>
                <w:b/>
                <w:color w:val="auto"/>
                <w:kern w:val="0"/>
                <w:sz w:val="24"/>
                <w:szCs w:val="24"/>
                <w:highlight w:val="none"/>
              </w:rPr>
            </w:pPr>
            <w:r>
              <w:rPr>
                <w:rFonts w:hint="eastAsia" w:ascii="Times New Roman" w:hAnsi="Times New Roman" w:eastAsia="宋体" w:cs="Times New Roman"/>
                <w:b/>
                <w:color w:val="auto"/>
                <w:kern w:val="0"/>
                <w:sz w:val="24"/>
                <w:szCs w:val="24"/>
                <w:highlight w:val="none"/>
              </w:rPr>
              <w:t>（</w:t>
            </w:r>
            <w:r>
              <w:rPr>
                <w:rFonts w:hint="eastAsia" w:ascii="Times New Roman" w:hAnsi="Times New Roman" w:eastAsia="宋体" w:cs="Times New Roman"/>
                <w:b/>
                <w:color w:val="auto"/>
                <w:kern w:val="0"/>
                <w:sz w:val="24"/>
                <w:szCs w:val="24"/>
                <w:highlight w:val="none"/>
                <w:lang w:val="en-US" w:eastAsia="zh-CN"/>
              </w:rPr>
              <w:t>3</w:t>
            </w:r>
            <w:r>
              <w:rPr>
                <w:rFonts w:hint="eastAsia" w:ascii="Times New Roman" w:hAnsi="Times New Roman" w:eastAsia="宋体" w:cs="Times New Roman"/>
                <w:b/>
                <w:color w:val="auto"/>
                <w:kern w:val="0"/>
                <w:sz w:val="24"/>
                <w:szCs w:val="24"/>
                <w:highlight w:val="none"/>
              </w:rPr>
              <w:t>）与《安徽省空气质量持续改善行动方案》（皖政〔2024〕36号）相符性分析</w:t>
            </w:r>
          </w:p>
          <w:p w14:paraId="34FAFEA0">
            <w:pPr>
              <w:pStyle w:val="97"/>
              <w:numPr>
                <w:ilvl w:val="1"/>
                <w:numId w:val="2"/>
              </w:numPr>
              <w:tabs>
                <w:tab w:val="clear" w:pos="1440"/>
              </w:tabs>
              <w:spacing w:line="240" w:lineRule="auto"/>
              <w:ind w:left="3300" w:leftChars="0" w:hanging="2460"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与《安徽省空气质量持续改善行动方案》相符性分析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55"/>
              <w:gridCol w:w="3925"/>
              <w:gridCol w:w="444"/>
            </w:tblGrid>
            <w:tr w14:paraId="69018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1" w:type="pct"/>
                  <w:vAlign w:val="center"/>
                </w:tcPr>
                <w:p w14:paraId="10BCC4CC">
                  <w:pPr>
                    <w:spacing w:line="276" w:lineRule="auto"/>
                    <w:jc w:val="center"/>
                    <w:rPr>
                      <w:rFonts w:ascii="Times New Roman" w:hAnsi="Times New Roman" w:eastAsia="宋体" w:cs="Times New Roman"/>
                      <w:b/>
                      <w:color w:val="auto"/>
                      <w:szCs w:val="21"/>
                      <w:highlight w:val="none"/>
                    </w:rPr>
                  </w:pPr>
                  <w:r>
                    <w:rPr>
                      <w:rFonts w:ascii="Times New Roman" w:hAnsi="宋体" w:eastAsia="宋体" w:cs="Times New Roman"/>
                      <w:b/>
                      <w:color w:val="auto"/>
                      <w:szCs w:val="21"/>
                      <w:highlight w:val="none"/>
                    </w:rPr>
                    <w:t>相关规范情况</w:t>
                  </w:r>
                </w:p>
              </w:tc>
              <w:tc>
                <w:tcPr>
                  <w:tcW w:w="2415" w:type="pct"/>
                  <w:vAlign w:val="center"/>
                </w:tcPr>
                <w:p w14:paraId="7ED14560">
                  <w:pPr>
                    <w:spacing w:line="276" w:lineRule="auto"/>
                    <w:jc w:val="center"/>
                    <w:rPr>
                      <w:rFonts w:ascii="Times New Roman" w:hAnsi="Times New Roman" w:eastAsia="宋体" w:cs="Times New Roman"/>
                      <w:b/>
                      <w:color w:val="auto"/>
                      <w:szCs w:val="21"/>
                      <w:highlight w:val="none"/>
                    </w:rPr>
                  </w:pPr>
                  <w:r>
                    <w:rPr>
                      <w:rFonts w:ascii="Times New Roman" w:hAnsi="宋体" w:eastAsia="宋体" w:cs="Times New Roman"/>
                      <w:b/>
                      <w:color w:val="auto"/>
                      <w:szCs w:val="21"/>
                      <w:highlight w:val="none"/>
                    </w:rPr>
                    <w:t>建设项目情况</w:t>
                  </w:r>
                </w:p>
              </w:tc>
              <w:tc>
                <w:tcPr>
                  <w:tcW w:w="273" w:type="pct"/>
                  <w:vAlign w:val="center"/>
                </w:tcPr>
                <w:p w14:paraId="54CD704D">
                  <w:pPr>
                    <w:spacing w:line="276" w:lineRule="auto"/>
                    <w:jc w:val="center"/>
                    <w:rPr>
                      <w:rFonts w:ascii="Times New Roman" w:hAnsi="Times New Roman" w:eastAsia="宋体" w:cs="Times New Roman"/>
                      <w:b/>
                      <w:color w:val="auto"/>
                      <w:szCs w:val="21"/>
                      <w:highlight w:val="none"/>
                    </w:rPr>
                  </w:pPr>
                  <w:r>
                    <w:rPr>
                      <w:rFonts w:ascii="Times New Roman" w:hAnsi="宋体" w:eastAsia="宋体" w:cs="Times New Roman"/>
                      <w:b/>
                      <w:color w:val="auto"/>
                      <w:szCs w:val="21"/>
                      <w:highlight w:val="none"/>
                    </w:rPr>
                    <w:t>是否符合</w:t>
                  </w:r>
                </w:p>
              </w:tc>
            </w:tr>
            <w:tr w14:paraId="67BF5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1" w:type="pct"/>
                  <w:vAlign w:val="center"/>
                </w:tcPr>
                <w:p w14:paraId="403DF8E9">
                  <w:pPr>
                    <w:spacing w:line="276" w:lineRule="auto"/>
                    <w:jc w:val="center"/>
                    <w:rPr>
                      <w:rFonts w:ascii="Times New Roman" w:hAnsi="宋体" w:eastAsia="宋体" w:cs="Times New Roman"/>
                      <w:color w:val="auto"/>
                      <w:szCs w:val="21"/>
                      <w:highlight w:val="none"/>
                    </w:rPr>
                  </w:pPr>
                  <w:r>
                    <w:rPr>
                      <w:rFonts w:ascii="Times New Roman" w:hAnsi="宋体" w:eastAsia="宋体" w:cs="Times New Roman"/>
                      <w:color w:val="auto"/>
                      <w:szCs w:val="21"/>
                      <w:highlight w:val="none"/>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2415" w:type="pct"/>
                  <w:vAlign w:val="center"/>
                </w:tcPr>
                <w:p w14:paraId="273B329D">
                  <w:pPr>
                    <w:spacing w:line="360" w:lineRule="auto"/>
                    <w:rPr>
                      <w:rFonts w:ascii="Times New Roman" w:hAnsi="宋体" w:eastAsia="宋体" w:cs="Times New Roman"/>
                      <w:color w:val="auto"/>
                      <w:szCs w:val="21"/>
                      <w:highlight w:val="none"/>
                    </w:rPr>
                  </w:pPr>
                  <w:r>
                    <w:rPr>
                      <w:rFonts w:ascii="Times New Roman" w:hAnsi="宋体" w:eastAsia="宋体" w:cs="Times New Roman"/>
                      <w:color w:val="auto"/>
                      <w:szCs w:val="21"/>
                      <w:highlight w:val="none"/>
                    </w:rPr>
                    <w:t>本项</w:t>
                  </w:r>
                  <w:r>
                    <w:rPr>
                      <w:rFonts w:hint="eastAsia" w:ascii="Times New Roman" w:hAnsi="宋体" w:eastAsia="宋体" w:cs="Times New Roman"/>
                      <w:color w:val="auto"/>
                      <w:szCs w:val="21"/>
                      <w:highlight w:val="none"/>
                    </w:rPr>
                    <w:t>目是煤矿开采过程中</w:t>
                  </w:r>
                  <w:r>
                    <w:rPr>
                      <w:rFonts w:hint="eastAsia" w:ascii="Times New Roman" w:hAnsi="宋体" w:eastAsia="宋体" w:cs="Times New Roman"/>
                      <w:color w:val="auto"/>
                      <w:szCs w:val="21"/>
                      <w:highlight w:val="none"/>
                      <w:lang w:eastAsia="zh-CN"/>
                    </w:rPr>
                    <w:t>一项辅助性工程</w:t>
                  </w:r>
                  <w:r>
                    <w:rPr>
                      <w:rFonts w:hint="eastAsia"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lang w:eastAsia="zh-CN"/>
                    </w:rPr>
                    <w:t>主要保障矿井生产接替和</w:t>
                  </w:r>
                  <w:r>
                    <w:rPr>
                      <w:rFonts w:hint="eastAsia" w:ascii="Times New Roman" w:hAnsi="宋体" w:eastAsia="宋体" w:cs="Times New Roman"/>
                      <w:color w:val="auto"/>
                      <w:szCs w:val="21"/>
                      <w:highlight w:val="none"/>
                    </w:rPr>
                    <w:t>1262（1）工作面安全</w:t>
                  </w:r>
                  <w:r>
                    <w:rPr>
                      <w:rFonts w:hint="eastAsia" w:ascii="Times New Roman" w:hAnsi="宋体" w:eastAsia="宋体" w:cs="Times New Roman"/>
                      <w:color w:val="auto"/>
                      <w:szCs w:val="21"/>
                      <w:highlight w:val="none"/>
                      <w:lang w:eastAsia="zh-CN"/>
                    </w:rPr>
                    <w:t>回采，</w:t>
                  </w:r>
                  <w:r>
                    <w:rPr>
                      <w:rFonts w:hint="eastAsia" w:ascii="Times New Roman" w:hAnsi="宋体" w:eastAsia="宋体" w:cs="Times New Roman"/>
                      <w:color w:val="auto"/>
                      <w:szCs w:val="21"/>
                      <w:highlight w:val="none"/>
                    </w:rPr>
                    <w:t>钻井</w:t>
                  </w:r>
                  <w:r>
                    <w:rPr>
                      <w:rFonts w:hint="eastAsia" w:ascii="Times New Roman" w:hAnsi="宋体" w:eastAsia="宋体" w:cs="Times New Roman"/>
                      <w:color w:val="auto"/>
                      <w:szCs w:val="21"/>
                      <w:highlight w:val="none"/>
                      <w:lang w:eastAsia="zh-CN"/>
                    </w:rPr>
                    <w:t>用于勘查项目区地质情况，勘查</w:t>
                  </w:r>
                  <w:r>
                    <w:rPr>
                      <w:rFonts w:hint="eastAsia" w:ascii="Times New Roman" w:hAnsi="宋体" w:eastAsia="宋体" w:cs="Times New Roman"/>
                      <w:color w:val="auto"/>
                      <w:szCs w:val="21"/>
                      <w:highlight w:val="none"/>
                      <w:lang w:val="en-US" w:eastAsia="zh-CN"/>
                    </w:rPr>
                    <w:t>新地层及基岩段岩性，准确掌握13-1、11-2煤层的位置及厚度</w:t>
                  </w:r>
                  <w:r>
                    <w:rPr>
                      <w:rFonts w:hint="eastAsia" w:ascii="Times New Roman" w:hAnsi="宋体" w:eastAsia="宋体" w:cs="Times New Roman"/>
                      <w:color w:val="auto"/>
                      <w:szCs w:val="21"/>
                      <w:highlight w:val="none"/>
                      <w:lang w:eastAsia="zh-CN"/>
                    </w:rPr>
                    <w:t>。</w:t>
                  </w:r>
                  <w:r>
                    <w:rPr>
                      <w:rFonts w:ascii="Times New Roman" w:hAnsi="宋体" w:eastAsia="宋体" w:cs="Times New Roman"/>
                      <w:color w:val="auto"/>
                      <w:szCs w:val="21"/>
                      <w:highlight w:val="none"/>
                    </w:rPr>
                    <w:t>根据《产业结构调整指导目录（20</w:t>
                  </w:r>
                  <w:r>
                    <w:rPr>
                      <w:rFonts w:hint="eastAsia" w:ascii="Times New Roman" w:hAnsi="宋体" w:eastAsia="宋体" w:cs="Times New Roman"/>
                      <w:color w:val="auto"/>
                      <w:szCs w:val="21"/>
                      <w:highlight w:val="none"/>
                    </w:rPr>
                    <w:t>24</w:t>
                  </w:r>
                  <w:r>
                    <w:rPr>
                      <w:rFonts w:ascii="Times New Roman" w:hAnsi="宋体" w:eastAsia="宋体" w:cs="Times New Roman"/>
                      <w:color w:val="auto"/>
                      <w:szCs w:val="21"/>
                      <w:highlight w:val="none"/>
                    </w:rPr>
                    <w:t>年本）》，</w:t>
                  </w:r>
                  <w:r>
                    <w:rPr>
                      <w:rFonts w:hint="eastAsia" w:ascii="Times New Roman" w:hAnsi="宋体" w:eastAsia="宋体" w:cs="Times New Roman"/>
                      <w:color w:val="auto"/>
                      <w:szCs w:val="21"/>
                      <w:highlight w:val="none"/>
                    </w:rPr>
                    <w:t>本项目</w:t>
                  </w:r>
                  <w:r>
                    <w:rPr>
                      <w:rFonts w:ascii="Times New Roman" w:hAnsi="宋体" w:eastAsia="宋体" w:cs="Times New Roman"/>
                      <w:color w:val="auto"/>
                      <w:szCs w:val="21"/>
                      <w:highlight w:val="none"/>
                    </w:rPr>
                    <w:t>属于“鼓励类中三、煤炭</w:t>
                  </w:r>
                  <w:r>
                    <w:rPr>
                      <w:rFonts w:hint="eastAsia" w:ascii="Times New Roman" w:hAnsi="宋体" w:eastAsia="宋体" w:cs="Times New Roman"/>
                      <w:color w:val="auto"/>
                      <w:szCs w:val="21"/>
                      <w:highlight w:val="none"/>
                    </w:rPr>
                    <w:t>4、煤田地质及地球物理勘探</w:t>
                  </w:r>
                  <w:r>
                    <w:rPr>
                      <w:rFonts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rPr>
                    <w:t>，为鼓励类</w:t>
                  </w:r>
                  <w:r>
                    <w:rPr>
                      <w:rFonts w:ascii="Times New Roman" w:hAnsi="宋体" w:eastAsia="宋体" w:cs="Times New Roman"/>
                      <w:color w:val="auto"/>
                      <w:szCs w:val="21"/>
                      <w:highlight w:val="none"/>
                    </w:rPr>
                    <w:t>，本项目的建设符合国家和地方产业政策要求</w:t>
                  </w:r>
                  <w:r>
                    <w:rPr>
                      <w:rFonts w:hint="eastAsia" w:ascii="Times New Roman" w:hAnsi="宋体" w:eastAsia="宋体" w:cs="Times New Roman"/>
                      <w:color w:val="auto"/>
                      <w:szCs w:val="21"/>
                      <w:highlight w:val="none"/>
                    </w:rPr>
                    <w:t>；对照</w:t>
                  </w:r>
                  <w:r>
                    <w:rPr>
                      <w:rFonts w:ascii="Times New Roman" w:hAnsi="宋体" w:eastAsia="宋体" w:cs="Times New Roman"/>
                      <w:color w:val="auto"/>
                      <w:szCs w:val="21"/>
                      <w:highlight w:val="none"/>
                    </w:rPr>
                    <w:t>《安徽省“两高”项目管理目录（</w:t>
                  </w:r>
                  <w:r>
                    <w:rPr>
                      <w:rFonts w:hint="eastAsia" w:ascii="Times New Roman" w:hAnsi="宋体" w:eastAsia="宋体" w:cs="Times New Roman"/>
                      <w:color w:val="auto"/>
                      <w:szCs w:val="21"/>
                      <w:highlight w:val="none"/>
                    </w:rPr>
                    <w:t>试行</w:t>
                  </w:r>
                  <w:r>
                    <w:rPr>
                      <w:rFonts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rPr>
                    <w:t>，</w:t>
                  </w:r>
                  <w:r>
                    <w:rPr>
                      <w:rFonts w:ascii="Times New Roman" w:hAnsi="宋体" w:eastAsia="宋体" w:cs="Times New Roman"/>
                      <w:color w:val="auto"/>
                      <w:szCs w:val="21"/>
                      <w:highlight w:val="none"/>
                    </w:rPr>
                    <w:t>本项目不属于</w:t>
                  </w:r>
                  <w:r>
                    <w:rPr>
                      <w:rFonts w:hint="eastAsia" w:ascii="Times New Roman" w:hAnsi="宋体" w:eastAsia="宋体" w:cs="Times New Roman"/>
                      <w:color w:val="auto"/>
                      <w:szCs w:val="21"/>
                      <w:highlight w:val="none"/>
                    </w:rPr>
                    <w:t>高</w:t>
                  </w:r>
                  <w:r>
                    <w:rPr>
                      <w:rFonts w:ascii="Times New Roman" w:hAnsi="宋体" w:eastAsia="宋体" w:cs="Times New Roman"/>
                      <w:color w:val="auto"/>
                      <w:szCs w:val="21"/>
                      <w:highlight w:val="none"/>
                    </w:rPr>
                    <w:t>耗能</w:t>
                  </w:r>
                  <w:r>
                    <w:rPr>
                      <w:rFonts w:hint="eastAsia" w:ascii="Times New Roman" w:hAnsi="宋体" w:eastAsia="宋体" w:cs="Times New Roman"/>
                      <w:color w:val="auto"/>
                      <w:szCs w:val="21"/>
                      <w:highlight w:val="none"/>
                    </w:rPr>
                    <w:t>、</w:t>
                  </w:r>
                  <w:r>
                    <w:rPr>
                      <w:rFonts w:ascii="Times New Roman" w:hAnsi="宋体" w:eastAsia="宋体" w:cs="Times New Roman"/>
                      <w:color w:val="auto"/>
                      <w:szCs w:val="21"/>
                      <w:highlight w:val="none"/>
                    </w:rPr>
                    <w:t>高排放项目</w:t>
                  </w:r>
                </w:p>
              </w:tc>
              <w:tc>
                <w:tcPr>
                  <w:tcW w:w="273" w:type="pct"/>
                  <w:vAlign w:val="center"/>
                </w:tcPr>
                <w:p w14:paraId="2EF49EDA">
                  <w:pPr>
                    <w:spacing w:line="276" w:lineRule="auto"/>
                    <w:jc w:val="center"/>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符合</w:t>
                  </w:r>
                </w:p>
              </w:tc>
            </w:tr>
            <w:tr w14:paraId="24F7D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1" w:type="pct"/>
                  <w:vAlign w:val="center"/>
                </w:tcPr>
                <w:p w14:paraId="4D76A21C">
                  <w:pPr>
                    <w:spacing w:line="276" w:lineRule="auto"/>
                    <w:jc w:val="center"/>
                    <w:rPr>
                      <w:rFonts w:ascii="Times New Roman" w:hAnsi="Times New Roman" w:eastAsia="宋体" w:cs="Times New Roman"/>
                      <w:color w:val="auto"/>
                      <w:szCs w:val="21"/>
                    </w:rPr>
                  </w:pPr>
                  <w:r>
                    <w:rPr>
                      <w:rFonts w:ascii="Times New Roman" w:cs="Times New Roman"/>
                      <w:color w:val="auto"/>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w:t>
                  </w:r>
                  <w:r>
                    <w:rPr>
                      <w:rFonts w:ascii="Times New Roman" w:hAnsi="Times New Roman" w:cs="Times New Roman"/>
                      <w:color w:val="auto"/>
                    </w:rPr>
                    <w:t>2025</w:t>
                  </w:r>
                  <w:r>
                    <w:rPr>
                      <w:rFonts w:ascii="Times New Roman" w:cs="Times New Roman"/>
                      <w:color w:val="auto"/>
                    </w:rPr>
                    <w:t>年，短流程炼钢产量占比达</w:t>
                  </w:r>
                  <w:r>
                    <w:rPr>
                      <w:rFonts w:ascii="Times New Roman" w:hAnsi="Times New Roman" w:cs="Times New Roman"/>
                      <w:color w:val="auto"/>
                    </w:rPr>
                    <w:t>15%</w:t>
                  </w:r>
                </w:p>
              </w:tc>
              <w:tc>
                <w:tcPr>
                  <w:tcW w:w="2415" w:type="pct"/>
                  <w:vAlign w:val="center"/>
                </w:tcPr>
                <w:p w14:paraId="568536C3">
                  <w:pPr>
                    <w:spacing w:line="276" w:lineRule="auto"/>
                    <w:jc w:val="center"/>
                    <w:rPr>
                      <w:rFonts w:ascii="Times New Roman" w:hAnsi="Times New Roman" w:eastAsia="宋体" w:cs="Times New Roman"/>
                      <w:color w:val="auto"/>
                      <w:szCs w:val="21"/>
                    </w:rPr>
                  </w:pPr>
                  <w:r>
                    <w:rPr>
                      <w:rFonts w:ascii="Times New Roman" w:hAnsi="宋体" w:eastAsia="宋体" w:cs="Times New Roman"/>
                      <w:color w:val="auto"/>
                      <w:szCs w:val="21"/>
                      <w:highlight w:val="none"/>
                    </w:rPr>
                    <w:t>本项</w:t>
                  </w:r>
                  <w:r>
                    <w:rPr>
                      <w:rFonts w:hint="eastAsia" w:ascii="Times New Roman" w:hAnsi="宋体" w:eastAsia="宋体" w:cs="Times New Roman"/>
                      <w:color w:val="auto"/>
                      <w:szCs w:val="21"/>
                      <w:highlight w:val="none"/>
                    </w:rPr>
                    <w:t>目是煤矿开采过程中</w:t>
                  </w:r>
                  <w:r>
                    <w:rPr>
                      <w:rFonts w:hint="eastAsia" w:ascii="Times New Roman" w:hAnsi="宋体" w:eastAsia="宋体" w:cs="Times New Roman"/>
                      <w:color w:val="auto"/>
                      <w:szCs w:val="21"/>
                      <w:highlight w:val="none"/>
                      <w:lang w:eastAsia="zh-CN"/>
                    </w:rPr>
                    <w:t>一项辅助性工程</w:t>
                  </w:r>
                  <w:r>
                    <w:rPr>
                      <w:rFonts w:hint="eastAsia"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lang w:eastAsia="zh-CN"/>
                    </w:rPr>
                    <w:t>主要保障矿井生产接替和</w:t>
                  </w:r>
                  <w:r>
                    <w:rPr>
                      <w:rFonts w:hint="eastAsia" w:ascii="Times New Roman" w:hAnsi="宋体" w:eastAsia="宋体" w:cs="Times New Roman"/>
                      <w:color w:val="auto"/>
                      <w:szCs w:val="21"/>
                      <w:highlight w:val="none"/>
                    </w:rPr>
                    <w:t>1262（1）工作面安全</w:t>
                  </w:r>
                  <w:r>
                    <w:rPr>
                      <w:rFonts w:hint="eastAsia" w:ascii="Times New Roman" w:hAnsi="宋体" w:eastAsia="宋体" w:cs="Times New Roman"/>
                      <w:color w:val="auto"/>
                      <w:szCs w:val="21"/>
                      <w:highlight w:val="none"/>
                      <w:lang w:eastAsia="zh-CN"/>
                    </w:rPr>
                    <w:t>回采，</w:t>
                  </w:r>
                  <w:r>
                    <w:rPr>
                      <w:rFonts w:hint="eastAsia" w:ascii="Times New Roman" w:hAnsi="宋体" w:eastAsia="宋体" w:cs="Times New Roman"/>
                      <w:color w:val="auto"/>
                      <w:szCs w:val="21"/>
                      <w:highlight w:val="none"/>
                    </w:rPr>
                    <w:t>钻井</w:t>
                  </w:r>
                  <w:r>
                    <w:rPr>
                      <w:rFonts w:hint="eastAsia" w:ascii="Times New Roman" w:hAnsi="宋体" w:eastAsia="宋体" w:cs="Times New Roman"/>
                      <w:color w:val="auto"/>
                      <w:szCs w:val="21"/>
                      <w:highlight w:val="none"/>
                      <w:lang w:eastAsia="zh-CN"/>
                    </w:rPr>
                    <w:t>用于勘查项目区地质情况，勘查</w:t>
                  </w:r>
                  <w:r>
                    <w:rPr>
                      <w:rFonts w:hint="eastAsia" w:ascii="Times New Roman" w:hAnsi="宋体" w:eastAsia="宋体" w:cs="Times New Roman"/>
                      <w:color w:val="auto"/>
                      <w:szCs w:val="21"/>
                      <w:highlight w:val="none"/>
                      <w:lang w:val="en-US" w:eastAsia="zh-CN"/>
                    </w:rPr>
                    <w:t>新地层及基岩段岩性，准确掌握13-1、11-2煤层的位置及厚度</w:t>
                  </w:r>
                  <w:r>
                    <w:rPr>
                      <w:rFonts w:hint="eastAsia" w:ascii="Times New Roman" w:hAnsi="宋体" w:eastAsia="宋体" w:cs="Times New Roman"/>
                      <w:color w:val="auto"/>
                      <w:szCs w:val="21"/>
                      <w:highlight w:val="none"/>
                      <w:lang w:eastAsia="zh-CN"/>
                    </w:rPr>
                    <w:t>。</w:t>
                  </w:r>
                  <w:r>
                    <w:rPr>
                      <w:rFonts w:ascii="Times New Roman" w:hAnsi="宋体" w:eastAsia="宋体" w:cs="Times New Roman"/>
                      <w:color w:val="auto"/>
                      <w:szCs w:val="21"/>
                    </w:rPr>
                    <w:t>根据《产业结构调整指导目录（20</w:t>
                  </w:r>
                  <w:r>
                    <w:rPr>
                      <w:rFonts w:hint="eastAsia" w:ascii="Times New Roman" w:hAnsi="宋体" w:eastAsia="宋体" w:cs="Times New Roman"/>
                      <w:color w:val="auto"/>
                      <w:szCs w:val="21"/>
                    </w:rPr>
                    <w:t>24</w:t>
                  </w:r>
                  <w:r>
                    <w:rPr>
                      <w:rFonts w:ascii="Times New Roman" w:hAnsi="宋体" w:eastAsia="宋体" w:cs="Times New Roman"/>
                      <w:color w:val="auto"/>
                      <w:szCs w:val="21"/>
                    </w:rPr>
                    <w:t>年本）》，</w:t>
                  </w:r>
                  <w:r>
                    <w:rPr>
                      <w:rFonts w:hint="eastAsia" w:ascii="Times New Roman" w:hAnsi="宋体" w:eastAsia="宋体" w:cs="Times New Roman"/>
                      <w:color w:val="auto"/>
                      <w:szCs w:val="21"/>
                    </w:rPr>
                    <w:t>本项目</w:t>
                  </w:r>
                  <w:r>
                    <w:rPr>
                      <w:rFonts w:ascii="Times New Roman" w:hAnsi="宋体" w:eastAsia="宋体" w:cs="Times New Roman"/>
                      <w:color w:val="auto"/>
                      <w:szCs w:val="21"/>
                    </w:rPr>
                    <w:t>属于“鼓励类中三、煤炭</w:t>
                  </w:r>
                  <w:r>
                    <w:rPr>
                      <w:rFonts w:hint="eastAsia" w:ascii="Times New Roman" w:hAnsi="宋体" w:eastAsia="宋体" w:cs="Times New Roman"/>
                      <w:color w:val="auto"/>
                      <w:szCs w:val="21"/>
                    </w:rPr>
                    <w:t>4、煤田地质及地球物理勘探</w:t>
                  </w:r>
                  <w:r>
                    <w:rPr>
                      <w:rFonts w:ascii="Times New Roman" w:hAnsi="宋体" w:eastAsia="宋体" w:cs="Times New Roman"/>
                      <w:color w:val="auto"/>
                      <w:szCs w:val="21"/>
                    </w:rPr>
                    <w:t>”</w:t>
                  </w:r>
                  <w:r>
                    <w:rPr>
                      <w:rFonts w:hint="eastAsia" w:ascii="Times New Roman" w:hAnsi="宋体" w:eastAsia="宋体" w:cs="Times New Roman"/>
                      <w:color w:val="auto"/>
                      <w:szCs w:val="21"/>
                    </w:rPr>
                    <w:t>，为鼓励类</w:t>
                  </w:r>
                  <w:r>
                    <w:rPr>
                      <w:rFonts w:ascii="Times New Roman" w:hAnsi="宋体" w:eastAsia="宋体" w:cs="Times New Roman"/>
                      <w:color w:val="auto"/>
                      <w:szCs w:val="21"/>
                    </w:rPr>
                    <w:t>，本企业不属于</w:t>
                  </w:r>
                  <w:r>
                    <w:rPr>
                      <w:rFonts w:ascii="Times New Roman" w:cs="Times New Roman"/>
                      <w:color w:val="auto"/>
                    </w:rPr>
                    <w:t>独立焦化、烧结、球团、热轧企业和落后煤炭洗选企业</w:t>
                  </w:r>
                  <w:r>
                    <w:rPr>
                      <w:rFonts w:hint="eastAsia" w:ascii="Times New Roman" w:cs="Times New Roman"/>
                      <w:color w:val="auto"/>
                    </w:rPr>
                    <w:t>，本项目不涉及</w:t>
                  </w:r>
                  <w:r>
                    <w:rPr>
                      <w:rFonts w:ascii="Times New Roman" w:cs="Times New Roman"/>
                      <w:color w:val="auto"/>
                    </w:rPr>
                    <w:t>步进式烧结机和球团竖炉以及半封闭式硅锰合金、镍铁、高碳铬铁、高碳锰铁电炉</w:t>
                  </w:r>
                  <w:r>
                    <w:rPr>
                      <w:rFonts w:hint="eastAsia" w:ascii="Times New Roman" w:cs="Times New Roman"/>
                      <w:color w:val="auto"/>
                    </w:rPr>
                    <w:t>，</w:t>
                  </w:r>
                  <w:r>
                    <w:rPr>
                      <w:rFonts w:ascii="Times New Roman" w:cs="Times New Roman"/>
                      <w:color w:val="auto"/>
                    </w:rPr>
                    <w:t>本项目不新增钢铁、水泥（熟料）、焦化、电解铝、平板玻璃（不含光伏压延玻璃）产能</w:t>
                  </w:r>
                </w:p>
              </w:tc>
              <w:tc>
                <w:tcPr>
                  <w:tcW w:w="273" w:type="pct"/>
                  <w:vAlign w:val="center"/>
                </w:tcPr>
                <w:p w14:paraId="4C77245E">
                  <w:pPr>
                    <w:spacing w:line="276" w:lineRule="auto"/>
                    <w:jc w:val="center"/>
                    <w:rPr>
                      <w:rFonts w:ascii="Times New Roman" w:hAnsi="Times New Roman" w:eastAsia="宋体" w:cs="Times New Roman"/>
                      <w:color w:val="auto"/>
                      <w:szCs w:val="21"/>
                    </w:rPr>
                  </w:pPr>
                  <w:r>
                    <w:rPr>
                      <w:rFonts w:ascii="Times New Roman" w:hAnsi="宋体" w:eastAsia="宋体" w:cs="Times New Roman"/>
                      <w:color w:val="auto"/>
                      <w:szCs w:val="21"/>
                    </w:rPr>
                    <w:t>符合</w:t>
                  </w:r>
                </w:p>
              </w:tc>
            </w:tr>
            <w:tr w14:paraId="60E68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1" w:type="pct"/>
                  <w:vAlign w:val="center"/>
                </w:tcPr>
                <w:p w14:paraId="75B72BAB">
                  <w:pPr>
                    <w:spacing w:line="276" w:lineRule="auto"/>
                    <w:jc w:val="center"/>
                    <w:rPr>
                      <w:color w:val="auto"/>
                    </w:rPr>
                  </w:pPr>
                  <w:r>
                    <w:rPr>
                      <w:color w:val="auto"/>
                    </w:rPr>
                    <w:t>加强城市公共裸地扬尘管控，对在建工地、闲置地块等裸露土地开展排查建档，因地制宜落实抑尘措施。严格落实城市大型煤炭、矿石等干散货码头物料堆放场所主体责任，完善露天堆场防风网、喷淋装置、防尘屏障等抑尘设施建设和物料输送系统封闭改造</w:t>
                  </w:r>
                </w:p>
              </w:tc>
              <w:tc>
                <w:tcPr>
                  <w:tcW w:w="2415" w:type="pct"/>
                  <w:vAlign w:val="center"/>
                </w:tcPr>
                <w:p w14:paraId="45A69455">
                  <w:pPr>
                    <w:spacing w:line="276" w:lineRule="auto"/>
                    <w:jc w:val="center"/>
                    <w:rPr>
                      <w:rFonts w:ascii="Times New Roman" w:hAnsi="宋体" w:eastAsia="宋体" w:cs="Times New Roman"/>
                      <w:color w:val="auto"/>
                      <w:szCs w:val="21"/>
                    </w:rPr>
                  </w:pPr>
                  <w:r>
                    <w:rPr>
                      <w:rFonts w:ascii="Times New Roman" w:cs="Times New Roman"/>
                      <w:color w:val="auto"/>
                    </w:rPr>
                    <w:t>本项目剥离的表土，堆放在专门的表土堆放区，施工现场内裸露的场地和集中堆放的表土采取覆盖等防尘措施。</w:t>
                  </w:r>
                </w:p>
              </w:tc>
              <w:tc>
                <w:tcPr>
                  <w:tcW w:w="273" w:type="pct"/>
                  <w:vAlign w:val="center"/>
                </w:tcPr>
                <w:p w14:paraId="4C378B7E">
                  <w:pPr>
                    <w:spacing w:line="276" w:lineRule="auto"/>
                    <w:jc w:val="center"/>
                    <w:rPr>
                      <w:rFonts w:ascii="Times New Roman" w:hAnsi="宋体" w:eastAsia="宋体" w:cs="Times New Roman"/>
                      <w:color w:val="auto"/>
                      <w:szCs w:val="21"/>
                    </w:rPr>
                  </w:pPr>
                  <w:r>
                    <w:rPr>
                      <w:rFonts w:ascii="Times New Roman" w:hAnsi="宋体" w:eastAsia="宋体" w:cs="Times New Roman"/>
                      <w:color w:val="auto"/>
                      <w:szCs w:val="21"/>
                    </w:rPr>
                    <w:t>符合</w:t>
                  </w:r>
                </w:p>
              </w:tc>
            </w:tr>
          </w:tbl>
          <w:p w14:paraId="17B908C9">
            <w:pPr>
              <w:autoSpaceDE w:val="0"/>
              <w:autoSpaceDN w:val="0"/>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根据上述分析可知，本项目与《安徽省空气质量持续改善行动方案》（皖政〔2024〕36号）相关规范相符。</w:t>
            </w:r>
          </w:p>
          <w:p w14:paraId="6929C47E">
            <w:pPr>
              <w:autoSpaceDE w:val="0"/>
              <w:autoSpaceDN w:val="0"/>
              <w:spacing w:line="360" w:lineRule="auto"/>
              <w:ind w:firstLine="482" w:firstLineChars="200"/>
              <w:rPr>
                <w:rFonts w:ascii="Times New Roman" w:hAnsi="Times New Roman" w:eastAsia="宋体" w:cs="Times New Roman"/>
                <w:b/>
                <w:bCs/>
                <w:color w:val="auto"/>
                <w:kern w:val="0"/>
                <w:sz w:val="24"/>
                <w:szCs w:val="24"/>
                <w:highlight w:val="yellow"/>
              </w:rPr>
            </w:pPr>
            <w:r>
              <w:rPr>
                <w:rFonts w:hint="eastAsia"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4</w:t>
            </w:r>
            <w:r>
              <w:rPr>
                <w:rFonts w:hint="eastAsia" w:ascii="Times New Roman" w:hAnsi="Times New Roman" w:eastAsia="宋体" w:cs="Times New Roman"/>
                <w:b/>
                <w:bCs/>
                <w:color w:val="auto"/>
                <w:kern w:val="0"/>
                <w:sz w:val="24"/>
                <w:szCs w:val="24"/>
                <w:highlight w:val="none"/>
              </w:rPr>
              <w:t>）</w:t>
            </w:r>
            <w:r>
              <w:rPr>
                <w:rFonts w:ascii="Times New Roman" w:hAnsi="Times New Roman" w:eastAsia="宋体" w:cs="Times New Roman"/>
                <w:b/>
                <w:bCs/>
                <w:color w:val="auto"/>
                <w:kern w:val="0"/>
                <w:sz w:val="24"/>
                <w:szCs w:val="24"/>
                <w:highlight w:val="none"/>
              </w:rPr>
              <w:t>与《</w:t>
            </w:r>
            <w:r>
              <w:rPr>
                <w:rFonts w:hint="eastAsia" w:ascii="Times New Roman" w:hAnsi="Times New Roman" w:eastAsia="宋体" w:cs="Times New Roman"/>
                <w:b/>
                <w:bCs/>
                <w:color w:val="auto"/>
                <w:kern w:val="0"/>
                <w:sz w:val="24"/>
                <w:szCs w:val="24"/>
                <w:highlight w:val="none"/>
              </w:rPr>
              <w:t>安徽省</w:t>
            </w:r>
            <w:r>
              <w:rPr>
                <w:rFonts w:ascii="Times New Roman" w:hAnsi="Times New Roman" w:eastAsia="宋体" w:cs="Times New Roman"/>
                <w:b/>
                <w:bCs/>
                <w:color w:val="auto"/>
                <w:kern w:val="0"/>
                <w:sz w:val="24"/>
                <w:szCs w:val="24"/>
                <w:highlight w:val="none"/>
              </w:rPr>
              <w:t>临时用地管理实施办法》符合性分析</w:t>
            </w:r>
          </w:p>
          <w:p w14:paraId="71542945">
            <w:pPr>
              <w:pStyle w:val="97"/>
              <w:numPr>
                <w:ilvl w:val="1"/>
                <w:numId w:val="2"/>
              </w:numPr>
              <w:tabs>
                <w:tab w:val="clear" w:pos="1440"/>
              </w:tabs>
              <w:spacing w:line="240" w:lineRule="auto"/>
              <w:ind w:left="3300" w:leftChars="0" w:hanging="2460"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与《安徽省临时用地管理实施办法》符合性分析</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46"/>
              <w:gridCol w:w="3887"/>
              <w:gridCol w:w="1094"/>
            </w:tblGrid>
            <w:tr w14:paraId="53C39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935" w:type="pct"/>
                  <w:vAlign w:val="center"/>
                </w:tcPr>
                <w:p w14:paraId="0D37FD0D">
                  <w:pPr>
                    <w:spacing w:before="100" w:beforeAutospacing="1" w:after="100" w:afterAutospacing="1" w:line="360" w:lineRule="auto"/>
                    <w:jc w:val="center"/>
                    <w:rPr>
                      <w:rFonts w:ascii="Times New Roman" w:hAnsi="Times New Roman" w:eastAsia="宋体" w:cs="Times New Roman"/>
                      <w:b/>
                      <w:color w:val="auto"/>
                      <w:kern w:val="21"/>
                      <w:szCs w:val="21"/>
                    </w:rPr>
                  </w:pPr>
                  <w:r>
                    <w:rPr>
                      <w:rFonts w:ascii="Times New Roman" w:hAnsi="Times New Roman" w:eastAsia="宋体" w:cs="Times New Roman"/>
                      <w:b/>
                      <w:color w:val="auto"/>
                      <w:kern w:val="21"/>
                      <w:szCs w:val="21"/>
                    </w:rPr>
                    <w:t>相关规范情况</w:t>
                  </w:r>
                </w:p>
              </w:tc>
              <w:tc>
                <w:tcPr>
                  <w:tcW w:w="2391" w:type="pct"/>
                  <w:vAlign w:val="center"/>
                </w:tcPr>
                <w:p w14:paraId="70B08EA5">
                  <w:pPr>
                    <w:spacing w:before="100" w:beforeAutospacing="1" w:after="100" w:afterAutospacing="1" w:line="360" w:lineRule="auto"/>
                    <w:jc w:val="center"/>
                    <w:rPr>
                      <w:rFonts w:ascii="Times New Roman" w:hAnsi="Times New Roman" w:eastAsia="宋体" w:cs="Times New Roman"/>
                      <w:b/>
                      <w:color w:val="auto"/>
                      <w:kern w:val="21"/>
                      <w:szCs w:val="21"/>
                    </w:rPr>
                  </w:pPr>
                  <w:r>
                    <w:rPr>
                      <w:rFonts w:ascii="Times New Roman" w:hAnsi="Times New Roman" w:eastAsia="宋体" w:cs="Times New Roman"/>
                      <w:b/>
                      <w:color w:val="auto"/>
                      <w:kern w:val="21"/>
                      <w:szCs w:val="21"/>
                    </w:rPr>
                    <w:t>建设项目情况</w:t>
                  </w:r>
                </w:p>
              </w:tc>
              <w:tc>
                <w:tcPr>
                  <w:tcW w:w="673" w:type="pct"/>
                  <w:vAlign w:val="center"/>
                </w:tcPr>
                <w:p w14:paraId="3866390C">
                  <w:pPr>
                    <w:spacing w:before="100" w:beforeAutospacing="1" w:after="100" w:afterAutospacing="1" w:line="360" w:lineRule="auto"/>
                    <w:jc w:val="center"/>
                    <w:rPr>
                      <w:rFonts w:ascii="Times New Roman" w:hAnsi="Times New Roman" w:eastAsia="宋体" w:cs="Times New Roman"/>
                      <w:b/>
                      <w:color w:val="auto"/>
                      <w:kern w:val="21"/>
                      <w:szCs w:val="21"/>
                    </w:rPr>
                  </w:pPr>
                  <w:r>
                    <w:rPr>
                      <w:rFonts w:ascii="Times New Roman" w:hAnsi="Times New Roman" w:eastAsia="宋体" w:cs="Times New Roman"/>
                      <w:b/>
                      <w:color w:val="auto"/>
                      <w:kern w:val="21"/>
                      <w:szCs w:val="21"/>
                    </w:rPr>
                    <w:t>是否符合</w:t>
                  </w:r>
                </w:p>
              </w:tc>
            </w:tr>
            <w:tr w14:paraId="68E12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935" w:type="pct"/>
                  <w:vAlign w:val="center"/>
                </w:tcPr>
                <w:p w14:paraId="7842BFF4">
                  <w:pPr>
                    <w:autoSpaceDE w:val="0"/>
                    <w:autoSpaceDN w:val="0"/>
                    <w:spacing w:line="360"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临时用地应合理选址，不影响能源、交通、水利、消防等公共设施正常运行，不造成安全隐患；应避让国务院批准的生态保护红线范围，因无法避让确需占用的，应当符合国家政策规定。</w:t>
                  </w:r>
                </w:p>
              </w:tc>
              <w:tc>
                <w:tcPr>
                  <w:tcW w:w="2391" w:type="pct"/>
                  <w:vAlign w:val="center"/>
                </w:tcPr>
                <w:p w14:paraId="2B2F4044">
                  <w:pPr>
                    <w:autoSpaceDE w:val="0"/>
                    <w:autoSpaceDN w:val="0"/>
                    <w:spacing w:line="360"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rPr>
                    <w:t>本项目临时用地</w:t>
                  </w:r>
                  <w:r>
                    <w:rPr>
                      <w:rFonts w:hint="eastAsia" w:ascii="Times New Roman" w:hAnsi="Times New Roman" w:eastAsia="宋体" w:cs="Times New Roman"/>
                      <w:color w:val="auto"/>
                      <w:kern w:val="0"/>
                      <w:szCs w:val="21"/>
                      <w:lang w:eastAsia="zh-CN"/>
                    </w:rPr>
                    <w:t>位于潘集区潘集镇小圩村，临时占地</w:t>
                  </w:r>
                  <w:r>
                    <w:rPr>
                      <w:rFonts w:hint="eastAsia" w:ascii="Times New Roman" w:hAnsi="Times New Roman" w:eastAsia="宋体" w:cs="Times New Roman"/>
                      <w:color w:val="auto"/>
                      <w:kern w:val="0"/>
                      <w:szCs w:val="21"/>
                    </w:rPr>
                    <w:t>面积为</w:t>
                  </w:r>
                  <w:r>
                    <w:rPr>
                      <w:rFonts w:hint="eastAsia" w:ascii="Times New Roman" w:hAnsi="Times New Roman" w:eastAsia="宋体" w:cs="Times New Roman"/>
                      <w:color w:val="auto"/>
                      <w:kern w:val="0"/>
                      <w:szCs w:val="21"/>
                      <w:lang w:val="en-US" w:eastAsia="zh-CN"/>
                    </w:rPr>
                    <w:t>15107m</w:t>
                  </w:r>
                  <w:r>
                    <w:rPr>
                      <w:rFonts w:hint="eastAsia" w:ascii="Times New Roman" w:hAnsi="Times New Roman" w:eastAsia="宋体" w:cs="Times New Roman"/>
                      <w:color w:val="auto"/>
                      <w:kern w:val="0"/>
                      <w:szCs w:val="21"/>
                      <w:vertAlign w:val="superscript"/>
                      <w:lang w:val="en-US" w:eastAsia="zh-CN"/>
                    </w:rPr>
                    <w:t>2</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占地类型为农用地，占地不影响</w:t>
                  </w:r>
                  <w:r>
                    <w:rPr>
                      <w:rFonts w:hint="eastAsia" w:ascii="Times New Roman" w:hAnsi="Times New Roman" w:eastAsia="宋体" w:cs="Times New Roman"/>
                      <w:color w:val="auto"/>
                      <w:kern w:val="0"/>
                      <w:szCs w:val="21"/>
                    </w:rPr>
                    <w:t>能源、交通、水利、消防等公共设施正常运行，不造成安全隐患</w:t>
                  </w:r>
                  <w:r>
                    <w:rPr>
                      <w:rFonts w:hint="eastAsia" w:ascii="Times New Roman" w:hAnsi="Times New Roman" w:eastAsia="宋体" w:cs="Times New Roman"/>
                      <w:color w:val="auto"/>
                      <w:kern w:val="0"/>
                      <w:szCs w:val="21"/>
                      <w:lang w:eastAsia="zh-CN"/>
                    </w:rPr>
                    <w:t>，不在</w:t>
                  </w:r>
                  <w:r>
                    <w:rPr>
                      <w:rFonts w:hint="eastAsia" w:ascii="Times New Roman" w:hAnsi="Times New Roman" w:eastAsia="宋体" w:cs="Times New Roman"/>
                      <w:color w:val="auto"/>
                      <w:kern w:val="0"/>
                      <w:szCs w:val="21"/>
                    </w:rPr>
                    <w:t>国务院批准的生态保护红线范围</w:t>
                  </w:r>
                  <w:r>
                    <w:rPr>
                      <w:rFonts w:hint="eastAsia" w:ascii="Times New Roman" w:hAnsi="Times New Roman" w:eastAsia="宋体" w:cs="Times New Roman"/>
                      <w:color w:val="auto"/>
                      <w:kern w:val="0"/>
                      <w:szCs w:val="21"/>
                      <w:lang w:eastAsia="zh-CN"/>
                    </w:rPr>
                    <w:t>内。</w:t>
                  </w:r>
                </w:p>
              </w:tc>
              <w:tc>
                <w:tcPr>
                  <w:tcW w:w="673" w:type="pct"/>
                  <w:vAlign w:val="center"/>
                </w:tcPr>
                <w:p w14:paraId="0068E1BF">
                  <w:pPr>
                    <w:spacing w:before="100" w:beforeAutospacing="1" w:after="100" w:afterAutospacing="1" w:line="360" w:lineRule="auto"/>
                    <w:jc w:val="center"/>
                    <w:rPr>
                      <w:rFonts w:ascii="Times New Roman" w:hAnsi="Times New Roman" w:eastAsia="宋体" w:cs="Times New Roman"/>
                      <w:color w:val="auto"/>
                      <w:kern w:val="21"/>
                      <w:szCs w:val="21"/>
                    </w:rPr>
                  </w:pPr>
                  <w:r>
                    <w:rPr>
                      <w:rFonts w:ascii="Times New Roman" w:hAnsi="Times New Roman" w:eastAsia="宋体" w:cs="Times New Roman"/>
                      <w:color w:val="auto"/>
                      <w:kern w:val="21"/>
                      <w:szCs w:val="21"/>
                    </w:rPr>
                    <w:t>符合</w:t>
                  </w:r>
                </w:p>
              </w:tc>
            </w:tr>
            <w:tr w14:paraId="44753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935" w:type="pct"/>
                  <w:vAlign w:val="center"/>
                </w:tcPr>
                <w:p w14:paraId="6494C13D">
                  <w:pPr>
                    <w:autoSpaceDE w:val="0"/>
                    <w:autoSpaceDN w:val="0"/>
                    <w:spacing w:line="360"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使用临时用地时应坚持“用多少、批多少、占多少、恢复多少”，尽量不占或者少占耕地。使用后土地复垦难度较大的临时用地，要严格控制占用耕地。可利用非耕地的，不占用耕地；可利用劣质耕地的，不占用优质耕地。</w:t>
                  </w:r>
                </w:p>
              </w:tc>
              <w:tc>
                <w:tcPr>
                  <w:tcW w:w="2391" w:type="pct"/>
                  <w:vAlign w:val="center"/>
                </w:tcPr>
                <w:p w14:paraId="17255B4E">
                  <w:pPr>
                    <w:autoSpaceDE w:val="0"/>
                    <w:autoSpaceDN w:val="0"/>
                    <w:spacing w:line="360"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本项目施工占地受井下开采工作面和</w:t>
                  </w:r>
                  <w:r>
                    <w:rPr>
                      <w:rFonts w:hint="eastAsia" w:ascii="Times New Roman" w:hAnsi="宋体" w:eastAsia="宋体" w:cs="Times New Roman"/>
                      <w:color w:val="auto"/>
                      <w:sz w:val="24"/>
                      <w:szCs w:val="24"/>
                      <w:lang w:val="en-US" w:eastAsia="zh-CN"/>
                    </w:rPr>
                    <w:t>地面构建筑情况影响，</w:t>
                  </w:r>
                  <w:r>
                    <w:rPr>
                      <w:rFonts w:hint="eastAsia" w:ascii="Times New Roman" w:hAnsi="Times New Roman" w:eastAsia="宋体" w:cs="Times New Roman"/>
                      <w:color w:val="auto"/>
                      <w:kern w:val="0"/>
                      <w:szCs w:val="21"/>
                      <w:lang w:eastAsia="zh-CN"/>
                    </w:rPr>
                    <w:t>占用当地耕地。项目占地选择时依据</w:t>
                  </w:r>
                  <w:r>
                    <w:rPr>
                      <w:rFonts w:hint="eastAsia" w:ascii="Times New Roman" w:hAnsi="Times New Roman" w:eastAsia="宋体" w:cs="Times New Roman"/>
                      <w:color w:val="auto"/>
                      <w:kern w:val="0"/>
                      <w:szCs w:val="21"/>
                    </w:rPr>
                    <w:t>“用多少、批多少、占多少、恢复多少”</w:t>
                  </w:r>
                  <w:r>
                    <w:rPr>
                      <w:rFonts w:hint="eastAsia" w:ascii="Times New Roman" w:hAnsi="Times New Roman" w:eastAsia="宋体" w:cs="Times New Roman"/>
                      <w:color w:val="auto"/>
                      <w:kern w:val="0"/>
                      <w:szCs w:val="21"/>
                      <w:lang w:eastAsia="zh-CN"/>
                    </w:rPr>
                    <w:t>的原则进行，并编制了土地复垦方案，项目施工完成后即进行土地复垦，恢复场地原状。</w:t>
                  </w:r>
                </w:p>
              </w:tc>
              <w:tc>
                <w:tcPr>
                  <w:tcW w:w="673" w:type="pct"/>
                  <w:vAlign w:val="center"/>
                </w:tcPr>
                <w:p w14:paraId="12158497">
                  <w:pPr>
                    <w:spacing w:before="100" w:beforeAutospacing="1" w:after="100" w:afterAutospacing="1" w:line="360" w:lineRule="auto"/>
                    <w:jc w:val="center"/>
                    <w:rPr>
                      <w:rFonts w:ascii="Times New Roman" w:hAnsi="Times New Roman" w:eastAsia="宋体" w:cs="Times New Roman"/>
                      <w:color w:val="auto"/>
                      <w:kern w:val="21"/>
                      <w:szCs w:val="21"/>
                    </w:rPr>
                  </w:pPr>
                  <w:r>
                    <w:rPr>
                      <w:rFonts w:ascii="Times New Roman" w:hAnsi="Times New Roman" w:eastAsia="宋体" w:cs="Times New Roman"/>
                      <w:color w:val="auto"/>
                      <w:kern w:val="21"/>
                      <w:szCs w:val="21"/>
                    </w:rPr>
                    <w:t>符合</w:t>
                  </w:r>
                </w:p>
              </w:tc>
            </w:tr>
            <w:tr w14:paraId="507BA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935" w:type="pct"/>
                  <w:vAlign w:val="center"/>
                </w:tcPr>
                <w:p w14:paraId="233623BB">
                  <w:pPr>
                    <w:autoSpaceDE w:val="0"/>
                    <w:autoSpaceDN w:val="0"/>
                    <w:spacing w:line="360"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临时用地使用应当遵循严格保护耕地、节约集约用地、严格土地复垦、依法合理补偿的原则。</w:t>
                  </w:r>
                </w:p>
              </w:tc>
              <w:tc>
                <w:tcPr>
                  <w:tcW w:w="2391" w:type="pct"/>
                  <w:vAlign w:val="center"/>
                </w:tcPr>
                <w:p w14:paraId="7D626797">
                  <w:pPr>
                    <w:autoSpaceDE w:val="0"/>
                    <w:autoSpaceDN w:val="0"/>
                    <w:spacing w:line="360"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本项目施工占地受井下开采工作面和</w:t>
                  </w:r>
                  <w:r>
                    <w:rPr>
                      <w:rFonts w:hint="eastAsia" w:ascii="Times New Roman" w:hAnsi="宋体" w:eastAsia="宋体" w:cs="Times New Roman"/>
                      <w:color w:val="auto"/>
                      <w:sz w:val="24"/>
                      <w:szCs w:val="24"/>
                      <w:lang w:val="en-US" w:eastAsia="zh-CN"/>
                    </w:rPr>
                    <w:t>地面构建筑情况影响，</w:t>
                  </w:r>
                  <w:r>
                    <w:rPr>
                      <w:rFonts w:hint="eastAsia" w:ascii="Times New Roman" w:hAnsi="Times New Roman" w:eastAsia="宋体" w:cs="Times New Roman"/>
                      <w:color w:val="auto"/>
                      <w:kern w:val="0"/>
                      <w:szCs w:val="21"/>
                      <w:lang w:eastAsia="zh-CN"/>
                    </w:rPr>
                    <w:t>占用当地耕地。项目占地选择时依据</w:t>
                  </w:r>
                  <w:r>
                    <w:rPr>
                      <w:rFonts w:hint="eastAsia" w:ascii="Times New Roman" w:hAnsi="Times New Roman" w:eastAsia="宋体" w:cs="Times New Roman"/>
                      <w:color w:val="auto"/>
                      <w:kern w:val="0"/>
                      <w:szCs w:val="21"/>
                    </w:rPr>
                    <w:t>“用多少、批多少、占多少、恢复多少”</w:t>
                  </w:r>
                  <w:r>
                    <w:rPr>
                      <w:rFonts w:hint="eastAsia" w:ascii="Times New Roman" w:hAnsi="Times New Roman" w:eastAsia="宋体" w:cs="Times New Roman"/>
                      <w:color w:val="auto"/>
                      <w:kern w:val="0"/>
                      <w:szCs w:val="21"/>
                      <w:lang w:eastAsia="zh-CN"/>
                    </w:rPr>
                    <w:t>的原则进行。建设单位已编制临时用地土地复垦方案，且经淮南市自然资源与规划局审批通过，依法对临时占地进行了合理补偿，待项目施工完成后将根据已批复的土地复垦方案进行土地复垦，恢复场地原状。</w:t>
                  </w:r>
                </w:p>
              </w:tc>
              <w:tc>
                <w:tcPr>
                  <w:tcW w:w="673" w:type="pct"/>
                  <w:vAlign w:val="center"/>
                </w:tcPr>
                <w:p w14:paraId="409A004A">
                  <w:pPr>
                    <w:spacing w:before="100" w:beforeAutospacing="1" w:after="100" w:afterAutospacing="1" w:line="360" w:lineRule="auto"/>
                    <w:jc w:val="center"/>
                    <w:rPr>
                      <w:rFonts w:ascii="Times New Roman" w:hAnsi="Times New Roman" w:eastAsia="宋体" w:cs="Times New Roman"/>
                      <w:color w:val="auto"/>
                      <w:kern w:val="21"/>
                      <w:szCs w:val="21"/>
                    </w:rPr>
                  </w:pPr>
                  <w:r>
                    <w:rPr>
                      <w:rFonts w:ascii="Times New Roman" w:hAnsi="Times New Roman" w:eastAsia="宋体" w:cs="Times New Roman"/>
                      <w:color w:val="auto"/>
                      <w:kern w:val="21"/>
                      <w:szCs w:val="21"/>
                    </w:rPr>
                    <w:t>符合</w:t>
                  </w:r>
                </w:p>
              </w:tc>
            </w:tr>
            <w:tr w14:paraId="3D1FB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935" w:type="pct"/>
                  <w:shd w:val="clear" w:color="auto" w:fill="auto"/>
                  <w:vAlign w:val="center"/>
                </w:tcPr>
                <w:p w14:paraId="520906A1">
                  <w:pPr>
                    <w:autoSpaceDE w:val="0"/>
                    <w:autoSpaceDN w:val="0"/>
                    <w:spacing w:line="360"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临时用地使用期限，从批准之日起算，一般不超过二年；建设周期较长的能源、交通、水利等基础设施建设使用的临时用地，期限不超过四年；法律、行政法规另有规定的除外。</w:t>
                  </w:r>
                </w:p>
              </w:tc>
              <w:tc>
                <w:tcPr>
                  <w:tcW w:w="2391" w:type="pct"/>
                  <w:shd w:val="clear" w:color="auto" w:fill="auto"/>
                  <w:vAlign w:val="center"/>
                </w:tcPr>
                <w:p w14:paraId="62E329F9">
                  <w:pPr>
                    <w:autoSpaceDE w:val="0"/>
                    <w:autoSpaceDN w:val="0"/>
                    <w:spacing w:line="360"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本项目临时用地使用期限为二年，</w:t>
                  </w:r>
                  <w:r>
                    <w:rPr>
                      <w:rFonts w:hint="eastAsia" w:ascii="Times New Roman" w:hAnsi="Times New Roman" w:eastAsia="宋体" w:cs="Times New Roman"/>
                      <w:color w:val="auto"/>
                      <w:kern w:val="0"/>
                      <w:szCs w:val="21"/>
                      <w:lang w:eastAsia="zh-CN"/>
                    </w:rPr>
                    <w:t>已</w:t>
                  </w:r>
                  <w:r>
                    <w:rPr>
                      <w:rFonts w:hint="eastAsia" w:ascii="Times New Roman" w:hAnsi="Times New Roman" w:eastAsia="宋体" w:cs="Times New Roman"/>
                      <w:color w:val="auto"/>
                      <w:kern w:val="0"/>
                      <w:szCs w:val="21"/>
                    </w:rPr>
                    <w:t>取得了</w:t>
                  </w:r>
                  <w:r>
                    <w:rPr>
                      <w:rFonts w:hint="eastAsia" w:ascii="Times New Roman" w:hAnsi="Times New Roman" w:eastAsia="宋体" w:cs="Times New Roman"/>
                      <w:color w:val="auto"/>
                      <w:kern w:val="0"/>
                      <w:szCs w:val="21"/>
                      <w:lang w:eastAsia="zh-CN"/>
                    </w:rPr>
                    <w:t>淮南市</w:t>
                  </w:r>
                  <w:r>
                    <w:rPr>
                      <w:rFonts w:hint="eastAsia" w:ascii="Times New Roman" w:hAnsi="Times New Roman" w:eastAsia="宋体" w:cs="Times New Roman"/>
                      <w:color w:val="auto"/>
                      <w:kern w:val="0"/>
                      <w:szCs w:val="21"/>
                    </w:rPr>
                    <w:t>自然资源和规划局出具的临时用地的批复</w:t>
                  </w:r>
                  <w:r>
                    <w:rPr>
                      <w:rFonts w:hint="eastAsia" w:ascii="Times New Roman" w:hAnsi="Times New Roman" w:eastAsia="宋体" w:cs="Times New Roman"/>
                      <w:color w:val="auto"/>
                      <w:kern w:val="0"/>
                      <w:szCs w:val="21"/>
                      <w:lang w:eastAsia="zh-CN"/>
                    </w:rPr>
                    <w:t>。</w:t>
                  </w:r>
                </w:p>
              </w:tc>
              <w:tc>
                <w:tcPr>
                  <w:tcW w:w="673" w:type="pct"/>
                  <w:vAlign w:val="center"/>
                </w:tcPr>
                <w:p w14:paraId="13654929">
                  <w:pPr>
                    <w:spacing w:before="100" w:beforeAutospacing="1" w:after="100" w:afterAutospacing="1" w:line="360" w:lineRule="auto"/>
                    <w:jc w:val="center"/>
                    <w:rPr>
                      <w:rFonts w:ascii="Times New Roman" w:hAnsi="Times New Roman" w:eastAsia="宋体" w:cs="Times New Roman"/>
                      <w:color w:val="auto"/>
                      <w:kern w:val="21"/>
                      <w:szCs w:val="21"/>
                    </w:rPr>
                  </w:pPr>
                </w:p>
              </w:tc>
            </w:tr>
          </w:tbl>
          <w:p w14:paraId="2546DF53">
            <w:pPr>
              <w:autoSpaceDE w:val="0"/>
              <w:autoSpaceDN w:val="0"/>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根据上述分析可知，本项目与</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安徽省</w:t>
            </w:r>
            <w:r>
              <w:rPr>
                <w:rFonts w:ascii="Times New Roman" w:hAnsi="Times New Roman" w:eastAsia="宋体" w:cs="Times New Roman"/>
                <w:bCs/>
                <w:color w:val="auto"/>
                <w:kern w:val="0"/>
                <w:sz w:val="24"/>
                <w:szCs w:val="24"/>
              </w:rPr>
              <w:t>临时用地管理实施办法》</w:t>
            </w:r>
            <w:r>
              <w:rPr>
                <w:rFonts w:ascii="Times New Roman" w:hAnsi="宋体" w:eastAsia="宋体" w:cs="Times New Roman"/>
                <w:color w:val="auto"/>
                <w:kern w:val="0"/>
                <w:sz w:val="24"/>
                <w:szCs w:val="24"/>
              </w:rPr>
              <w:t>相关规范相符。</w:t>
            </w:r>
          </w:p>
          <w:p w14:paraId="7608A82E">
            <w:pPr>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rPr>
              <w:t>）</w:t>
            </w:r>
            <w:r>
              <w:rPr>
                <w:rFonts w:ascii="Times New Roman" w:hAnsi="Times New Roman" w:eastAsia="宋体" w:cs="Times New Roman"/>
                <w:b/>
                <w:bCs/>
                <w:color w:val="auto"/>
                <w:sz w:val="24"/>
                <w:szCs w:val="24"/>
                <w:highlight w:val="none"/>
              </w:rPr>
              <w:t>“三线一单”相符性分析</w:t>
            </w:r>
          </w:p>
          <w:p w14:paraId="588B2B19">
            <w:pPr>
              <w:spacing w:line="360" w:lineRule="auto"/>
              <w:ind w:firstLine="480"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color w:val="auto"/>
                <w:sz w:val="24"/>
                <w:szCs w:val="24"/>
                <w:highlight w:val="none"/>
              </w:rPr>
              <w:t>根据原环境保护部《关于以改善环境质量为核心加强环境影响评价管理的通知》（环环评〔2016〕150号）、</w:t>
            </w:r>
            <w:r>
              <w:rPr>
                <w:rFonts w:hint="eastAsia" w:ascii="Times New Roman" w:hAnsi="Times New Roman" w:eastAsia="宋体" w:cs="Times New Roman"/>
                <w:color w:val="auto"/>
                <w:sz w:val="24"/>
                <w:szCs w:val="24"/>
                <w:highlight w:val="none"/>
              </w:rPr>
              <w:t>淮南市</w:t>
            </w:r>
            <w:r>
              <w:rPr>
                <w:rFonts w:ascii="Times New Roman" w:hAnsi="Times New Roman" w:eastAsia="宋体" w:cs="Times New Roman"/>
                <w:color w:val="auto"/>
                <w:sz w:val="24"/>
                <w:szCs w:val="24"/>
                <w:highlight w:val="none"/>
              </w:rPr>
              <w:t>“三线一单”技术成果</w:t>
            </w:r>
            <w:r>
              <w:rPr>
                <w:rFonts w:ascii="Times New Roman" w:hAnsi="Times New Roman" w:eastAsia="宋体" w:cs="Times New Roman"/>
                <w:color w:val="auto"/>
                <w:kern w:val="0"/>
                <w:sz w:val="24"/>
                <w:szCs w:val="24"/>
                <w:highlight w:val="none"/>
              </w:rPr>
              <w:t>，项目“三线一单”</w:t>
            </w:r>
            <w:r>
              <w:rPr>
                <w:rFonts w:hint="eastAsia" w:ascii="Times New Roman" w:hAnsi="Times New Roman" w:eastAsia="宋体" w:cs="Times New Roman"/>
                <w:color w:val="auto"/>
                <w:kern w:val="0"/>
                <w:sz w:val="24"/>
                <w:szCs w:val="24"/>
                <w:highlight w:val="none"/>
              </w:rPr>
              <w:t>相符性分析见</w:t>
            </w:r>
            <w:r>
              <w:rPr>
                <w:rFonts w:ascii="Times New Roman" w:hAnsi="Times New Roman" w:eastAsia="宋体" w:cs="Times New Roman"/>
                <w:color w:val="auto"/>
                <w:kern w:val="0"/>
                <w:sz w:val="24"/>
                <w:szCs w:val="24"/>
                <w:highlight w:val="none"/>
              </w:rPr>
              <w:t>下表。</w:t>
            </w:r>
          </w:p>
          <w:p w14:paraId="6BD67AF0">
            <w:pPr>
              <w:pStyle w:val="97"/>
              <w:numPr>
                <w:ilvl w:val="1"/>
                <w:numId w:val="2"/>
              </w:numPr>
              <w:tabs>
                <w:tab w:val="clear" w:pos="1440"/>
              </w:tabs>
              <w:spacing w:line="240" w:lineRule="auto"/>
              <w:ind w:left="3300" w:leftChars="0" w:hanging="246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项目“三线一单”符合性</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2957"/>
              <w:gridCol w:w="3870"/>
              <w:gridCol w:w="762"/>
            </w:tblGrid>
            <w:tr w14:paraId="2046F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7DBD1222">
                  <w:pPr>
                    <w:spacing w:before="100" w:beforeAutospacing="1" w:after="100" w:afterAutospacing="1" w:line="360"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内容</w:t>
                  </w:r>
                </w:p>
              </w:tc>
              <w:tc>
                <w:tcPr>
                  <w:tcW w:w="1819" w:type="pct"/>
                  <w:vAlign w:val="center"/>
                </w:tcPr>
                <w:p w14:paraId="12BB9DC5">
                  <w:pPr>
                    <w:spacing w:before="100" w:beforeAutospacing="1" w:after="100" w:afterAutospacing="1" w:line="360" w:lineRule="auto"/>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相关规范要求</w:t>
                  </w:r>
                </w:p>
              </w:tc>
              <w:tc>
                <w:tcPr>
                  <w:tcW w:w="2381" w:type="pct"/>
                  <w:vAlign w:val="center"/>
                </w:tcPr>
                <w:p w14:paraId="13BAE00B">
                  <w:pPr>
                    <w:spacing w:before="100" w:beforeAutospacing="1" w:after="100" w:afterAutospacing="1" w:line="360"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建设项目情况</w:t>
                  </w:r>
                </w:p>
              </w:tc>
              <w:tc>
                <w:tcPr>
                  <w:tcW w:w="469" w:type="pct"/>
                  <w:vAlign w:val="center"/>
                </w:tcPr>
                <w:p w14:paraId="66377E3D">
                  <w:pPr>
                    <w:spacing w:before="100" w:beforeAutospacing="1" w:after="100" w:afterAutospacing="1" w:line="360" w:lineRule="auto"/>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符合性</w:t>
                  </w:r>
                </w:p>
              </w:tc>
            </w:tr>
            <w:tr w14:paraId="45818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2981244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生态保护红线</w:t>
                  </w:r>
                </w:p>
              </w:tc>
              <w:tc>
                <w:tcPr>
                  <w:tcW w:w="1819" w:type="pct"/>
                  <w:vAlign w:val="center"/>
                </w:tcPr>
                <w:p w14:paraId="3C8B7BA0">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lang w:val="zh-CN"/>
                    </w:rPr>
                    <w:t>生态保护红线是生态空间范围内具有特殊重要生态功能必须实行强制性严格保护的区域。相关规划环评应将生态空间管控作为重要内容，规划区域设计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381" w:type="pct"/>
                  <w:vAlign w:val="center"/>
                </w:tcPr>
                <w:p w14:paraId="1B46A35C">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本项目位于安徽省</w:t>
                  </w:r>
                  <w:r>
                    <w:rPr>
                      <w:rFonts w:hint="eastAsia" w:ascii="Times New Roman" w:hAnsi="Times New Roman" w:eastAsia="宋体" w:cs="Times New Roman"/>
                      <w:color w:val="auto"/>
                      <w:szCs w:val="21"/>
                      <w:highlight w:val="none"/>
                      <w:lang w:eastAsia="zh-CN"/>
                    </w:rPr>
                    <w:t>淮南市潘集区潘集镇小圩村</w:t>
                  </w:r>
                  <w:r>
                    <w:rPr>
                      <w:rFonts w:ascii="Times New Roman" w:hAnsi="Times New Roman" w:eastAsia="宋体" w:cs="Times New Roman"/>
                      <w:color w:val="auto"/>
                      <w:szCs w:val="21"/>
                      <w:highlight w:val="none"/>
                    </w:rPr>
                    <w:t>，根据《</w:t>
                  </w:r>
                  <w:r>
                    <w:rPr>
                      <w:rFonts w:hint="eastAsia" w:ascii="Times New Roman" w:hAnsi="Times New Roman" w:eastAsia="宋体" w:cs="Times New Roman"/>
                      <w:color w:val="auto"/>
                      <w:szCs w:val="21"/>
                      <w:highlight w:val="none"/>
                    </w:rPr>
                    <w:t>淮南市</w:t>
                  </w:r>
                  <w:r>
                    <w:rPr>
                      <w:rFonts w:ascii="Times New Roman" w:hAnsi="Times New Roman" w:eastAsia="宋体" w:cs="Times New Roman"/>
                      <w:color w:val="auto"/>
                      <w:szCs w:val="21"/>
                      <w:highlight w:val="none"/>
                    </w:rPr>
                    <w:t>生态保护红线》，项目所处区域无自然保护区、风景名胜区、文化自然遗产等，不属于生态保护红线管控的区域，符合</w:t>
                  </w:r>
                  <w:r>
                    <w:rPr>
                      <w:rFonts w:hint="eastAsia" w:ascii="Times New Roman" w:hAnsi="Times New Roman" w:eastAsia="宋体" w:cs="Times New Roman"/>
                      <w:color w:val="auto"/>
                      <w:szCs w:val="21"/>
                      <w:highlight w:val="none"/>
                    </w:rPr>
                    <w:t>淮南</w:t>
                  </w:r>
                  <w:r>
                    <w:rPr>
                      <w:rFonts w:ascii="Times New Roman" w:hAnsi="Times New Roman" w:eastAsia="宋体" w:cs="Times New Roman"/>
                      <w:color w:val="auto"/>
                      <w:szCs w:val="21"/>
                      <w:highlight w:val="none"/>
                    </w:rPr>
                    <w:t>市生态保护红线要求。淮南市生态保护红线图见</w:t>
                  </w:r>
                  <w:r>
                    <w:rPr>
                      <w:rFonts w:hint="eastAsia" w:ascii="Times New Roman" w:hAnsi="Times New Roman" w:eastAsia="宋体" w:cs="Times New Roman"/>
                      <w:color w:val="auto"/>
                      <w:szCs w:val="21"/>
                      <w:highlight w:val="none"/>
                      <w:lang w:eastAsia="zh-CN"/>
                    </w:rPr>
                    <w:t>下</w:t>
                  </w:r>
                  <w:r>
                    <w:rPr>
                      <w:rFonts w:ascii="Times New Roman" w:hAnsi="Times New Roman" w:eastAsia="宋体" w:cs="Times New Roman"/>
                      <w:color w:val="auto"/>
                      <w:szCs w:val="21"/>
                      <w:highlight w:val="none"/>
                    </w:rPr>
                    <w:t>图</w:t>
                  </w:r>
                </w:p>
              </w:tc>
              <w:tc>
                <w:tcPr>
                  <w:tcW w:w="469" w:type="pct"/>
                  <w:vAlign w:val="center"/>
                </w:tcPr>
                <w:p w14:paraId="302E6BE8">
                  <w:pPr>
                    <w:spacing w:line="360"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符合</w:t>
                  </w:r>
                </w:p>
              </w:tc>
            </w:tr>
            <w:tr w14:paraId="2E85E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5C54F95E">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环境质量底线</w:t>
                  </w:r>
                </w:p>
              </w:tc>
              <w:tc>
                <w:tcPr>
                  <w:tcW w:w="1819" w:type="pct"/>
                  <w:vAlign w:val="center"/>
                </w:tcPr>
                <w:p w14:paraId="429D2CB2">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lang w:val="zh-CN"/>
                    </w:rPr>
                    <w:t>环境质量底线是国家和地方设置的大气、水和土壤环境质量目标，也是改善环境质量的基准线。有关规划环评应落实区域环境质量目标管理要求，提出区域或者行业污染物排放总量管控建议以及优化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381" w:type="pct"/>
                  <w:vAlign w:val="center"/>
                </w:tcPr>
                <w:p w14:paraId="6872CB6A">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项目选址区域为环境空气功能区二类区，执行二级标准。</w:t>
                  </w:r>
                  <w:r>
                    <w:rPr>
                      <w:rFonts w:ascii="Times New Roman" w:hAnsi="Times New Roman" w:eastAsia="宋体" w:cs="Times New Roman"/>
                      <w:bCs/>
                      <w:color w:val="auto"/>
                      <w:kern w:val="0"/>
                      <w:szCs w:val="21"/>
                      <w:highlight w:val="none"/>
                    </w:rPr>
                    <w:t>根据《202</w:t>
                  </w:r>
                  <w:r>
                    <w:rPr>
                      <w:rFonts w:hint="eastAsia" w:ascii="Times New Roman" w:hAnsi="Times New Roman" w:eastAsia="宋体" w:cs="Times New Roman"/>
                      <w:bCs/>
                      <w:color w:val="auto"/>
                      <w:kern w:val="0"/>
                      <w:szCs w:val="21"/>
                      <w:highlight w:val="none"/>
                    </w:rPr>
                    <w:t>3</w:t>
                  </w:r>
                  <w:r>
                    <w:rPr>
                      <w:rFonts w:ascii="Times New Roman" w:hAnsi="Times New Roman" w:eastAsia="宋体" w:cs="Times New Roman"/>
                      <w:bCs/>
                      <w:color w:val="auto"/>
                      <w:kern w:val="0"/>
                      <w:szCs w:val="21"/>
                      <w:highlight w:val="none"/>
                    </w:rPr>
                    <w:t>年淮南市环境质量状况公报》可知，</w:t>
                  </w:r>
                  <w:r>
                    <w:rPr>
                      <w:rFonts w:ascii="Times New Roman" w:hAnsi="Times New Roman" w:eastAsia="宋体" w:cs="Times New Roman"/>
                      <w:color w:val="auto"/>
                      <w:kern w:val="0"/>
                      <w:szCs w:val="21"/>
                      <w:highlight w:val="none"/>
                    </w:rPr>
                    <w:t>项目所在区域</w:t>
                  </w:r>
                  <w:r>
                    <w:rPr>
                      <w:rFonts w:hint="eastAsia" w:ascii="Times New Roman" w:hAnsi="Times New Roman" w:eastAsia="宋体" w:cs="Times New Roman"/>
                      <w:color w:val="auto"/>
                      <w:kern w:val="0"/>
                      <w:szCs w:val="21"/>
                      <w:highlight w:val="none"/>
                    </w:rPr>
                    <w:t>SO</w:t>
                  </w:r>
                  <w:r>
                    <w:rPr>
                      <w:rFonts w:hint="eastAsia" w:ascii="Times New Roman" w:hAnsi="Times New Roman" w:eastAsia="宋体" w:cs="Times New Roman"/>
                      <w:color w:val="auto"/>
                      <w:kern w:val="0"/>
                      <w:szCs w:val="21"/>
                      <w:highlight w:val="none"/>
                      <w:vertAlign w:val="subscript"/>
                    </w:rPr>
                    <w:t>2</w:t>
                  </w:r>
                  <w:r>
                    <w:rPr>
                      <w:rFonts w:hint="eastAsia" w:ascii="Times New Roman" w:hAnsi="Times New Roman" w:eastAsia="宋体" w:cs="Times New Roman"/>
                      <w:color w:val="auto"/>
                      <w:kern w:val="0"/>
                      <w:szCs w:val="21"/>
                      <w:highlight w:val="none"/>
                    </w:rPr>
                    <w:t>、NO</w:t>
                  </w:r>
                  <w:r>
                    <w:rPr>
                      <w:rFonts w:hint="eastAsia" w:ascii="Times New Roman" w:hAnsi="Times New Roman" w:eastAsia="宋体" w:cs="Times New Roman"/>
                      <w:color w:val="auto"/>
                      <w:kern w:val="0"/>
                      <w:szCs w:val="21"/>
                      <w:highlight w:val="none"/>
                      <w:vertAlign w:val="subscript"/>
                    </w:rPr>
                    <w:t>2</w:t>
                  </w:r>
                  <w:r>
                    <w:rPr>
                      <w:rFonts w:hint="eastAsia" w:ascii="Times New Roman" w:hAnsi="Times New Roman" w:eastAsia="宋体" w:cs="Times New Roman"/>
                      <w:color w:val="auto"/>
                      <w:kern w:val="0"/>
                      <w:szCs w:val="21"/>
                      <w:highlight w:val="none"/>
                    </w:rPr>
                    <w:t>、CO、PM</w:t>
                  </w:r>
                  <w:r>
                    <w:rPr>
                      <w:rFonts w:hint="eastAsia" w:ascii="Times New Roman" w:hAnsi="Times New Roman" w:eastAsia="宋体" w:cs="Times New Roman"/>
                      <w:color w:val="auto"/>
                      <w:kern w:val="0"/>
                      <w:szCs w:val="21"/>
                      <w:highlight w:val="none"/>
                      <w:vertAlign w:val="subscript"/>
                    </w:rPr>
                    <w:t>10</w:t>
                  </w:r>
                  <w:r>
                    <w:rPr>
                      <w:rFonts w:hint="eastAsia" w:ascii="Times New Roman" w:hAnsi="Times New Roman" w:eastAsia="宋体" w:cs="Times New Roman"/>
                      <w:color w:val="auto"/>
                      <w:kern w:val="0"/>
                      <w:szCs w:val="21"/>
                      <w:highlight w:val="none"/>
                    </w:rPr>
                    <w:t>、O</w:t>
                  </w:r>
                  <w:r>
                    <w:rPr>
                      <w:rFonts w:hint="eastAsia" w:ascii="Times New Roman" w:hAnsi="Times New Roman" w:eastAsia="宋体" w:cs="Times New Roman"/>
                      <w:color w:val="auto"/>
                      <w:kern w:val="0"/>
                      <w:szCs w:val="21"/>
                      <w:highlight w:val="none"/>
                      <w:vertAlign w:val="subscript"/>
                    </w:rPr>
                    <w:t>3</w:t>
                  </w:r>
                  <w:r>
                    <w:rPr>
                      <w:rFonts w:ascii="Times New Roman" w:hAnsi="Times New Roman" w:eastAsia="宋体" w:cs="Times New Roman"/>
                      <w:color w:val="auto"/>
                      <w:kern w:val="0"/>
                      <w:szCs w:val="21"/>
                      <w:highlight w:val="none"/>
                    </w:rPr>
                    <w:t>满足《环境空气质量标准》（GB3095-2012）中二级标准限值，</w:t>
                  </w:r>
                  <w:r>
                    <w:rPr>
                      <w:rFonts w:hint="eastAsia" w:ascii="Times New Roman" w:hAnsi="Times New Roman" w:eastAsia="宋体" w:cs="Times New Roman"/>
                      <w:color w:val="auto"/>
                      <w:kern w:val="0"/>
                      <w:szCs w:val="21"/>
                      <w:highlight w:val="none"/>
                    </w:rPr>
                    <w:t>PM</w:t>
                  </w:r>
                  <w:r>
                    <w:rPr>
                      <w:rFonts w:hint="eastAsia" w:ascii="Times New Roman" w:hAnsi="Times New Roman" w:eastAsia="宋体" w:cs="Times New Roman"/>
                      <w:color w:val="auto"/>
                      <w:kern w:val="0"/>
                      <w:szCs w:val="21"/>
                      <w:highlight w:val="none"/>
                      <w:vertAlign w:val="subscript"/>
                    </w:rPr>
                    <w:t>2.5</w:t>
                  </w:r>
                  <w:r>
                    <w:rPr>
                      <w:rFonts w:ascii="Times New Roman" w:hAnsi="Times New Roman" w:eastAsia="宋体" w:cs="Times New Roman"/>
                      <w:color w:val="auto"/>
                      <w:kern w:val="0"/>
                      <w:szCs w:val="21"/>
                      <w:highlight w:val="none"/>
                    </w:rPr>
                    <w:t>不满足《环境空气质量标准》（GB3095-2012）中二级标准限值，项目所在区域判定为不达标区。淮南市生态环境局就空气质量不达标提出一系列举措，为确保淮南市大气污染防治工作有效推进，</w:t>
                  </w:r>
                  <w:r>
                    <w:rPr>
                      <w:rFonts w:hint="eastAsia" w:ascii="Times New Roman" w:hAnsi="Times New Roman" w:eastAsia="宋体" w:cs="Times New Roman"/>
                      <w:color w:val="auto"/>
                      <w:kern w:val="0"/>
                      <w:szCs w:val="21"/>
                      <w:highlight w:val="none"/>
                    </w:rPr>
                    <w:t>目前，淮南市已制订《淮南市“十四五”大气污染防治规划（2021-2025年）》，围绕工业大气污染治理、扬（烟）尘污染防治等开展专项治理活动，进一步削减大气污染物排放</w:t>
                  </w:r>
                  <w:r>
                    <w:rPr>
                      <w:rFonts w:ascii="Times New Roman" w:hAnsi="Times New Roman" w:eastAsia="宋体" w:cs="Times New Roman"/>
                      <w:color w:val="auto"/>
                      <w:kern w:val="0"/>
                      <w:szCs w:val="21"/>
                      <w:highlight w:val="none"/>
                    </w:rPr>
                    <w:t>；</w:t>
                  </w:r>
                  <w:r>
                    <w:rPr>
                      <w:rFonts w:ascii="Times New Roman" w:hAnsi="Times New Roman" w:eastAsia="宋体" w:cs="Times New Roman"/>
                      <w:color w:val="auto"/>
                      <w:szCs w:val="21"/>
                      <w:highlight w:val="none"/>
                    </w:rPr>
                    <w:t>与本项目有关的地表水体为</w:t>
                  </w:r>
                  <w:r>
                    <w:rPr>
                      <w:rFonts w:hint="eastAsia" w:ascii="Times New Roman" w:hAnsi="Times New Roman" w:eastAsia="宋体" w:cs="Times New Roman"/>
                      <w:color w:val="auto"/>
                      <w:szCs w:val="21"/>
                      <w:highlight w:val="none"/>
                      <w:lang w:eastAsia="zh-CN"/>
                    </w:rPr>
                    <w:t>黑河</w:t>
                  </w:r>
                  <w:r>
                    <w:rPr>
                      <w:rFonts w:ascii="Times New Roman" w:hAnsi="Times New Roman" w:eastAsia="宋体" w:cs="Times New Roman"/>
                      <w:color w:val="auto"/>
                      <w:szCs w:val="21"/>
                      <w:highlight w:val="none"/>
                    </w:rPr>
                    <w:t>，根据</w:t>
                  </w:r>
                  <w:r>
                    <w:rPr>
                      <w:rFonts w:ascii="Times New Roman" w:hAnsi="Times New Roman" w:eastAsia="宋体" w:cs="Times New Roman"/>
                      <w:bCs/>
                      <w:color w:val="auto"/>
                      <w:kern w:val="0"/>
                      <w:szCs w:val="21"/>
                      <w:highlight w:val="none"/>
                    </w:rPr>
                    <w:t>《202</w:t>
                  </w:r>
                  <w:r>
                    <w:rPr>
                      <w:rFonts w:hint="eastAsia" w:ascii="Times New Roman" w:hAnsi="Times New Roman" w:eastAsia="宋体" w:cs="Times New Roman"/>
                      <w:bCs/>
                      <w:color w:val="auto"/>
                      <w:kern w:val="0"/>
                      <w:szCs w:val="21"/>
                      <w:highlight w:val="none"/>
                    </w:rPr>
                    <w:t>3</w:t>
                  </w:r>
                  <w:r>
                    <w:rPr>
                      <w:rFonts w:ascii="Times New Roman" w:hAnsi="Times New Roman" w:eastAsia="宋体" w:cs="Times New Roman"/>
                      <w:bCs/>
                      <w:color w:val="auto"/>
                      <w:kern w:val="0"/>
                      <w:szCs w:val="21"/>
                      <w:highlight w:val="none"/>
                    </w:rPr>
                    <w:t>年淮南市环境质量状况公报》</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黑河</w:t>
                  </w:r>
                  <w:r>
                    <w:rPr>
                      <w:rFonts w:ascii="Times New Roman" w:hAnsi="Times New Roman" w:eastAsia="宋体" w:cs="Times New Roman"/>
                      <w:color w:val="auto"/>
                      <w:szCs w:val="21"/>
                      <w:highlight w:val="none"/>
                    </w:rPr>
                    <w:t>水质满足《地表水环境质量标准》（GB3838-2002）Ⅲ类标准</w:t>
                  </w:r>
                  <w:r>
                    <w:rPr>
                      <w:rFonts w:hint="eastAsia" w:ascii="Times New Roman" w:hAnsi="Times New Roman" w:eastAsia="宋体" w:cs="Times New Roman"/>
                      <w:color w:val="auto"/>
                      <w:szCs w:val="21"/>
                      <w:highlight w:val="none"/>
                    </w:rPr>
                    <w:t>。</w:t>
                  </w:r>
                  <w:r>
                    <w:rPr>
                      <w:rFonts w:ascii="Times New Roman" w:hAnsi="Times New Roman" w:eastAsia="宋体" w:cs="Times New Roman"/>
                      <w:bCs/>
                      <w:color w:val="auto"/>
                      <w:kern w:val="0"/>
                      <w:szCs w:val="21"/>
                      <w:highlight w:val="none"/>
                    </w:rPr>
                    <w:t>本项目建设主要在施工期，时间较短，在采取一定环保措施后，对周围环境影响很小，不会造成区域环境质量的下降</w:t>
                  </w:r>
                </w:p>
              </w:tc>
              <w:tc>
                <w:tcPr>
                  <w:tcW w:w="469" w:type="pct"/>
                  <w:vAlign w:val="center"/>
                </w:tcPr>
                <w:p w14:paraId="5A39BBE4">
                  <w:pPr>
                    <w:spacing w:line="360" w:lineRule="auto"/>
                    <w:jc w:val="center"/>
                    <w:rPr>
                      <w:rFonts w:ascii="Times New Roman" w:hAnsi="Times New Roman" w:eastAsia="宋体" w:cs="Times New Roman"/>
                      <w:bCs/>
                      <w:color w:val="auto"/>
                      <w:kern w:val="0"/>
                      <w:szCs w:val="21"/>
                      <w:highlight w:val="none"/>
                    </w:rPr>
                  </w:pPr>
                  <w:r>
                    <w:rPr>
                      <w:rFonts w:ascii="Times New Roman" w:hAnsi="Times New Roman" w:eastAsia="宋体" w:cs="Times New Roman"/>
                      <w:bCs/>
                      <w:color w:val="auto"/>
                      <w:kern w:val="0"/>
                      <w:szCs w:val="21"/>
                      <w:highlight w:val="none"/>
                    </w:rPr>
                    <w:t>符合</w:t>
                  </w:r>
                </w:p>
              </w:tc>
            </w:tr>
            <w:tr w14:paraId="45C38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293C5CC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资源利用上线</w:t>
                  </w:r>
                </w:p>
              </w:tc>
              <w:tc>
                <w:tcPr>
                  <w:tcW w:w="1819" w:type="pct"/>
                  <w:vAlign w:val="center"/>
                </w:tcPr>
                <w:p w14:paraId="52BB3DBD">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源是环境的载体，资源利用上限是各地区能源、水、土地等资源消耗不得突破的“天花板”。相关规划环评应依据有关资源利用上限，对规划实施以及规划内项目的资源开发利用，区分不同行业，从能源资源开发等量或减量替代、开采方式和规模控制、利用效率和保护措施等方面提出建议，为规划编制和审批决策提供重要依据</w:t>
                  </w:r>
                </w:p>
              </w:tc>
              <w:tc>
                <w:tcPr>
                  <w:tcW w:w="2381" w:type="pct"/>
                  <w:vAlign w:val="center"/>
                </w:tcPr>
                <w:p w14:paraId="5D5B3289">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本项目位于安徽省</w:t>
                  </w:r>
                  <w:r>
                    <w:rPr>
                      <w:rFonts w:hint="eastAsia" w:ascii="Times New Roman" w:hAnsi="Times New Roman" w:eastAsia="宋体" w:cs="Times New Roman"/>
                      <w:color w:val="auto"/>
                      <w:szCs w:val="21"/>
                      <w:highlight w:val="none"/>
                      <w:lang w:eastAsia="zh-CN"/>
                    </w:rPr>
                    <w:t>淮南市潘集区潘集镇小圩村</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施工</w:t>
                  </w:r>
                  <w:r>
                    <w:rPr>
                      <w:rFonts w:ascii="Times New Roman" w:hAnsi="Times New Roman" w:eastAsia="宋体" w:cs="Times New Roman"/>
                      <w:color w:val="auto"/>
                      <w:szCs w:val="21"/>
                      <w:highlight w:val="none"/>
                    </w:rPr>
                    <w:t>所需能源、物资均能正常供应；项目所在地不属于资源、能源紧缺区域，项目</w:t>
                  </w:r>
                  <w:r>
                    <w:rPr>
                      <w:rFonts w:hint="eastAsia" w:ascii="Times New Roman" w:hAnsi="Times New Roman" w:eastAsia="宋体" w:cs="Times New Roman"/>
                      <w:color w:val="auto"/>
                      <w:szCs w:val="21"/>
                      <w:highlight w:val="none"/>
                    </w:rPr>
                    <w:t>施工期</w:t>
                  </w:r>
                  <w:r>
                    <w:rPr>
                      <w:rFonts w:ascii="Times New Roman" w:hAnsi="Times New Roman" w:eastAsia="宋体" w:cs="Times New Roman"/>
                      <w:color w:val="auto"/>
                      <w:szCs w:val="21"/>
                      <w:highlight w:val="none"/>
                    </w:rPr>
                    <w:t>通过内部管理</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设备</w:t>
                  </w:r>
                  <w:r>
                    <w:rPr>
                      <w:rFonts w:hint="eastAsia" w:ascii="Times New Roman" w:hAnsi="Times New Roman" w:eastAsia="宋体" w:cs="Times New Roman"/>
                      <w:color w:val="auto"/>
                      <w:szCs w:val="21"/>
                      <w:highlight w:val="none"/>
                      <w:lang w:eastAsia="zh-CN"/>
                    </w:rPr>
                    <w:t>择优</w:t>
                  </w:r>
                  <w:r>
                    <w:rPr>
                      <w:rFonts w:ascii="Times New Roman" w:hAnsi="Times New Roman" w:eastAsia="宋体" w:cs="Times New Roman"/>
                      <w:color w:val="auto"/>
                      <w:szCs w:val="21"/>
                      <w:highlight w:val="none"/>
                    </w:rPr>
                    <w:t>、原辅材料的选用和管理、废物回收利用等措施尽可能做到合理利用和节能降耗、最大限度地减少物耗</w:t>
                  </w:r>
                  <w:r>
                    <w:rPr>
                      <w:rFonts w:hint="eastAsia" w:ascii="Times New Roman" w:hAnsi="Times New Roman" w:eastAsia="宋体" w:cs="Times New Roman"/>
                      <w:color w:val="auto"/>
                      <w:szCs w:val="21"/>
                      <w:highlight w:val="none"/>
                      <w:lang w:eastAsia="zh-CN"/>
                    </w:rPr>
                    <w:t>和能耗</w:t>
                  </w:r>
                  <w:r>
                    <w:rPr>
                      <w:rFonts w:ascii="Times New Roman" w:hAnsi="Times New Roman" w:eastAsia="宋体" w:cs="Times New Roman"/>
                      <w:color w:val="auto"/>
                      <w:szCs w:val="21"/>
                      <w:highlight w:val="none"/>
                    </w:rPr>
                    <w:t>；本项目占地均为</w:t>
                  </w:r>
                  <w:r>
                    <w:rPr>
                      <w:rFonts w:hint="eastAsia" w:ascii="Times New Roman" w:hAnsi="Times New Roman" w:eastAsia="宋体" w:cs="Times New Roman"/>
                      <w:color w:val="auto"/>
                      <w:szCs w:val="21"/>
                      <w:highlight w:val="none"/>
                    </w:rPr>
                    <w:t>临时用地</w:t>
                  </w:r>
                  <w:r>
                    <w:rPr>
                      <w:rFonts w:ascii="Times New Roman" w:hAnsi="Times New Roman" w:eastAsia="宋体" w:cs="Times New Roman"/>
                      <w:color w:val="auto"/>
                      <w:szCs w:val="21"/>
                      <w:highlight w:val="none"/>
                    </w:rPr>
                    <w:t>，施工结束后严格按照</w:t>
                  </w:r>
                  <w:r>
                    <w:rPr>
                      <w:rFonts w:hint="eastAsia" w:ascii="Times New Roman" w:hAnsi="Times New Roman" w:eastAsia="宋体" w:cs="Times New Roman"/>
                      <w:bCs/>
                      <w:color w:val="auto"/>
                      <w:szCs w:val="21"/>
                      <w:highlight w:val="none"/>
                    </w:rPr>
                    <w:t>复垦方案</w:t>
                  </w:r>
                  <w:r>
                    <w:rPr>
                      <w:rFonts w:ascii="Times New Roman" w:hAnsi="Times New Roman" w:eastAsia="宋体" w:cs="Times New Roman"/>
                      <w:bCs/>
                      <w:color w:val="auto"/>
                      <w:szCs w:val="21"/>
                      <w:highlight w:val="none"/>
                    </w:rPr>
                    <w:t>进行复垦</w:t>
                  </w:r>
                  <w:r>
                    <w:rPr>
                      <w:rFonts w:hint="eastAsia" w:ascii="Times New Roman" w:hAnsi="Times New Roman" w:eastAsia="宋体" w:cs="Times New Roman"/>
                      <w:bCs/>
                      <w:color w:val="auto"/>
                      <w:szCs w:val="21"/>
                      <w:highlight w:val="none"/>
                    </w:rPr>
                    <w:t>，</w:t>
                  </w:r>
                  <w:r>
                    <w:rPr>
                      <w:rFonts w:ascii="Times New Roman" w:hAnsi="Times New Roman" w:eastAsia="宋体" w:cs="Times New Roman"/>
                      <w:bCs/>
                      <w:color w:val="auto"/>
                      <w:szCs w:val="21"/>
                      <w:highlight w:val="none"/>
                    </w:rPr>
                    <w:t>恢复原土地的功能。</w:t>
                  </w:r>
                  <w:r>
                    <w:rPr>
                      <w:rFonts w:hint="eastAsia" w:ascii="Times New Roman" w:hAnsi="Times New Roman" w:eastAsia="宋体" w:cs="Times New Roman"/>
                      <w:color w:val="auto"/>
                      <w:szCs w:val="21"/>
                      <w:highlight w:val="none"/>
                    </w:rPr>
                    <w:t>因此</w:t>
                  </w:r>
                  <w:r>
                    <w:rPr>
                      <w:rFonts w:ascii="Times New Roman" w:hAnsi="Times New Roman" w:eastAsia="宋体" w:cs="Times New Roman"/>
                      <w:color w:val="auto"/>
                      <w:szCs w:val="21"/>
                      <w:highlight w:val="none"/>
                    </w:rPr>
                    <w:t>，项目不会突破当地资源利用上线</w:t>
                  </w:r>
                </w:p>
              </w:tc>
              <w:tc>
                <w:tcPr>
                  <w:tcW w:w="469" w:type="pct"/>
                  <w:vAlign w:val="center"/>
                </w:tcPr>
                <w:p w14:paraId="55EAAC76">
                  <w:pPr>
                    <w:spacing w:line="360"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符合</w:t>
                  </w:r>
                </w:p>
              </w:tc>
            </w:tr>
            <w:tr w14:paraId="3A94C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4231CC5C">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环境准入负面清单</w:t>
                  </w:r>
                </w:p>
              </w:tc>
              <w:tc>
                <w:tcPr>
                  <w:tcW w:w="1819" w:type="pct"/>
                  <w:vAlign w:val="center"/>
                </w:tcPr>
                <w:p w14:paraId="245A1945">
                  <w:pPr>
                    <w:spacing w:line="360" w:lineRule="auto"/>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环境准入负面清单是基于生态保护红线、环境质量底线、资源利用上限，以清单方式列出的精致、限值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381" w:type="pct"/>
                  <w:vAlign w:val="center"/>
                </w:tcPr>
                <w:p w14:paraId="472D8044">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lang w:val="zh-CN"/>
                    </w:rPr>
                    <w:t>本项</w:t>
                  </w:r>
                  <w:r>
                    <w:rPr>
                      <w:rFonts w:hint="eastAsia" w:ascii="Times New Roman" w:hAnsi="Times New Roman" w:eastAsia="宋体" w:cs="Times New Roman"/>
                      <w:color w:val="auto"/>
                      <w:szCs w:val="21"/>
                      <w:highlight w:val="none"/>
                      <w:lang w:val="zh-CN"/>
                    </w:rPr>
                    <w:t>目是煤矿开采过程中</w:t>
                  </w:r>
                  <w:r>
                    <w:rPr>
                      <w:rFonts w:hint="eastAsia" w:ascii="Times New Roman" w:hAnsi="Times New Roman" w:eastAsia="宋体" w:cs="Times New Roman"/>
                      <w:color w:val="auto"/>
                      <w:szCs w:val="21"/>
                      <w:highlight w:val="none"/>
                      <w:lang w:val="zh-CN" w:eastAsia="zh-CN"/>
                    </w:rPr>
                    <w:t>一项辅助性工程</w:t>
                  </w:r>
                  <w:r>
                    <w:rPr>
                      <w:rFonts w:hint="eastAsia" w:ascii="Times New Roman" w:hAnsi="Times New Roman" w:eastAsia="宋体" w:cs="Times New Roman"/>
                      <w:color w:val="auto"/>
                      <w:szCs w:val="21"/>
                      <w:highlight w:val="none"/>
                      <w:lang w:val="zh-CN"/>
                    </w:rPr>
                    <w:t>，</w:t>
                  </w:r>
                  <w:r>
                    <w:rPr>
                      <w:rFonts w:ascii="Times New Roman" w:hAnsi="Times New Roman" w:eastAsia="宋体" w:cs="Times New Roman"/>
                      <w:color w:val="auto"/>
                      <w:szCs w:val="21"/>
                      <w:highlight w:val="none"/>
                      <w:lang w:val="zh-CN"/>
                    </w:rPr>
                    <w:t>根据《产业结构调整指导目录（20</w:t>
                  </w:r>
                  <w:r>
                    <w:rPr>
                      <w:rFonts w:hint="eastAsia" w:ascii="Times New Roman" w:hAnsi="Times New Roman" w:eastAsia="宋体" w:cs="Times New Roman"/>
                      <w:color w:val="auto"/>
                      <w:szCs w:val="21"/>
                      <w:highlight w:val="none"/>
                      <w:lang w:val="zh-CN"/>
                    </w:rPr>
                    <w:t>24</w:t>
                  </w:r>
                  <w:r>
                    <w:rPr>
                      <w:rFonts w:ascii="Times New Roman" w:hAnsi="Times New Roman" w:eastAsia="宋体" w:cs="Times New Roman"/>
                      <w:color w:val="auto"/>
                      <w:szCs w:val="21"/>
                      <w:highlight w:val="none"/>
                      <w:lang w:val="zh-CN"/>
                    </w:rPr>
                    <w:t>年本）》，本项目属于“鼓励类中三、煤炭</w:t>
                  </w:r>
                  <w:r>
                    <w:rPr>
                      <w:rFonts w:hint="eastAsia" w:ascii="Times New Roman" w:hAnsi="Times New Roman" w:eastAsia="宋体" w:cs="Times New Roman"/>
                      <w:color w:val="auto"/>
                      <w:szCs w:val="21"/>
                      <w:highlight w:val="none"/>
                      <w:lang w:val="zh-CN"/>
                    </w:rPr>
                    <w:t>4</w:t>
                  </w:r>
                  <w:r>
                    <w:rPr>
                      <w:rFonts w:ascii="Times New Roman" w:hAnsi="Times New Roman" w:eastAsia="宋体" w:cs="Times New Roman"/>
                      <w:color w:val="auto"/>
                      <w:szCs w:val="21"/>
                      <w:highlight w:val="none"/>
                      <w:lang w:val="zh-CN"/>
                    </w:rPr>
                    <w:t>、煤田地质及地球物理勘探”，本项目为鼓励类，符合国家产业政策。与《市场准入负面清单（20</w:t>
                  </w:r>
                  <w:r>
                    <w:rPr>
                      <w:rFonts w:hint="eastAsia" w:ascii="Times New Roman" w:hAnsi="Times New Roman" w:eastAsia="宋体" w:cs="Times New Roman"/>
                      <w:color w:val="auto"/>
                      <w:szCs w:val="21"/>
                      <w:highlight w:val="none"/>
                      <w:lang w:val="en-US" w:eastAsia="zh-CN"/>
                    </w:rPr>
                    <w:t>25</w:t>
                  </w:r>
                  <w:r>
                    <w:rPr>
                      <w:rFonts w:ascii="Times New Roman" w:hAnsi="Times New Roman" w:eastAsia="宋体" w:cs="Times New Roman"/>
                      <w:color w:val="auto"/>
                      <w:szCs w:val="21"/>
                      <w:highlight w:val="none"/>
                      <w:lang w:val="zh-CN"/>
                    </w:rPr>
                    <w:t>年版）》对比，本</w:t>
                  </w:r>
                  <w:r>
                    <w:rPr>
                      <w:rFonts w:ascii="Times New Roman" w:hAnsi="Times New Roman" w:eastAsia="宋体" w:cs="Times New Roman"/>
                      <w:color w:val="auto"/>
                      <w:szCs w:val="21"/>
                      <w:highlight w:val="none"/>
                    </w:rPr>
                    <w:t>项目不属于禁止准入类项目，可依法平等进入。项目所在地尚未出台环境准入负面清单。综上，本项目符合国家和地方产业政策。</w:t>
                  </w:r>
                </w:p>
              </w:tc>
              <w:tc>
                <w:tcPr>
                  <w:tcW w:w="469" w:type="pct"/>
                  <w:vAlign w:val="center"/>
                </w:tcPr>
                <w:p w14:paraId="188687F7">
                  <w:pPr>
                    <w:spacing w:line="360"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符合</w:t>
                  </w:r>
                </w:p>
              </w:tc>
            </w:tr>
          </w:tbl>
          <w:p w14:paraId="07A46CEA">
            <w:pPr>
              <w:spacing w:line="360" w:lineRule="auto"/>
              <w:jc w:val="center"/>
              <w:rPr>
                <w:color w:val="auto"/>
              </w:rPr>
            </w:pPr>
            <w:r>
              <w:drawing>
                <wp:inline distT="0" distB="0" distL="114300" distR="114300">
                  <wp:extent cx="4324350" cy="627697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4324350" cy="6276975"/>
                          </a:xfrm>
                          <a:prstGeom prst="rect">
                            <a:avLst/>
                          </a:prstGeom>
                          <a:noFill/>
                          <a:ln>
                            <a:noFill/>
                          </a:ln>
                        </pic:spPr>
                      </pic:pic>
                    </a:graphicData>
                  </a:graphic>
                </wp:inline>
              </w:drawing>
            </w:r>
          </w:p>
          <w:p w14:paraId="59CF973C">
            <w:pPr>
              <w:numPr>
                <w:ilvl w:val="0"/>
                <w:numId w:val="3"/>
              </w:numPr>
              <w:spacing w:line="360" w:lineRule="auto"/>
              <w:ind w:left="0" w:leftChars="0" w:firstLine="560" w:firstLineChars="0"/>
              <w:jc w:val="center"/>
              <w:rPr>
                <w:rFonts w:hint="default" w:ascii="Times New Roman" w:hAnsi="Times New Roman" w:eastAsia="宋体" w:cs="Times New Roman"/>
                <w:color w:val="auto"/>
                <w:kern w:val="0"/>
                <w:sz w:val="24"/>
                <w:szCs w:val="28"/>
                <w:lang w:val="en-US" w:eastAsia="zh-CN"/>
              </w:rPr>
            </w:pPr>
            <w:r>
              <w:rPr>
                <w:rFonts w:hint="eastAsia" w:ascii="Times New Roman" w:hAnsi="Times New Roman" w:eastAsia="宋体" w:cs="Times New Roman"/>
                <w:color w:val="auto"/>
                <w:kern w:val="0"/>
                <w:sz w:val="24"/>
                <w:szCs w:val="28"/>
                <w:lang w:val="en-US" w:eastAsia="zh-CN"/>
              </w:rPr>
              <w:t xml:space="preserve">  项目在生态保护红线中的位置关系图</w:t>
            </w:r>
          </w:p>
          <w:p w14:paraId="4DF07369">
            <w:pPr>
              <w:spacing w:line="360" w:lineRule="auto"/>
              <w:ind w:firstLine="480" w:firstLineChars="200"/>
              <w:rPr>
                <w:rFonts w:hint="eastAsia" w:ascii="Times New Roman" w:hAnsi="Times New Roman" w:eastAsia="宋体" w:cs="Times New Roman"/>
                <w:color w:val="auto"/>
                <w:kern w:val="0"/>
                <w:sz w:val="24"/>
                <w:szCs w:val="28"/>
              </w:rPr>
            </w:pPr>
            <w:r>
              <w:rPr>
                <w:rFonts w:hint="eastAsia" w:ascii="Times New Roman" w:hAnsi="Times New Roman" w:eastAsia="宋体" w:cs="Times New Roman"/>
                <w:color w:val="auto"/>
                <w:kern w:val="0"/>
                <w:sz w:val="24"/>
                <w:szCs w:val="28"/>
              </w:rPr>
              <w:t>环境分区管控：</w:t>
            </w:r>
          </w:p>
          <w:p w14:paraId="1F2ECCD5">
            <w:pPr>
              <w:pStyle w:val="95"/>
              <w:rPr>
                <w:rFonts w:hint="eastAsia"/>
                <w:color w:val="auto"/>
                <w:lang w:eastAsia="zh-CN"/>
              </w:rPr>
            </w:pPr>
            <w:r>
              <w:rPr>
                <w:color w:val="auto"/>
              </w:rPr>
              <w:t>根据安徽省“三线一单”公众服务平台查询，</w:t>
            </w:r>
            <w:r>
              <w:rPr>
                <w:rFonts w:hint="eastAsia"/>
                <w:color w:val="auto"/>
              </w:rPr>
              <w:t>经与“三线一单”成果数据分析，与</w:t>
            </w:r>
            <w:r>
              <w:rPr>
                <w:color w:val="auto"/>
              </w:rPr>
              <w:t>1</w:t>
            </w:r>
            <w:r>
              <w:rPr>
                <w:rFonts w:hint="eastAsia"/>
                <w:color w:val="auto"/>
              </w:rPr>
              <w:t>个环境管控单元存在交叠，其中优先保护类0个，重点管控类0个，一般管控类1个。环境管控单元名称</w:t>
            </w:r>
            <w:r>
              <w:rPr>
                <w:rFonts w:hint="eastAsia"/>
                <w:color w:val="auto"/>
                <w:lang w:eastAsia="zh-CN"/>
              </w:rPr>
              <w:t>：</w:t>
            </w:r>
            <w:r>
              <w:rPr>
                <w:rFonts w:hint="eastAsia"/>
                <w:color w:val="auto"/>
              </w:rPr>
              <w:t>一般管控单元</w:t>
            </w:r>
            <w:r>
              <w:rPr>
                <w:rFonts w:hint="eastAsia"/>
                <w:color w:val="auto"/>
                <w:lang w:val="en-US" w:eastAsia="zh-CN"/>
              </w:rPr>
              <w:t>5</w:t>
            </w:r>
            <w:r>
              <w:rPr>
                <w:rFonts w:hint="eastAsia"/>
                <w:color w:val="auto"/>
                <w:lang w:eastAsia="zh-CN"/>
              </w:rPr>
              <w:t>， 环境管控单元编码：</w:t>
            </w:r>
            <w:r>
              <w:rPr>
                <w:rFonts w:hint="eastAsia"/>
                <w:color w:val="auto"/>
              </w:rPr>
              <w:t>ZH34040630004</w:t>
            </w:r>
            <w:r>
              <w:rPr>
                <w:rFonts w:hint="eastAsia"/>
                <w:color w:val="auto"/>
                <w:lang w:eastAsia="zh-CN"/>
              </w:rPr>
              <w:t>，无污染物排放管控要求。</w:t>
            </w:r>
          </w:p>
          <w:p w14:paraId="7B274912">
            <w:pPr>
              <w:pStyle w:val="95"/>
              <w:ind w:left="0" w:leftChars="0" w:firstLine="0" w:firstLineChars="0"/>
              <w:rPr>
                <w:color w:val="auto"/>
              </w:rPr>
            </w:pPr>
            <w:r>
              <w:drawing>
                <wp:inline distT="0" distB="0" distL="114300" distR="114300">
                  <wp:extent cx="5155565" cy="3369310"/>
                  <wp:effectExtent l="0" t="0" r="6985"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155565" cy="3369310"/>
                          </a:xfrm>
                          <a:prstGeom prst="rect">
                            <a:avLst/>
                          </a:prstGeom>
                          <a:noFill/>
                          <a:ln>
                            <a:noFill/>
                          </a:ln>
                        </pic:spPr>
                      </pic:pic>
                    </a:graphicData>
                  </a:graphic>
                </wp:inline>
              </w:drawing>
            </w:r>
          </w:p>
          <w:p w14:paraId="05C08271">
            <w:pPr>
              <w:numPr>
                <w:ilvl w:val="0"/>
                <w:numId w:val="3"/>
              </w:numPr>
              <w:spacing w:line="360" w:lineRule="auto"/>
              <w:ind w:left="0" w:leftChars="0" w:firstLine="560" w:firstLineChars="0"/>
              <w:jc w:val="center"/>
              <w:rPr>
                <w:rFonts w:hint="default" w:eastAsiaTheme="minorEastAsia"/>
                <w:color w:val="auto"/>
                <w:lang w:val="en-US" w:eastAsia="zh-CN"/>
              </w:rPr>
            </w:pPr>
            <w:r>
              <w:rPr>
                <w:rFonts w:hint="eastAsia"/>
                <w:color w:val="auto"/>
                <w:lang w:val="en-US" w:eastAsia="zh-CN"/>
              </w:rPr>
              <w:t xml:space="preserve">  </w:t>
            </w:r>
            <w:r>
              <w:rPr>
                <w:rFonts w:hint="eastAsia"/>
                <w:color w:val="auto"/>
                <w:sz w:val="24"/>
                <w:szCs w:val="24"/>
                <w:lang w:val="en-US" w:eastAsia="zh-CN"/>
              </w:rPr>
              <w:t>“三线一单”管控点位图</w:t>
            </w:r>
          </w:p>
          <w:p w14:paraId="7E62845C">
            <w:pPr>
              <w:spacing w:beforeLines="50" w:line="360" w:lineRule="auto"/>
              <w:ind w:firstLine="482" w:firstLineChars="200"/>
              <w:jc w:val="left"/>
              <w:rPr>
                <w:rFonts w:hint="eastAsia" w:ascii="Times New Roman" w:hAnsi="Times New Roman" w:cs="Times New Roman" w:eastAsiaTheme="minorEastAsia"/>
                <w:b/>
                <w:bCs/>
                <w:color w:val="auto"/>
                <w:sz w:val="24"/>
                <w:szCs w:val="24"/>
                <w:lang w:eastAsia="zh-CN"/>
              </w:rPr>
            </w:pPr>
            <w:r>
              <w:rPr>
                <w:rFonts w:ascii="Times New Roman" w:hAnsi="Times New Roman" w:cs="Times New Roman"/>
                <w:b/>
                <w:bCs/>
                <w:color w:val="auto"/>
                <w:sz w:val="24"/>
                <w:szCs w:val="24"/>
              </w:rPr>
              <w:t>与</w:t>
            </w:r>
            <w:r>
              <w:rPr>
                <w:rFonts w:hint="eastAsia" w:ascii="Times New Roman" w:hAnsi="Times New Roman" w:cs="Times New Roman"/>
                <w:b/>
                <w:bCs/>
                <w:color w:val="auto"/>
                <w:sz w:val="24"/>
                <w:szCs w:val="24"/>
              </w:rPr>
              <w:t>淮南市</w:t>
            </w:r>
            <w:r>
              <w:rPr>
                <w:rFonts w:ascii="Times New Roman" w:hAnsi="Times New Roman" w:cs="Times New Roman"/>
                <w:b/>
                <w:bCs/>
                <w:color w:val="auto"/>
                <w:sz w:val="24"/>
                <w:szCs w:val="24"/>
              </w:rPr>
              <w:t>“三线一单”生态环境分区管控相符性</w:t>
            </w:r>
            <w:r>
              <w:rPr>
                <w:rFonts w:hint="eastAsia" w:ascii="Times New Roman" w:hAnsi="Times New Roman" w:cs="Times New Roman"/>
                <w:b/>
                <w:bCs/>
                <w:color w:val="auto"/>
                <w:sz w:val="24"/>
                <w:szCs w:val="24"/>
                <w:lang w:eastAsia="zh-CN"/>
              </w:rPr>
              <w:t>分析</w:t>
            </w:r>
            <w:bookmarkStart w:id="15" w:name="_GoBack"/>
            <w:bookmarkEnd w:id="15"/>
          </w:p>
          <w:p w14:paraId="7F9C7697">
            <w:pPr>
              <w:spacing w:beforeLines="50"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rPr>
              <w:t>根据《</w:t>
            </w:r>
            <w:r>
              <w:rPr>
                <w:rFonts w:ascii="Times New Roman" w:hAnsi="Times New Roman" w:eastAsia="宋体" w:cs="Times New Roman"/>
                <w:color w:val="auto"/>
                <w:kern w:val="0"/>
                <w:sz w:val="24"/>
                <w:szCs w:val="24"/>
              </w:rPr>
              <w:t>长江经济带战略环境评价</w:t>
            </w:r>
            <w:r>
              <w:rPr>
                <w:rFonts w:hint="eastAsia" w:ascii="Times New Roman" w:hAnsi="Times New Roman" w:eastAsia="宋体" w:cs="Times New Roman"/>
                <w:color w:val="auto"/>
                <w:kern w:val="0"/>
                <w:sz w:val="24"/>
                <w:szCs w:val="24"/>
              </w:rPr>
              <w:t>—淮南市“三线一单”研究报告》及成果图集</w:t>
            </w:r>
            <w:r>
              <w:rPr>
                <w:rFonts w:hint="eastAsia" w:ascii="Times New Roman" w:hAnsi="Times New Roman" w:eastAsia="宋体" w:cs="Times New Roman"/>
                <w:color w:val="auto"/>
                <w:kern w:val="0"/>
                <w:sz w:val="24"/>
                <w:szCs w:val="24"/>
                <w:lang w:eastAsia="zh-CN"/>
              </w:rPr>
              <w:t>，本项目位于淮南市环境管控一般管控单元，管控要求及符合性如下：</w:t>
            </w:r>
          </w:p>
          <w:p w14:paraId="13B6DF5F">
            <w:pPr>
              <w:autoSpaceDE w:val="0"/>
              <w:autoSpaceDN w:val="0"/>
              <w:spacing w:line="360" w:lineRule="auto"/>
              <w:jc w:val="center"/>
              <w:rPr>
                <w:color w:val="auto"/>
              </w:rPr>
            </w:pPr>
            <w:r>
              <w:drawing>
                <wp:inline distT="0" distB="0" distL="114300" distR="114300">
                  <wp:extent cx="4739005" cy="6818630"/>
                  <wp:effectExtent l="0" t="0" r="4445"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4739005" cy="6818630"/>
                          </a:xfrm>
                          <a:prstGeom prst="rect">
                            <a:avLst/>
                          </a:prstGeom>
                          <a:noFill/>
                          <a:ln>
                            <a:noFill/>
                          </a:ln>
                        </pic:spPr>
                      </pic:pic>
                    </a:graphicData>
                  </a:graphic>
                </wp:inline>
              </w:drawing>
            </w:r>
          </w:p>
          <w:p w14:paraId="3FBE0CA6">
            <w:pPr>
              <w:numPr>
                <w:ilvl w:val="0"/>
                <w:numId w:val="3"/>
              </w:numPr>
              <w:spacing w:line="360" w:lineRule="auto"/>
              <w:ind w:left="0" w:leftChars="0" w:firstLine="560" w:firstLineChars="0"/>
              <w:jc w:val="center"/>
              <w:rPr>
                <w:rFonts w:hint="default" w:eastAsiaTheme="minorEastAsia"/>
                <w:color w:val="auto"/>
                <w:lang w:val="en-US" w:eastAsia="zh-CN"/>
              </w:rPr>
            </w:pPr>
            <w:r>
              <w:rPr>
                <w:rFonts w:hint="eastAsia"/>
                <w:color w:val="auto"/>
                <w:lang w:val="en-US" w:eastAsia="zh-CN"/>
              </w:rPr>
              <w:t xml:space="preserve">  </w:t>
            </w:r>
            <w:r>
              <w:rPr>
                <w:rFonts w:hint="eastAsia"/>
                <w:color w:val="auto"/>
                <w:sz w:val="24"/>
                <w:szCs w:val="24"/>
                <w:lang w:val="en-US" w:eastAsia="zh-CN"/>
              </w:rPr>
              <w:t>本项目在淮南市环境管控单元中的位置关系图</w:t>
            </w:r>
          </w:p>
          <w:p w14:paraId="69B7A61D">
            <w:pPr>
              <w:pStyle w:val="97"/>
              <w:numPr>
                <w:ilvl w:val="1"/>
                <w:numId w:val="2"/>
              </w:numPr>
              <w:tabs>
                <w:tab w:val="clear" w:pos="1440"/>
              </w:tabs>
              <w:spacing w:line="240" w:lineRule="auto"/>
              <w:ind w:left="3300" w:leftChars="0" w:hanging="246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与环境分区管控要求的协调性分析</w:t>
            </w:r>
          </w:p>
          <w:tbl>
            <w:tblPr>
              <w:tblStyle w:val="27"/>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67"/>
              <w:gridCol w:w="2822"/>
              <w:gridCol w:w="2105"/>
              <w:gridCol w:w="1853"/>
            </w:tblGrid>
            <w:tr w14:paraId="120C79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16" w:hRule="atLeast"/>
                <w:jc w:val="center"/>
              </w:trPr>
              <w:tc>
                <w:tcPr>
                  <w:tcW w:w="1167" w:type="dxa"/>
                  <w:vAlign w:val="center"/>
                </w:tcPr>
                <w:p w14:paraId="45C6DE14">
                  <w:pPr>
                    <w:autoSpaceDE w:val="0"/>
                    <w:autoSpaceDN w:val="0"/>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环境要素</w:t>
                  </w:r>
                </w:p>
              </w:tc>
              <w:tc>
                <w:tcPr>
                  <w:tcW w:w="2822" w:type="dxa"/>
                  <w:vAlign w:val="center"/>
                </w:tcPr>
                <w:p w14:paraId="763A16E6">
                  <w:pPr>
                    <w:autoSpaceDE w:val="0"/>
                    <w:autoSpaceDN w:val="0"/>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环境管控要求</w:t>
                  </w:r>
                </w:p>
              </w:tc>
              <w:tc>
                <w:tcPr>
                  <w:tcW w:w="2105" w:type="dxa"/>
                  <w:vAlign w:val="center"/>
                </w:tcPr>
                <w:p w14:paraId="4065910C">
                  <w:pPr>
                    <w:autoSpaceDE w:val="0"/>
                    <w:autoSpaceDN w:val="0"/>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本项目情况</w:t>
                  </w:r>
                </w:p>
              </w:tc>
              <w:tc>
                <w:tcPr>
                  <w:tcW w:w="1853" w:type="dxa"/>
                  <w:vAlign w:val="center"/>
                </w:tcPr>
                <w:p w14:paraId="352DB64E">
                  <w:pPr>
                    <w:autoSpaceDE w:val="0"/>
                    <w:autoSpaceDN w:val="0"/>
                    <w:spacing w:line="276"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协调性分析</w:t>
                  </w:r>
                </w:p>
              </w:tc>
            </w:tr>
            <w:tr w14:paraId="232AD5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167" w:type="dxa"/>
                  <w:vAlign w:val="center"/>
                </w:tcPr>
                <w:p w14:paraId="59985268">
                  <w:pPr>
                    <w:autoSpaceDE w:val="0"/>
                    <w:autoSpaceDN w:val="0"/>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水环境</w:t>
                  </w:r>
                </w:p>
              </w:tc>
              <w:tc>
                <w:tcPr>
                  <w:tcW w:w="2822" w:type="dxa"/>
                  <w:vAlign w:val="center"/>
                </w:tcPr>
                <w:p w14:paraId="0D4FEC7A">
                  <w:pPr>
                    <w:autoSpaceDE w:val="0"/>
                    <w:autoSpaceDN w:val="0"/>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依据《中华人民共和国水污染防治法》《水污染防治行动计划》《安徽省水污染防治工作方案》及各市水污染防治工作方案对一般管控区实施管控；依据《安徽省淮河流域水污染防治条例》对淮河流域实施管控</w:t>
                  </w:r>
                </w:p>
              </w:tc>
              <w:tc>
                <w:tcPr>
                  <w:tcW w:w="2105" w:type="dxa"/>
                  <w:vAlign w:val="center"/>
                </w:tcPr>
                <w:p w14:paraId="2E8EBBDB">
                  <w:pPr>
                    <w:autoSpaceDE w:val="0"/>
                    <w:autoSpaceDN w:val="0"/>
                    <w:spacing w:line="276" w:lineRule="auto"/>
                    <w:jc w:val="center"/>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本项目所在地不涉及饮用水水源地和对环境有特殊要求的功</w:t>
                  </w:r>
                  <w:r>
                    <w:rPr>
                      <w:rFonts w:ascii="Times New Roman" w:hAnsi="Times New Roman" w:eastAsia="宋体" w:cs="Times New Roman"/>
                      <w:color w:val="auto"/>
                      <w:kern w:val="0"/>
                      <w:szCs w:val="21"/>
                      <w:highlight w:val="none"/>
                    </w:rPr>
                    <w:t>能区。生活污水依托附近</w:t>
                  </w:r>
                  <w:r>
                    <w:rPr>
                      <w:rFonts w:hint="eastAsia" w:ascii="Times New Roman" w:hAnsi="Times New Roman" w:eastAsia="宋体" w:cs="Times New Roman"/>
                      <w:color w:val="auto"/>
                      <w:kern w:val="0"/>
                      <w:szCs w:val="21"/>
                      <w:highlight w:val="none"/>
                      <w:lang w:eastAsia="zh-CN"/>
                    </w:rPr>
                    <w:t>村民现有</w:t>
                  </w:r>
                  <w:r>
                    <w:rPr>
                      <w:rFonts w:ascii="Times New Roman" w:hAnsi="Times New Roman" w:eastAsia="宋体" w:cs="Times New Roman"/>
                      <w:color w:val="auto"/>
                      <w:kern w:val="0"/>
                      <w:szCs w:val="21"/>
                      <w:highlight w:val="none"/>
                    </w:rPr>
                    <w:t>化粪池</w:t>
                  </w:r>
                  <w:r>
                    <w:rPr>
                      <w:rFonts w:hint="eastAsia" w:ascii="Times New Roman" w:hAnsi="Times New Roman" w:eastAsia="宋体" w:cs="Times New Roman"/>
                      <w:color w:val="auto"/>
                      <w:kern w:val="0"/>
                      <w:szCs w:val="21"/>
                      <w:highlight w:val="none"/>
                      <w:lang w:eastAsia="zh-CN"/>
                    </w:rPr>
                    <w:t>预处理后定期</w:t>
                  </w:r>
                  <w:r>
                    <w:rPr>
                      <w:rFonts w:ascii="Times New Roman" w:hAnsi="Times New Roman" w:eastAsia="宋体" w:cs="Times New Roman"/>
                      <w:color w:val="auto"/>
                      <w:kern w:val="0"/>
                      <w:szCs w:val="21"/>
                      <w:highlight w:val="none"/>
                    </w:rPr>
                    <w:t>清掏用作农田施肥；</w:t>
                  </w:r>
                  <w:r>
                    <w:rPr>
                      <w:rFonts w:hint="eastAsia" w:ascii="Times New Roman" w:hAnsi="Times New Roman" w:eastAsia="宋体" w:cs="Times New Roman"/>
                      <w:color w:val="auto"/>
                      <w:kern w:val="0"/>
                      <w:szCs w:val="21"/>
                      <w:highlight w:val="none"/>
                    </w:rPr>
                    <w:t>钻井</w:t>
                  </w:r>
                  <w:r>
                    <w:rPr>
                      <w:rFonts w:ascii="Times New Roman" w:hAnsi="Times New Roman" w:eastAsia="宋体" w:cs="Times New Roman"/>
                      <w:color w:val="auto"/>
                      <w:kern w:val="0"/>
                      <w:szCs w:val="21"/>
                      <w:highlight w:val="none"/>
                    </w:rPr>
                    <w:t>废水经泥浆池后回用于</w:t>
                  </w:r>
                  <w:r>
                    <w:rPr>
                      <w:rFonts w:hint="eastAsia" w:ascii="Times New Roman" w:hAnsi="Times New Roman" w:eastAsia="宋体" w:cs="Times New Roman"/>
                      <w:color w:val="auto"/>
                      <w:kern w:val="0"/>
                      <w:szCs w:val="21"/>
                      <w:highlight w:val="none"/>
                    </w:rPr>
                    <w:t>钻井</w:t>
                  </w:r>
                  <w:r>
                    <w:rPr>
                      <w:rFonts w:hint="eastAsia" w:ascii="Times New Roman" w:hAnsi="Times New Roman" w:eastAsia="宋体" w:cs="Times New Roman"/>
                      <w:color w:val="auto"/>
                      <w:kern w:val="0"/>
                      <w:szCs w:val="21"/>
                      <w:highlight w:val="none"/>
                      <w:lang w:eastAsia="zh-CN"/>
                    </w:rPr>
                    <w:t>，无钻井废水排放。</w:t>
                  </w:r>
                </w:p>
              </w:tc>
              <w:tc>
                <w:tcPr>
                  <w:tcW w:w="1853" w:type="dxa"/>
                  <w:vAlign w:val="center"/>
                </w:tcPr>
                <w:p w14:paraId="65691C71">
                  <w:pPr>
                    <w:autoSpaceDE w:val="0"/>
                    <w:autoSpaceDN w:val="0"/>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07CDB3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167" w:type="dxa"/>
                  <w:vAlign w:val="center"/>
                </w:tcPr>
                <w:p w14:paraId="480B24DC">
                  <w:pPr>
                    <w:autoSpaceDE w:val="0"/>
                    <w:autoSpaceDN w:val="0"/>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大气环境</w:t>
                  </w:r>
                </w:p>
              </w:tc>
              <w:tc>
                <w:tcPr>
                  <w:tcW w:w="2822" w:type="dxa"/>
                  <w:vAlign w:val="center"/>
                </w:tcPr>
                <w:p w14:paraId="5CA63EAA">
                  <w:pPr>
                    <w:autoSpaceDE w:val="0"/>
                    <w:autoSpaceDN w:val="0"/>
                    <w:spacing w:line="276"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依据《</w:t>
                  </w:r>
                  <w:r>
                    <w:rPr>
                      <w:rFonts w:hint="eastAsia" w:ascii="Times New Roman" w:hAnsi="Times New Roman" w:eastAsia="宋体" w:cs="Times New Roman"/>
                      <w:color w:val="auto"/>
                      <w:kern w:val="0"/>
                      <w:szCs w:val="21"/>
                    </w:rPr>
                    <w:fldChar w:fldCharType="begin"/>
                  </w:r>
                  <w:r>
                    <w:rPr>
                      <w:rFonts w:hint="eastAsia" w:ascii="Times New Roman" w:hAnsi="Times New Roman" w:eastAsia="宋体" w:cs="Times New Roman"/>
                      <w:color w:val="auto"/>
                      <w:kern w:val="0"/>
                      <w:szCs w:val="21"/>
                    </w:rPr>
                    <w:instrText xml:space="preserve"> HYPERLINK "http://www.so.com/link?m=atqHUsVCrKgKvazQ1diDVK9MSZbKQoCRbJCwaRCjw2QUYOsGw7e0g5ebA0Ym7QAL6wuzl%2BHXq6VmwcazwiBBPgmMY8cBRnT6dyTav3%2FaiJlwyO2WNZ99m3CR7pFV2v0i72jgp9NNJUjqwDwh1PYtiZ%2F5i2BHGs2ruvKdPUtV1dVDG7GLyjrxR%2B8JFtCK0To62u%2Bs1vGD9AcG7JnNs1%2FGWMKE9Lz8%3D" \t "_blank" </w:instrText>
                  </w:r>
                  <w:r>
                    <w:rPr>
                      <w:rFonts w:hint="eastAsia" w:ascii="Times New Roman" w:hAnsi="Times New Roman" w:eastAsia="宋体" w:cs="Times New Roman"/>
                      <w:color w:val="auto"/>
                      <w:kern w:val="0"/>
                      <w:szCs w:val="21"/>
                    </w:rPr>
                    <w:fldChar w:fldCharType="separate"/>
                  </w:r>
                  <w:r>
                    <w:rPr>
                      <w:rFonts w:hint="eastAsia" w:ascii="Times New Roman" w:hAnsi="Times New Roman" w:eastAsia="宋体" w:cs="Times New Roman"/>
                      <w:color w:val="auto"/>
                      <w:kern w:val="0"/>
                      <w:szCs w:val="21"/>
                    </w:rPr>
                    <w:t>中华人民共和国大气污染防治法</w:t>
                  </w:r>
                  <w:r>
                    <w:rPr>
                      <w:rFonts w:hint="eastAsia" w:ascii="Times New Roman" w:hAnsi="Times New Roman" w:eastAsia="宋体" w:cs="Times New Roman"/>
                      <w:color w:val="auto"/>
                      <w:kern w:val="0"/>
                      <w:szCs w:val="21"/>
                    </w:rPr>
                    <w:fldChar w:fldCharType="end"/>
                  </w:r>
                  <w:r>
                    <w:rPr>
                      <w:rFonts w:hint="eastAsia" w:ascii="Times New Roman" w:hAnsi="Times New Roman" w:eastAsia="宋体" w:cs="Times New Roman"/>
                      <w:color w:val="auto"/>
                      <w:kern w:val="0"/>
                      <w:szCs w:val="21"/>
                    </w:rPr>
                    <w:t>》《打赢蓝天保卫战三年行动计划》《安徽省打赢蓝天保卫战三年行动计划实施方案》等法律法规和规章对一般管控区实施管控。上年度PM2.5不达标城市新建、改建和扩建项目大气污染物实施“倍量替代”，执行特别排放标准的行业实施提标升级改造。</w:t>
                  </w:r>
                </w:p>
              </w:tc>
              <w:tc>
                <w:tcPr>
                  <w:tcW w:w="2105" w:type="dxa"/>
                  <w:vAlign w:val="center"/>
                </w:tcPr>
                <w:p w14:paraId="79CBAE9E">
                  <w:pPr>
                    <w:autoSpaceDE w:val="0"/>
                    <w:autoSpaceDN w:val="0"/>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rPr>
                    <w:t>本项目仅施工期产生少量颗粒物，通过洒水抑尘等方式减小粉尘影响</w:t>
                  </w:r>
                  <w:r>
                    <w:rPr>
                      <w:rFonts w:hint="eastAsia" w:ascii="Times New Roman" w:hAnsi="Times New Roman" w:eastAsia="宋体" w:cs="Times New Roman"/>
                      <w:color w:val="auto"/>
                      <w:kern w:val="0"/>
                      <w:szCs w:val="21"/>
                      <w:lang w:eastAsia="zh-CN"/>
                    </w:rPr>
                    <w:t>。</w:t>
                  </w:r>
                </w:p>
              </w:tc>
              <w:tc>
                <w:tcPr>
                  <w:tcW w:w="1853" w:type="dxa"/>
                  <w:vAlign w:val="center"/>
                </w:tcPr>
                <w:p w14:paraId="79F8EAA5">
                  <w:pPr>
                    <w:autoSpaceDE w:val="0"/>
                    <w:autoSpaceDN w:val="0"/>
                    <w:spacing w:line="276"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符合</w:t>
                  </w:r>
                </w:p>
              </w:tc>
            </w:tr>
            <w:tr w14:paraId="13191B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167" w:type="dxa"/>
                  <w:vAlign w:val="center"/>
                </w:tcPr>
                <w:p w14:paraId="7E469488">
                  <w:pPr>
                    <w:autoSpaceDE w:val="0"/>
                    <w:autoSpaceDN w:val="0"/>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土壤环境</w:t>
                  </w:r>
                </w:p>
              </w:tc>
              <w:tc>
                <w:tcPr>
                  <w:tcW w:w="2822" w:type="dxa"/>
                  <w:vAlign w:val="center"/>
                </w:tcPr>
                <w:p w14:paraId="63DBD27E">
                  <w:pPr>
                    <w:autoSpaceDE w:val="0"/>
                    <w:autoSpaceDN w:val="0"/>
                    <w:spacing w:line="276"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en-US"/>
                    </w:rPr>
                    <w:t>依据《中华人民共和国土壤污染防治法》《土壤污染防治行动计划》《安徽省土壤污染防治工作方案》《安徽省“十四五”生态环境保护规划》等要求及各市土壤污染防治工作方案对一般管控区实施管控。</w:t>
                  </w:r>
                </w:p>
              </w:tc>
              <w:tc>
                <w:tcPr>
                  <w:tcW w:w="2105" w:type="dxa"/>
                  <w:vAlign w:val="center"/>
                </w:tcPr>
                <w:p w14:paraId="66B71FD2">
                  <w:pPr>
                    <w:autoSpaceDE w:val="0"/>
                    <w:autoSpaceDN w:val="0"/>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w:t>
                  </w:r>
                  <w:r>
                    <w:rPr>
                      <w:rFonts w:hint="eastAsia" w:ascii="Times New Roman" w:hAnsi="Times New Roman" w:eastAsia="宋体" w:cs="Times New Roman"/>
                      <w:color w:val="auto"/>
                      <w:kern w:val="0"/>
                      <w:szCs w:val="21"/>
                      <w:lang w:eastAsia="zh-CN"/>
                    </w:rPr>
                    <w:t>施工时使用的</w:t>
                  </w:r>
                  <w:r>
                    <w:rPr>
                      <w:rFonts w:hint="eastAsia" w:ascii="Times New Roman" w:hAnsi="Times New Roman" w:eastAsia="宋体" w:cs="Times New Roman"/>
                      <w:color w:val="auto"/>
                      <w:kern w:val="0"/>
                      <w:szCs w:val="21"/>
                    </w:rPr>
                    <w:t>泥浆添加剂</w:t>
                  </w:r>
                  <w:r>
                    <w:rPr>
                      <w:rFonts w:hint="eastAsia" w:ascii="Times New Roman" w:hAnsi="Times New Roman" w:eastAsia="宋体" w:cs="Times New Roman"/>
                      <w:color w:val="auto"/>
                      <w:kern w:val="0"/>
                      <w:szCs w:val="21"/>
                      <w:lang w:eastAsia="zh-CN"/>
                    </w:rPr>
                    <w:t>不含</w:t>
                  </w:r>
                  <w:r>
                    <w:rPr>
                      <w:rFonts w:hint="eastAsia" w:ascii="Times New Roman" w:hAnsi="Times New Roman" w:eastAsia="宋体" w:cs="Times New Roman"/>
                      <w:color w:val="auto"/>
                      <w:kern w:val="0"/>
                      <w:szCs w:val="21"/>
                    </w:rPr>
                    <w:t>有毒有害成分，</w:t>
                  </w:r>
                  <w:r>
                    <w:rPr>
                      <w:rFonts w:hint="eastAsia" w:ascii="Times New Roman" w:hAnsi="Times New Roman" w:eastAsia="宋体" w:cs="Times New Roman"/>
                      <w:color w:val="auto"/>
                      <w:kern w:val="0"/>
                      <w:szCs w:val="21"/>
                      <w:lang w:eastAsia="zh-CN"/>
                    </w:rPr>
                    <w:t>固井</w:t>
                  </w:r>
                  <w:r>
                    <w:rPr>
                      <w:rFonts w:hint="eastAsia" w:ascii="Times New Roman" w:hAnsi="Times New Roman" w:eastAsia="宋体" w:cs="Times New Roman"/>
                      <w:color w:val="auto"/>
                      <w:kern w:val="0"/>
                      <w:szCs w:val="21"/>
                    </w:rPr>
                    <w:t>用水泥为普通/复合硅酸盐水泥，质量符合国家标准。</w:t>
                  </w:r>
                </w:p>
              </w:tc>
              <w:tc>
                <w:tcPr>
                  <w:tcW w:w="1853" w:type="dxa"/>
                  <w:vAlign w:val="center"/>
                </w:tcPr>
                <w:p w14:paraId="2CB0A51A">
                  <w:pPr>
                    <w:autoSpaceDE w:val="0"/>
                    <w:autoSpaceDN w:val="0"/>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符合</w:t>
                  </w:r>
                </w:p>
              </w:tc>
            </w:tr>
          </w:tbl>
          <w:p w14:paraId="29A80843">
            <w:pPr>
              <w:autoSpaceDE w:val="0"/>
              <w:autoSpaceDN w:val="0"/>
              <w:spacing w:line="360" w:lineRule="auto"/>
              <w:rPr>
                <w:rFonts w:ascii="Times New Roman" w:hAnsi="Times New Roman" w:eastAsia="宋体" w:cs="Times New Roman"/>
                <w:color w:val="auto"/>
                <w:kern w:val="0"/>
                <w:sz w:val="24"/>
                <w:szCs w:val="24"/>
              </w:rPr>
            </w:pPr>
          </w:p>
        </w:tc>
      </w:tr>
    </w:tbl>
    <w:p w14:paraId="48C5EA49">
      <w:pPr>
        <w:spacing w:line="360" w:lineRule="auto"/>
        <w:outlineLvl w:val="0"/>
        <w:rPr>
          <w:rFonts w:ascii="Times New Roman" w:hAnsi="Times New Roman" w:eastAsia="黑体" w:cs="Times New Roman"/>
          <w:color w:val="auto"/>
          <w:sz w:val="30"/>
          <w:szCs w:val="24"/>
        </w:rPr>
        <w:sectPr>
          <w:footerReference r:id="rId5" w:type="default"/>
          <w:pgSz w:w="11906" w:h="16838"/>
          <w:pgMar w:top="1701" w:right="1531" w:bottom="1701" w:left="1531" w:header="851" w:footer="992" w:gutter="0"/>
          <w:pgNumType w:start="1"/>
          <w:cols w:space="720" w:num="1"/>
          <w:docGrid w:type="lines" w:linePitch="312" w:charSpace="0"/>
        </w:sectPr>
      </w:pPr>
    </w:p>
    <w:p w14:paraId="72BC8950">
      <w:pPr>
        <w:widowControl/>
        <w:spacing w:before="100" w:beforeAutospacing="1" w:after="100" w:afterAutospacing="1"/>
        <w:jc w:val="center"/>
        <w:outlineLvl w:val="0"/>
        <w:rPr>
          <w:rFonts w:ascii="黑体" w:hAnsi="黑体" w:eastAsia="黑体" w:cs="Times New Roman"/>
          <w:snapToGrid w:val="0"/>
          <w:color w:val="auto"/>
          <w:kern w:val="0"/>
          <w:sz w:val="30"/>
          <w:szCs w:val="30"/>
        </w:rPr>
      </w:pPr>
      <w:r>
        <w:rPr>
          <w:rFonts w:hint="eastAsia" w:ascii="黑体" w:hAnsi="黑体" w:eastAsia="黑体" w:cs="Times New Roman"/>
          <w:snapToGrid w:val="0"/>
          <w:color w:val="auto"/>
          <w:kern w:val="0"/>
          <w:sz w:val="30"/>
          <w:szCs w:val="30"/>
        </w:rPr>
        <w:t>二、建设内容</w:t>
      </w:r>
    </w:p>
    <w:tbl>
      <w:tblPr>
        <w:tblStyle w:val="26"/>
        <w:tblW w:w="526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278"/>
      </w:tblGrid>
      <w:tr w14:paraId="1E775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331" w:type="pct"/>
            <w:vAlign w:val="center"/>
          </w:tcPr>
          <w:p w14:paraId="228C6226">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地理位置</w:t>
            </w:r>
          </w:p>
        </w:tc>
        <w:tc>
          <w:tcPr>
            <w:tcW w:w="4669" w:type="pct"/>
            <w:vAlign w:val="center"/>
          </w:tcPr>
          <w:p w14:paraId="74DA05D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宋体" w:eastAsia="宋体" w:cs="Times New Roman"/>
                <w:color w:val="auto"/>
                <w:sz w:val="24"/>
                <w:szCs w:val="24"/>
                <w:lang w:eastAsia="zh-CN"/>
              </w:rPr>
              <w:t xml:space="preserve"> 朱集东煤矿1262（1）工作面地面钻井工程</w:t>
            </w:r>
            <w:r>
              <w:rPr>
                <w:rFonts w:ascii="Times New Roman" w:hAnsi="Times New Roman" w:eastAsia="宋体" w:cs="Times New Roman"/>
                <w:color w:val="auto"/>
                <w:sz w:val="24"/>
                <w:szCs w:val="24"/>
              </w:rPr>
              <w:t>位于安徽省</w:t>
            </w:r>
            <w:r>
              <w:rPr>
                <w:rFonts w:hint="eastAsia" w:ascii="Times New Roman" w:hAnsi="Times New Roman" w:eastAsia="宋体" w:cs="Times New Roman"/>
                <w:color w:val="auto"/>
                <w:sz w:val="24"/>
                <w:szCs w:val="24"/>
                <w:lang w:eastAsia="zh-CN"/>
              </w:rPr>
              <w:t>淮南市潘集区潘集镇小圩村，共</w:t>
            </w:r>
            <w:r>
              <w:rPr>
                <w:rFonts w:hint="eastAsia" w:ascii="Times New Roman" w:hAnsi="宋体" w:eastAsia="宋体" w:cs="Times New Roman"/>
                <w:color w:val="auto"/>
                <w:sz w:val="24"/>
                <w:szCs w:val="24"/>
                <w:lang w:eastAsia="zh-CN"/>
              </w:rPr>
              <w:t>设计</w:t>
            </w:r>
            <w:r>
              <w:rPr>
                <w:rFonts w:hint="eastAsia" w:ascii="Times New Roman" w:hAnsi="宋体" w:eastAsia="宋体" w:cs="Times New Roman"/>
                <w:color w:val="auto"/>
                <w:sz w:val="24"/>
                <w:szCs w:val="24"/>
                <w:lang w:val="en-US" w:eastAsia="zh-CN"/>
              </w:rPr>
              <w:t>5口钻井</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根据井下煤层开采空间的位置、地面构建筑情况，本次钻孔布置3个地面施工场地，分别为1#场地、2#场地、3#场地，均位于</w:t>
            </w:r>
            <w:r>
              <w:rPr>
                <w:rFonts w:hint="eastAsia" w:ascii="Times New Roman" w:hAnsi="Times New Roman" w:eastAsia="宋体" w:cs="Times New Roman"/>
                <w:color w:val="auto"/>
                <w:sz w:val="24"/>
                <w:szCs w:val="24"/>
                <w:lang w:eastAsia="zh-CN"/>
              </w:rPr>
              <w:t>潘集区潘集镇小圩村</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Cs/>
                <w:color w:val="auto"/>
                <w:sz w:val="24"/>
                <w:szCs w:val="24"/>
                <w:lang w:eastAsia="zh-CN"/>
              </w:rPr>
              <w:t>详细</w:t>
            </w:r>
            <w:r>
              <w:rPr>
                <w:rFonts w:ascii="Times New Roman" w:hAnsi="Times New Roman" w:eastAsia="宋体" w:cs="Times New Roman"/>
                <w:bCs/>
                <w:color w:val="auto"/>
                <w:sz w:val="24"/>
                <w:szCs w:val="24"/>
              </w:rPr>
              <w:t>地理位置图见附图</w:t>
            </w:r>
            <w:r>
              <w:rPr>
                <w:rFonts w:hint="eastAsia" w:ascii="Times New Roman" w:hAnsi="Times New Roman" w:eastAsia="宋体" w:cs="Times New Roman"/>
                <w:bCs/>
                <w:color w:val="auto"/>
                <w:sz w:val="24"/>
                <w:szCs w:val="24"/>
              </w:rPr>
              <w:t>1。</w:t>
            </w:r>
          </w:p>
        </w:tc>
      </w:tr>
      <w:tr w14:paraId="0345A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1" w:hRule="atLeast"/>
          <w:jc w:val="center"/>
        </w:trPr>
        <w:tc>
          <w:tcPr>
            <w:tcW w:w="331" w:type="pct"/>
            <w:vAlign w:val="center"/>
          </w:tcPr>
          <w:p w14:paraId="3BFA6745">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项目组成及规模</w:t>
            </w:r>
          </w:p>
        </w:tc>
        <w:tc>
          <w:tcPr>
            <w:tcW w:w="4669" w:type="pct"/>
            <w:vAlign w:val="center"/>
          </w:tcPr>
          <w:p w14:paraId="1BFA48C0">
            <w:pPr>
              <w:spacing w:line="360" w:lineRule="auto"/>
              <w:ind w:firstLine="480" w:firstLineChars="200"/>
              <w:rPr>
                <w:rFonts w:hint="default"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1、项目背景</w:t>
            </w:r>
          </w:p>
          <w:p w14:paraId="41D5AD72">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根据朱集东煤矿矿井生产接替规划，朱集东煤矿1262（1）工作面将于2026年7月份投产，1262</w:t>
            </w:r>
            <w:bookmarkStart w:id="2" w:name="OLE_LINK1"/>
            <w:r>
              <w:rPr>
                <w:rFonts w:hint="eastAsia" w:ascii="Times New Roman" w:hAnsi="Times New Roman" w:eastAsia="宋体" w:cs="Times New Roman"/>
                <w:color w:val="auto"/>
                <w:kern w:val="0"/>
                <w:sz w:val="24"/>
                <w:szCs w:val="24"/>
                <w:lang w:eastAsia="zh-CN"/>
              </w:rPr>
              <w:t>（1）</w:t>
            </w:r>
            <w:bookmarkEnd w:id="2"/>
            <w:r>
              <w:rPr>
                <w:rFonts w:hint="eastAsia" w:ascii="Times New Roman" w:hAnsi="Times New Roman" w:eastAsia="宋体" w:cs="Times New Roman"/>
                <w:color w:val="auto"/>
                <w:kern w:val="0"/>
                <w:sz w:val="24"/>
                <w:szCs w:val="24"/>
                <w:lang w:eastAsia="zh-CN"/>
              </w:rPr>
              <w:t>工作面位于西一C组煤层盘区，开采11-2煤，是13-1煤层的下保护层工作面，被保护工作面为1262（3）工作面。1262（1）工作面倾斜长220m，回采走向长度1296m。</w:t>
            </w:r>
          </w:p>
          <w:p w14:paraId="6FDC06BF">
            <w:pPr>
              <w:spacing w:line="360" w:lineRule="auto"/>
              <w:ind w:firstLine="480" w:firstLineChars="200"/>
              <w:rPr>
                <w:rFonts w:hint="eastAsia" w:ascii="Times New Roman" w:hAnsi="宋体" w:cs="Times New Roman" w:eastAsiaTheme="minorEastAsia"/>
                <w:color w:val="auto"/>
                <w:sz w:val="24"/>
                <w:szCs w:val="24"/>
                <w:lang w:eastAsia="zh-CN"/>
              </w:rPr>
            </w:pPr>
            <w:r>
              <w:rPr>
                <w:rFonts w:hint="eastAsia" w:ascii="Times New Roman" w:hAnsi="Times New Roman" w:eastAsia="宋体" w:cs="Times New Roman"/>
                <w:color w:val="auto"/>
                <w:kern w:val="0"/>
                <w:sz w:val="24"/>
                <w:szCs w:val="24"/>
              </w:rPr>
              <w:t>根据工作面安全生产及瓦斯治理需要</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确保1262（1）工作面安全回采和1262（3）工作面卸压瓦斯抽采，本次</w:t>
            </w:r>
            <w:r>
              <w:rPr>
                <w:rFonts w:hint="eastAsia" w:ascii="Times New Roman" w:hAnsi="Times New Roman" w:eastAsia="宋体" w:cs="Times New Roman"/>
                <w:color w:val="auto"/>
                <w:kern w:val="0"/>
                <w:sz w:val="24"/>
                <w:szCs w:val="24"/>
                <w:lang w:eastAsia="zh-CN"/>
              </w:rPr>
              <w:t>拟</w:t>
            </w:r>
            <w:r>
              <w:rPr>
                <w:rFonts w:hint="eastAsia" w:ascii="Times New Roman" w:hAnsi="Times New Roman" w:eastAsia="宋体" w:cs="Times New Roman"/>
                <w:color w:val="auto"/>
                <w:kern w:val="0"/>
                <w:sz w:val="24"/>
                <w:szCs w:val="24"/>
              </w:rPr>
              <w:t>在1262（1）工作面布置地面钻井</w:t>
            </w:r>
            <w:r>
              <w:rPr>
                <w:rFonts w:hint="eastAsia" w:ascii="Times New Roman" w:hAnsi="Times New Roman" w:eastAsia="宋体" w:cs="Times New Roman"/>
                <w:color w:val="auto"/>
                <w:kern w:val="0"/>
                <w:sz w:val="24"/>
                <w:szCs w:val="24"/>
                <w:lang w:eastAsia="zh-CN"/>
              </w:rPr>
              <w:t>用于勘查项目区地质情况，勘查</w:t>
            </w:r>
            <w:r>
              <w:rPr>
                <w:rFonts w:hint="eastAsia" w:asciiTheme="minorHAnsi" w:hAnsiTheme="minorHAnsi" w:eastAsiaTheme="minorEastAsia" w:cstheme="minorBidi"/>
                <w:color w:val="auto"/>
                <w:kern w:val="2"/>
                <w:sz w:val="24"/>
                <w:szCs w:val="22"/>
                <w:lang w:val="en-US" w:eastAsia="zh-CN" w:bidi="ar-SA"/>
              </w:rPr>
              <w:t>新地层及基岩段岩性，准确掌握13-1、11-2煤层的位置及厚度</w:t>
            </w:r>
            <w:r>
              <w:rPr>
                <w:rFonts w:hint="eastAsia" w:cstheme="minorBidi"/>
                <w:color w:val="auto"/>
                <w:kern w:val="2"/>
                <w:sz w:val="24"/>
                <w:szCs w:val="22"/>
                <w:lang w:val="en-US" w:eastAsia="zh-CN" w:bidi="ar-SA"/>
              </w:rPr>
              <w:t>。</w:t>
            </w:r>
            <w:r>
              <w:rPr>
                <w:rFonts w:hint="eastAsia" w:ascii="Times New Roman" w:hAnsi="Times New Roman" w:eastAsia="宋体" w:cs="Times New Roman"/>
                <w:color w:val="auto"/>
                <w:kern w:val="0"/>
                <w:sz w:val="24"/>
                <w:szCs w:val="24"/>
              </w:rPr>
              <w:t>根据工作面几何尺寸、地面构建筑情况，结合矿井以往钻井布置情况，本次共</w:t>
            </w:r>
            <w:r>
              <w:rPr>
                <w:rFonts w:hint="eastAsia" w:ascii="Times New Roman" w:hAnsi="Times New Roman" w:eastAsia="宋体" w:cs="Times New Roman"/>
                <w:color w:val="auto"/>
                <w:kern w:val="0"/>
                <w:sz w:val="24"/>
                <w:szCs w:val="24"/>
                <w:lang w:eastAsia="zh-CN"/>
              </w:rPr>
              <w:t>设计</w:t>
            </w:r>
            <w:r>
              <w:rPr>
                <w:rFonts w:hint="eastAsia" w:ascii="Times New Roman" w:hAnsi="Times New Roman" w:eastAsia="宋体" w:cs="Times New Roman"/>
                <w:color w:val="auto"/>
                <w:kern w:val="0"/>
                <w:sz w:val="24"/>
                <w:szCs w:val="24"/>
              </w:rPr>
              <w:t>布置</w:t>
            </w:r>
            <w:r>
              <w:rPr>
                <w:rFonts w:hint="eastAsia" w:ascii="Times New Roman" w:hAnsi="Times New Roman" w:eastAsia="宋体" w:cs="Times New Roman"/>
                <w:color w:val="auto"/>
                <w:kern w:val="0"/>
                <w:sz w:val="24"/>
                <w:szCs w:val="24"/>
                <w:lang w:val="en-US" w:eastAsia="zh-CN"/>
              </w:rPr>
              <w:t>5</w:t>
            </w:r>
            <w:r>
              <w:rPr>
                <w:rFonts w:hint="eastAsia" w:ascii="Times New Roman" w:hAnsi="Times New Roman" w:eastAsia="宋体" w:cs="Times New Roman"/>
                <w:color w:val="auto"/>
                <w:kern w:val="0"/>
                <w:sz w:val="24"/>
                <w:szCs w:val="24"/>
              </w:rPr>
              <w:t>口地面钻井</w:t>
            </w:r>
            <w:r>
              <w:rPr>
                <w:rFonts w:hint="eastAsia" w:ascii="Times New Roman" w:hAnsi="Times New Roman" w:eastAsia="宋体" w:cs="Times New Roman"/>
                <w:color w:val="auto"/>
                <w:kern w:val="0"/>
                <w:sz w:val="24"/>
                <w:szCs w:val="24"/>
                <w:lang w:eastAsia="zh-CN"/>
              </w:rPr>
              <w:t>，分别为</w:t>
            </w:r>
            <w:r>
              <w:rPr>
                <w:rFonts w:hint="eastAsia" w:ascii="Times New Roman" w:hAnsi="Times New Roman" w:eastAsia="宋体" w:cs="Times New Roman"/>
                <w:color w:val="auto"/>
                <w:kern w:val="0"/>
                <w:sz w:val="24"/>
                <w:szCs w:val="24"/>
              </w:rPr>
              <w:t>1#、2#</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6#、7#</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8#，采用Ⅲ型钻井结构；同时设计了工作面钻井支管连接方式、地面防雷接地系统等</w:t>
            </w:r>
            <w:r>
              <w:rPr>
                <w:rFonts w:hint="eastAsia" w:ascii="Times New Roman" w:hAnsi="Times New Roman" w:eastAsia="宋体" w:cs="Times New Roman"/>
                <w:color w:val="auto"/>
                <w:kern w:val="0"/>
                <w:sz w:val="24"/>
                <w:szCs w:val="24"/>
                <w:lang w:eastAsia="zh-CN"/>
              </w:rPr>
              <w:t>，本次仅为地面钻井工程，不涉及瓦斯抽采。</w:t>
            </w:r>
          </w:p>
          <w:p w14:paraId="5BE0479C">
            <w:pPr>
              <w:spacing w:line="360" w:lineRule="auto"/>
              <w:ind w:firstLine="480" w:firstLineChars="200"/>
              <w:rPr>
                <w:rFonts w:hint="eastAsia" w:ascii="Times New Roman" w:hAnsi="宋体" w:eastAsia="宋体" w:cs="Times New Roman"/>
                <w:color w:val="auto"/>
                <w:sz w:val="24"/>
                <w:szCs w:val="24"/>
                <w:highlight w:val="none"/>
                <w:lang w:eastAsia="zh-CN"/>
              </w:rPr>
            </w:pPr>
            <w:r>
              <w:rPr>
                <w:rFonts w:hint="eastAsia" w:ascii="Times New Roman" w:hAnsi="宋体" w:eastAsia="宋体" w:cs="Times New Roman"/>
                <w:color w:val="auto"/>
                <w:sz w:val="24"/>
                <w:szCs w:val="24"/>
                <w:highlight w:val="none"/>
                <w:lang w:eastAsia="zh-CN"/>
              </w:rPr>
              <w:t>本项目于202</w:t>
            </w:r>
            <w:r>
              <w:rPr>
                <w:rFonts w:hint="eastAsia" w:ascii="Times New Roman" w:hAnsi="宋体" w:eastAsia="宋体" w:cs="Times New Roman"/>
                <w:color w:val="auto"/>
                <w:sz w:val="24"/>
                <w:szCs w:val="24"/>
                <w:highlight w:val="none"/>
                <w:lang w:val="en-US" w:eastAsia="zh-CN"/>
              </w:rPr>
              <w:t>5</w:t>
            </w:r>
            <w:r>
              <w:rPr>
                <w:rFonts w:hint="eastAsia" w:ascii="Times New Roman" w:hAnsi="宋体" w:eastAsia="宋体" w:cs="Times New Roman"/>
                <w:color w:val="auto"/>
                <w:sz w:val="24"/>
                <w:szCs w:val="24"/>
                <w:highlight w:val="none"/>
                <w:lang w:eastAsia="zh-CN"/>
              </w:rPr>
              <w:t>年</w:t>
            </w:r>
            <w:r>
              <w:rPr>
                <w:rFonts w:hint="eastAsia" w:ascii="Times New Roman" w:hAnsi="宋体" w:eastAsia="宋体" w:cs="Times New Roman"/>
                <w:color w:val="auto"/>
                <w:sz w:val="24"/>
                <w:szCs w:val="24"/>
                <w:highlight w:val="none"/>
                <w:lang w:val="en-US" w:eastAsia="zh-CN"/>
              </w:rPr>
              <w:t>3</w:t>
            </w:r>
            <w:r>
              <w:rPr>
                <w:rFonts w:hint="eastAsia" w:ascii="Times New Roman" w:hAnsi="宋体" w:eastAsia="宋体" w:cs="Times New Roman"/>
                <w:color w:val="auto"/>
                <w:sz w:val="24"/>
                <w:szCs w:val="24"/>
                <w:highlight w:val="none"/>
                <w:lang w:eastAsia="zh-CN"/>
              </w:rPr>
              <w:t>月</w:t>
            </w:r>
            <w:r>
              <w:rPr>
                <w:rFonts w:hint="eastAsia" w:ascii="Times New Roman" w:hAnsi="宋体" w:eastAsia="宋体" w:cs="Times New Roman"/>
                <w:color w:val="auto"/>
                <w:sz w:val="24"/>
                <w:szCs w:val="24"/>
                <w:highlight w:val="none"/>
                <w:lang w:val="en-US" w:eastAsia="zh-CN"/>
              </w:rPr>
              <w:t>19</w:t>
            </w:r>
            <w:r>
              <w:rPr>
                <w:rFonts w:hint="eastAsia" w:ascii="Times New Roman" w:hAnsi="宋体" w:eastAsia="宋体" w:cs="Times New Roman"/>
                <w:color w:val="auto"/>
                <w:sz w:val="24"/>
                <w:szCs w:val="24"/>
                <w:highlight w:val="none"/>
                <w:lang w:eastAsia="zh-CN"/>
              </w:rPr>
              <w:t>日经潘集区发展和改革委员会备案，项目代码为2503-340406-04-05-534109。</w:t>
            </w:r>
          </w:p>
          <w:p w14:paraId="6D9B6C8F">
            <w:pPr>
              <w:spacing w:line="360" w:lineRule="auto"/>
              <w:ind w:firstLine="480" w:firstLineChars="200"/>
              <w:rPr>
                <w:rFonts w:ascii="Times New Roman" w:hAnsi="宋体" w:eastAsia="宋体" w:cs="Times New Roman"/>
                <w:color w:val="auto"/>
                <w:sz w:val="24"/>
                <w:szCs w:val="24"/>
                <w:highlight w:val="none"/>
              </w:rPr>
            </w:pPr>
            <w:r>
              <w:rPr>
                <w:rFonts w:ascii="Times New Roman" w:hAnsi="Times New Roman" w:eastAsia="宋体" w:cs="Times New Roman"/>
                <w:color w:val="auto"/>
                <w:kern w:val="0"/>
                <w:sz w:val="24"/>
                <w:szCs w:val="24"/>
              </w:rPr>
              <w:t>根据《中华人民共和国环境保护</w:t>
            </w:r>
            <w:r>
              <w:rPr>
                <w:rFonts w:ascii="Times New Roman" w:hAnsi="宋体" w:eastAsia="宋体" w:cs="Times New Roman"/>
                <w:color w:val="auto"/>
                <w:sz w:val="24"/>
                <w:szCs w:val="24"/>
              </w:rPr>
              <w:t>法》《建设项目环境保护管理条列》和《建设项目环境影响评价分类管理名录》（</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21</w:t>
            </w:r>
            <w:r>
              <w:rPr>
                <w:rFonts w:ascii="Times New Roman" w:hAnsi="宋体" w:eastAsia="宋体" w:cs="Times New Roman"/>
                <w:color w:val="auto"/>
                <w:sz w:val="24"/>
                <w:szCs w:val="24"/>
              </w:rPr>
              <w:t>年版）</w:t>
            </w:r>
            <w:r>
              <w:rPr>
                <w:rFonts w:ascii="Times New Roman" w:hAnsi="宋体" w:eastAsia="宋体" w:cs="Times New Roman"/>
                <w:color w:val="auto"/>
                <w:sz w:val="24"/>
                <w:szCs w:val="24"/>
                <w:highlight w:val="none"/>
              </w:rPr>
              <w:t>，本项目属于</w:t>
            </w:r>
            <w:r>
              <w:rPr>
                <w:rFonts w:ascii="Times New Roman" w:hAnsi="Times New Roman" w:eastAsia="宋体" w:cs="Times New Roman"/>
                <w:color w:val="auto"/>
                <w:sz w:val="24"/>
                <w:szCs w:val="24"/>
                <w:highlight w:val="none"/>
              </w:rPr>
              <w:t>“</w:t>
            </w:r>
            <w:r>
              <w:rPr>
                <w:rFonts w:ascii="Times New Roman" w:hAnsi="宋体" w:eastAsia="宋体" w:cs="Times New Roman"/>
                <w:color w:val="auto"/>
                <w:sz w:val="24"/>
                <w:szCs w:val="24"/>
                <w:highlight w:val="none"/>
              </w:rPr>
              <w:t>四十六、专业技术服务业</w:t>
            </w:r>
            <w:r>
              <w:rPr>
                <w:rFonts w:ascii="Times New Roman" w:hAnsi="Times New Roman" w:eastAsia="宋体" w:cs="Times New Roman"/>
                <w:color w:val="auto"/>
                <w:sz w:val="24"/>
                <w:szCs w:val="24"/>
                <w:highlight w:val="none"/>
              </w:rPr>
              <w:t>99</w:t>
            </w:r>
            <w:r>
              <w:rPr>
                <w:rFonts w:ascii="Times New Roman" w:hAnsi="宋体" w:eastAsia="宋体" w:cs="Times New Roman"/>
                <w:color w:val="auto"/>
                <w:sz w:val="24"/>
                <w:szCs w:val="24"/>
                <w:highlight w:val="none"/>
              </w:rPr>
              <w:t>中的陆地矿产资源地质勘查（含油气资源勘探）；二氧化碳地质封存</w:t>
            </w:r>
            <w:r>
              <w:rPr>
                <w:rFonts w:ascii="Times New Roman" w:hAnsi="Times New Roman" w:eastAsia="宋体" w:cs="Times New Roman"/>
                <w:color w:val="auto"/>
                <w:sz w:val="24"/>
                <w:szCs w:val="24"/>
                <w:highlight w:val="none"/>
              </w:rPr>
              <w:t>”</w:t>
            </w:r>
            <w:r>
              <w:rPr>
                <w:rFonts w:ascii="Times New Roman" w:hAnsi="宋体" w:eastAsia="宋体" w:cs="Times New Roman"/>
                <w:color w:val="auto"/>
                <w:sz w:val="24"/>
                <w:szCs w:val="24"/>
                <w:highlight w:val="none"/>
              </w:rPr>
              <w:t>，</w:t>
            </w:r>
            <w:r>
              <w:rPr>
                <w:rFonts w:hint="eastAsia" w:ascii="Times New Roman" w:hAnsi="宋体" w:eastAsia="宋体" w:cs="Times New Roman"/>
                <w:color w:val="auto"/>
                <w:sz w:val="24"/>
                <w:szCs w:val="24"/>
                <w:highlight w:val="none"/>
              </w:rPr>
              <w:t>应</w:t>
            </w:r>
            <w:r>
              <w:rPr>
                <w:rFonts w:ascii="Times New Roman" w:hAnsi="宋体" w:eastAsia="宋体" w:cs="Times New Roman"/>
                <w:color w:val="auto"/>
                <w:sz w:val="24"/>
                <w:szCs w:val="24"/>
              </w:rPr>
              <w:t>编制环境影响报告表</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kern w:val="0"/>
                <w:sz w:val="24"/>
                <w:szCs w:val="24"/>
                <w:lang w:eastAsia="zh-CN"/>
              </w:rPr>
              <w:t>淮南矿业（集团）有限责任公司朱集东煤矿</w:t>
            </w:r>
            <w:r>
              <w:rPr>
                <w:rFonts w:ascii="Times New Roman" w:hAnsi="宋体" w:eastAsia="宋体" w:cs="Times New Roman"/>
                <w:color w:val="auto"/>
                <w:sz w:val="24"/>
                <w:szCs w:val="24"/>
              </w:rPr>
              <w:t>委托我公司对</w:t>
            </w:r>
            <w:r>
              <w:rPr>
                <w:rFonts w:hint="eastAsia" w:ascii="Times New Roman" w:hAnsi="Times New Roman" w:eastAsia="宋体" w:cs="Times New Roman"/>
                <w:color w:val="auto"/>
                <w:sz w:val="24"/>
                <w:szCs w:val="24"/>
                <w:lang w:eastAsia="zh-CN"/>
              </w:rPr>
              <w:t>“</w:t>
            </w:r>
            <w:r>
              <w:rPr>
                <w:rFonts w:hint="eastAsia" w:ascii="Times New Roman" w:hAnsi="宋体" w:eastAsia="宋体" w:cs="Times New Roman"/>
                <w:color w:val="auto"/>
                <w:sz w:val="24"/>
                <w:szCs w:val="24"/>
                <w:lang w:eastAsia="zh-CN"/>
              </w:rPr>
              <w:t>朱集东煤矿1262（1）工作面地面钻井工程</w:t>
            </w:r>
            <w:r>
              <w:rPr>
                <w:rFonts w:hint="eastAsia" w:ascii="Times New Roman" w:hAnsi="Times New Roman" w:eastAsia="宋体" w:cs="Times New Roman"/>
                <w:color w:val="auto"/>
                <w:sz w:val="24"/>
                <w:szCs w:val="24"/>
                <w:lang w:eastAsia="zh-CN"/>
              </w:rPr>
              <w:t>”</w:t>
            </w:r>
            <w:r>
              <w:rPr>
                <w:rFonts w:ascii="Times New Roman" w:hAnsi="宋体" w:eastAsia="宋体" w:cs="Times New Roman"/>
                <w:color w:val="auto"/>
                <w:sz w:val="24"/>
                <w:szCs w:val="24"/>
              </w:rPr>
              <w:t>进行环境影响评价工作。接受委托后我单位即组织有关技术人员进行现场踏勘、收集资料。依据国家环境保护有关文件，编制了该项目环境影响报告表，报请生态环境行政主管部门审查、审批，以期为项目管理提供参考依据。</w:t>
            </w:r>
            <w:r>
              <w:rPr>
                <w:rFonts w:hint="eastAsia" w:ascii="Times New Roman" w:hAnsi="宋体" w:eastAsia="宋体" w:cs="Times New Roman"/>
                <w:color w:val="auto"/>
                <w:sz w:val="24"/>
                <w:szCs w:val="24"/>
              </w:rPr>
              <w:t>项目</w:t>
            </w:r>
            <w:r>
              <w:rPr>
                <w:rFonts w:ascii="Times New Roman" w:hAnsi="宋体" w:eastAsia="宋体" w:cs="Times New Roman"/>
                <w:color w:val="auto"/>
                <w:sz w:val="24"/>
                <w:szCs w:val="24"/>
              </w:rPr>
              <w:t>环评类别判定依据如下。</w:t>
            </w:r>
          </w:p>
          <w:p w14:paraId="023C7387">
            <w:pPr>
              <w:pStyle w:val="97"/>
              <w:numPr>
                <w:ilvl w:val="1"/>
                <w:numId w:val="2"/>
              </w:numPr>
              <w:tabs>
                <w:tab w:val="left" w:pos="2100"/>
                <w:tab w:val="clear" w:pos="1440"/>
              </w:tabs>
              <w:spacing w:line="240" w:lineRule="auto"/>
              <w:ind w:left="3300" w:leftChars="0" w:hanging="1200" w:firstLineChars="0"/>
              <w:jc w:val="both"/>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建设项目环境影响评价分类管理名录</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93"/>
              <w:gridCol w:w="1456"/>
              <w:gridCol w:w="2472"/>
              <w:gridCol w:w="1541"/>
            </w:tblGrid>
            <w:tr w14:paraId="574CD6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08" w:type="pct"/>
                  <w:tcBorders>
                    <w:top w:val="single" w:color="auto" w:sz="12" w:space="0"/>
                    <w:left w:val="nil"/>
                    <w:bottom w:val="single" w:color="auto" w:sz="6" w:space="0"/>
                    <w:right w:val="single" w:color="auto" w:sz="6" w:space="0"/>
                    <w:tl2br w:val="single" w:color="auto" w:sz="6" w:space="0"/>
                  </w:tcBorders>
                  <w:vAlign w:val="center"/>
                </w:tcPr>
                <w:p w14:paraId="544D9114">
                  <w:pPr>
                    <w:spacing w:line="276" w:lineRule="auto"/>
                    <w:jc w:val="right"/>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环评类别</w:t>
                  </w:r>
                </w:p>
                <w:p w14:paraId="381BF780">
                  <w:pPr>
                    <w:spacing w:line="276" w:lineRule="auto"/>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项目类别</w:t>
                  </w:r>
                </w:p>
              </w:tc>
              <w:tc>
                <w:tcPr>
                  <w:tcW w:w="903" w:type="pct"/>
                  <w:tcBorders>
                    <w:top w:val="single" w:color="auto" w:sz="12" w:space="0"/>
                    <w:left w:val="single" w:color="auto" w:sz="6" w:space="0"/>
                    <w:bottom w:val="single" w:color="auto" w:sz="6" w:space="0"/>
                    <w:right w:val="single" w:color="auto" w:sz="6" w:space="0"/>
                  </w:tcBorders>
                  <w:vAlign w:val="center"/>
                </w:tcPr>
                <w:p w14:paraId="5CA415D8">
                  <w:pPr>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报告书</w:t>
                  </w:r>
                </w:p>
              </w:tc>
              <w:tc>
                <w:tcPr>
                  <w:tcW w:w="1533" w:type="pct"/>
                  <w:tcBorders>
                    <w:top w:val="single" w:color="auto" w:sz="12" w:space="0"/>
                    <w:left w:val="single" w:color="auto" w:sz="6" w:space="0"/>
                    <w:bottom w:val="single" w:color="auto" w:sz="6" w:space="0"/>
                    <w:right w:val="single" w:color="auto" w:sz="6" w:space="0"/>
                  </w:tcBorders>
                  <w:shd w:val="clear" w:color="auto" w:fill="D9D9D9"/>
                  <w:vAlign w:val="center"/>
                </w:tcPr>
                <w:p w14:paraId="0E600A0B">
                  <w:pPr>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报告表</w:t>
                  </w:r>
                </w:p>
              </w:tc>
              <w:tc>
                <w:tcPr>
                  <w:tcW w:w="956" w:type="pct"/>
                  <w:tcBorders>
                    <w:top w:val="single" w:color="auto" w:sz="12" w:space="0"/>
                    <w:left w:val="single" w:color="auto" w:sz="6" w:space="0"/>
                    <w:bottom w:val="single" w:color="auto" w:sz="6" w:space="0"/>
                    <w:right w:val="nil"/>
                  </w:tcBorders>
                  <w:vAlign w:val="center"/>
                </w:tcPr>
                <w:p w14:paraId="1C438C7B">
                  <w:pPr>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登记表</w:t>
                  </w:r>
                </w:p>
              </w:tc>
            </w:tr>
            <w:tr w14:paraId="412ADC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4"/>
                  <w:tcBorders>
                    <w:top w:val="single" w:color="auto" w:sz="6" w:space="0"/>
                    <w:left w:val="nil"/>
                    <w:bottom w:val="single" w:color="auto" w:sz="6" w:space="0"/>
                    <w:right w:val="nil"/>
                  </w:tcBorders>
                  <w:vAlign w:val="center"/>
                </w:tcPr>
                <w:p w14:paraId="08B6D769">
                  <w:pPr>
                    <w:spacing w:line="276" w:lineRule="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4"/>
                      <w:highlight w:val="none"/>
                    </w:rPr>
                    <w:t>四十六</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专业技术服务业</w:t>
                  </w:r>
                </w:p>
              </w:tc>
            </w:tr>
            <w:tr w14:paraId="71D837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08" w:type="pct"/>
                  <w:tcBorders>
                    <w:top w:val="single" w:color="auto" w:sz="6" w:space="0"/>
                    <w:left w:val="nil"/>
                    <w:bottom w:val="single" w:color="auto" w:sz="12" w:space="0"/>
                    <w:right w:val="single" w:color="auto" w:sz="6" w:space="0"/>
                  </w:tcBorders>
                  <w:vAlign w:val="center"/>
                </w:tcPr>
                <w:p w14:paraId="7403FFA4">
                  <w:pPr>
                    <w:autoSpaceDE w:val="0"/>
                    <w:autoSpaceDN w:val="0"/>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4"/>
                      <w:highlight w:val="none"/>
                    </w:rPr>
                    <w:t>99  陆地矿产资源地质勘查（含油气资源勘探）；二氧化碳地质封存</w:t>
                  </w:r>
                </w:p>
              </w:tc>
              <w:tc>
                <w:tcPr>
                  <w:tcW w:w="903" w:type="pct"/>
                  <w:tcBorders>
                    <w:top w:val="single" w:color="auto" w:sz="6" w:space="0"/>
                    <w:left w:val="single" w:color="auto" w:sz="6" w:space="0"/>
                    <w:bottom w:val="single" w:color="auto" w:sz="12" w:space="0"/>
                    <w:right w:val="single" w:color="auto" w:sz="6" w:space="0"/>
                  </w:tcBorders>
                  <w:vAlign w:val="center"/>
                </w:tcPr>
                <w:p w14:paraId="09E2EC38">
                  <w:pPr>
                    <w:autoSpaceDE w:val="0"/>
                    <w:autoSpaceDN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4"/>
                      <w:highlight w:val="none"/>
                    </w:rPr>
                    <w:t>/</w:t>
                  </w:r>
                </w:p>
              </w:tc>
              <w:tc>
                <w:tcPr>
                  <w:tcW w:w="1533" w:type="pct"/>
                  <w:tcBorders>
                    <w:top w:val="single" w:color="auto" w:sz="6" w:space="0"/>
                    <w:left w:val="single" w:color="auto" w:sz="6" w:space="0"/>
                    <w:bottom w:val="single" w:color="auto" w:sz="12" w:space="0"/>
                    <w:right w:val="single" w:color="auto" w:sz="6" w:space="0"/>
                  </w:tcBorders>
                  <w:shd w:val="clear" w:color="auto" w:fill="D9D9D9"/>
                  <w:vAlign w:val="center"/>
                </w:tcPr>
                <w:p w14:paraId="5B3CD999">
                  <w:pPr>
                    <w:autoSpaceDE w:val="0"/>
                    <w:autoSpaceDN w:val="0"/>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4"/>
                      <w:highlight w:val="none"/>
                    </w:rPr>
                    <w:t>全部</w:t>
                  </w:r>
                </w:p>
              </w:tc>
              <w:tc>
                <w:tcPr>
                  <w:tcW w:w="956" w:type="pct"/>
                  <w:tcBorders>
                    <w:top w:val="single" w:color="auto" w:sz="6" w:space="0"/>
                    <w:left w:val="single" w:color="auto" w:sz="6" w:space="0"/>
                    <w:bottom w:val="single" w:color="auto" w:sz="12" w:space="0"/>
                    <w:right w:val="nil"/>
                  </w:tcBorders>
                  <w:vAlign w:val="center"/>
                </w:tcPr>
                <w:p w14:paraId="28F39114">
                  <w:pPr>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bl>
          <w:p w14:paraId="745735D7">
            <w:pPr>
              <w:spacing w:line="360" w:lineRule="auto"/>
              <w:ind w:firstLine="482" w:firstLineChars="200"/>
              <w:rPr>
                <w:rFonts w:hint="eastAsia" w:ascii="Times New Roman" w:hAnsi="宋体" w:eastAsia="宋体" w:cs="Times New Roman"/>
                <w:b/>
                <w:color w:val="auto"/>
                <w:sz w:val="24"/>
                <w:szCs w:val="24"/>
                <w:lang w:eastAsia="zh-CN"/>
              </w:rPr>
            </w:pPr>
            <w:r>
              <w:rPr>
                <w:rFonts w:hint="eastAsia" w:ascii="Times New Roman" w:hAnsi="宋体" w:eastAsia="宋体" w:cs="Times New Roman"/>
                <w:b/>
                <w:color w:val="auto"/>
                <w:sz w:val="24"/>
                <w:szCs w:val="24"/>
                <w:lang w:val="en-US" w:eastAsia="zh-CN"/>
              </w:rPr>
              <w:t>2、</w:t>
            </w:r>
            <w:r>
              <w:rPr>
                <w:rFonts w:hint="eastAsia" w:ascii="Times New Roman" w:hAnsi="宋体" w:eastAsia="宋体" w:cs="Times New Roman"/>
                <w:b/>
                <w:color w:val="auto"/>
                <w:sz w:val="24"/>
                <w:szCs w:val="24"/>
              </w:rPr>
              <w:t>项目</w:t>
            </w:r>
            <w:r>
              <w:rPr>
                <w:rFonts w:hint="eastAsia" w:ascii="Times New Roman" w:hAnsi="宋体" w:eastAsia="宋体" w:cs="Times New Roman"/>
                <w:b/>
                <w:color w:val="auto"/>
                <w:sz w:val="24"/>
                <w:szCs w:val="24"/>
                <w:lang w:eastAsia="zh-CN"/>
              </w:rPr>
              <w:t>建设内容</w:t>
            </w:r>
          </w:p>
          <w:p w14:paraId="0D9AB899">
            <w:pPr>
              <w:spacing w:line="360" w:lineRule="auto"/>
              <w:ind w:firstLine="480" w:firstLineChars="200"/>
              <w:rPr>
                <w:rFonts w:hint="default"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eastAsia="zh-CN"/>
              </w:rPr>
              <w:t>本次钻井工程设计</w:t>
            </w:r>
            <w:r>
              <w:rPr>
                <w:rFonts w:hint="eastAsia" w:ascii="Times New Roman" w:hAnsi="宋体" w:eastAsia="宋体" w:cs="Times New Roman"/>
                <w:color w:val="auto"/>
                <w:sz w:val="24"/>
                <w:szCs w:val="24"/>
                <w:lang w:val="en-US" w:eastAsia="zh-CN"/>
              </w:rPr>
              <w:t>5口钻井</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钻井编号为1#、2#、6#、7#、8#，钻井深度分别为930.4米、934.5米、985.0米、984.0米、1519.7米，总深度5353.6米，钻井目标层选择13-1煤。根据井下13-1煤层开采空间的位置、地面构建筑情况，本次钻孔布置3个地面施工场地，1#场地施工1#钻孔，2#场地施工2#钻孔，3#场地施工6#、7#、8#钻孔，1#、2#采用大孔径钻井结构，6#、7#采用Ⅲ型钻井结构，8#采用L型水平采动卸压井结构。</w:t>
            </w:r>
          </w:p>
          <w:p w14:paraId="259CDCA6">
            <w:pPr>
              <w:spacing w:line="360" w:lineRule="auto"/>
              <w:ind w:firstLine="480" w:firstLineChars="200"/>
              <w:rPr>
                <w:rFonts w:ascii="Times New Roman" w:hAnsi="宋体" w:eastAsia="宋体" w:cs="Times New Roman"/>
                <w:color w:val="auto"/>
                <w:sz w:val="24"/>
                <w:szCs w:val="24"/>
              </w:rPr>
            </w:pPr>
            <w:r>
              <w:rPr>
                <w:rFonts w:hint="eastAsia" w:ascii="Times New Roman" w:hAnsi="宋体" w:eastAsia="宋体" w:cs="Times New Roman"/>
                <w:color w:val="auto"/>
                <w:sz w:val="24"/>
                <w:szCs w:val="24"/>
                <w:lang w:eastAsia="zh-CN"/>
              </w:rPr>
              <w:t>本</w:t>
            </w:r>
            <w:r>
              <w:rPr>
                <w:rFonts w:hint="eastAsia" w:ascii="Times New Roman" w:hAnsi="宋体" w:eastAsia="宋体" w:cs="Times New Roman"/>
                <w:color w:val="auto"/>
                <w:sz w:val="24"/>
                <w:szCs w:val="24"/>
              </w:rPr>
              <w:t>项目主要</w:t>
            </w:r>
            <w:r>
              <w:rPr>
                <w:rFonts w:hint="eastAsia" w:ascii="Times New Roman" w:hAnsi="宋体" w:eastAsia="宋体" w:cs="Times New Roman"/>
                <w:color w:val="auto"/>
                <w:sz w:val="24"/>
                <w:szCs w:val="24"/>
                <w:lang w:eastAsia="zh-CN"/>
              </w:rPr>
              <w:t>施工</w:t>
            </w:r>
            <w:r>
              <w:rPr>
                <w:rFonts w:hint="eastAsia" w:ascii="Times New Roman" w:hAnsi="宋体" w:eastAsia="宋体" w:cs="Times New Roman"/>
                <w:color w:val="auto"/>
                <w:sz w:val="24"/>
                <w:szCs w:val="24"/>
              </w:rPr>
              <w:t>内容见下表。</w:t>
            </w:r>
          </w:p>
          <w:p w14:paraId="17B00EB1">
            <w:pPr>
              <w:pStyle w:val="97"/>
              <w:numPr>
                <w:ilvl w:val="1"/>
                <w:numId w:val="2"/>
              </w:numPr>
              <w:tabs>
                <w:tab w:val="left" w:pos="2100"/>
                <w:tab w:val="clear" w:pos="1440"/>
              </w:tabs>
              <w:spacing w:line="240" w:lineRule="auto"/>
              <w:ind w:left="3300" w:leftChars="0" w:hanging="1200" w:firstLineChars="0"/>
              <w:jc w:val="both"/>
              <w:rPr>
                <w:rFonts w:hint="eastAsia" w:ascii="宋体" w:hAnsi="宋体" w:eastAsia="宋体" w:cs="宋体"/>
                <w:color w:val="auto"/>
                <w:sz w:val="24"/>
                <w:szCs w:val="20"/>
              </w:rPr>
            </w:pPr>
            <w:r>
              <w:rPr>
                <w:rFonts w:hint="eastAsia" w:ascii="宋体" w:hAnsi="宋体" w:eastAsia="宋体" w:cs="宋体"/>
                <w:color w:val="auto"/>
                <w:sz w:val="24"/>
                <w:szCs w:val="20"/>
              </w:rPr>
              <w:t>建设内容及规模一览表</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097"/>
              <w:gridCol w:w="6197"/>
            </w:tblGrid>
            <w:tr w14:paraId="2A37C3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76" w:type="pct"/>
                  <w:vAlign w:val="center"/>
                </w:tcPr>
                <w:p w14:paraId="71D4E09D">
                  <w:pPr>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工程类别</w:t>
                  </w:r>
                </w:p>
              </w:tc>
              <w:tc>
                <w:tcPr>
                  <w:tcW w:w="680" w:type="pct"/>
                  <w:vAlign w:val="center"/>
                </w:tcPr>
                <w:p w14:paraId="6EF6536D">
                  <w:pPr>
                    <w:autoSpaceDE w:val="0"/>
                    <w:autoSpaceDN w:val="0"/>
                    <w:adjustRightInd w:val="0"/>
                    <w:snapToGrid w:val="0"/>
                    <w:jc w:val="both"/>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项目名称</w:t>
                  </w:r>
                </w:p>
              </w:tc>
              <w:tc>
                <w:tcPr>
                  <w:tcW w:w="3843" w:type="pct"/>
                  <w:vAlign w:val="center"/>
                </w:tcPr>
                <w:p w14:paraId="03AC35CF">
                  <w:pPr>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工程</w:t>
                  </w:r>
                  <w:r>
                    <w:rPr>
                      <w:rFonts w:ascii="Times New Roman" w:hAnsi="Times New Roman" w:eastAsia="宋体" w:cs="Times New Roman"/>
                      <w:color w:val="auto"/>
                      <w:szCs w:val="21"/>
                      <w:highlight w:val="none"/>
                    </w:rPr>
                    <w:t>内容</w:t>
                  </w:r>
                </w:p>
              </w:tc>
            </w:tr>
            <w:tr w14:paraId="198C7A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76" w:type="pct"/>
                  <w:vMerge w:val="restart"/>
                  <w:vAlign w:val="center"/>
                </w:tcPr>
                <w:p w14:paraId="0877B378">
                  <w:pPr>
                    <w:autoSpaceDE w:val="0"/>
                    <w:autoSpaceDN w:val="0"/>
                    <w:adjustRightInd w:val="0"/>
                    <w:snapToGrid w:val="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主体</w:t>
                  </w:r>
                </w:p>
                <w:p w14:paraId="6E514943">
                  <w:pPr>
                    <w:autoSpaceDE w:val="0"/>
                    <w:autoSpaceDN w:val="0"/>
                    <w:adjustRightInd w:val="0"/>
                    <w:snapToGrid w:val="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w:t>
                  </w:r>
                </w:p>
              </w:tc>
              <w:tc>
                <w:tcPr>
                  <w:tcW w:w="680" w:type="pct"/>
                  <w:vAlign w:val="center"/>
                </w:tcPr>
                <w:p w14:paraId="4720591C">
                  <w:pPr>
                    <w:autoSpaceDE w:val="0"/>
                    <w:autoSpaceDN w:val="0"/>
                    <w:adjustRightInd w:val="0"/>
                    <w:snapToGrid w:val="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钻前工程</w:t>
                  </w:r>
                </w:p>
              </w:tc>
              <w:tc>
                <w:tcPr>
                  <w:tcW w:w="3843" w:type="pct"/>
                </w:tcPr>
                <w:p w14:paraId="1C709918">
                  <w:pPr>
                    <w:autoSpaceDE w:val="0"/>
                    <w:autoSpaceDN w:val="0"/>
                    <w:adjustRightInd w:val="0"/>
                    <w:snapToGrid w:val="0"/>
                    <w:jc w:val="left"/>
                    <w:rPr>
                      <w:rFonts w:ascii="Times New Roman" w:hAnsi="Times New Roman" w:eastAsia="宋体" w:cs="Times New Roman"/>
                      <w:bCs/>
                      <w:color w:val="auto"/>
                      <w:szCs w:val="21"/>
                      <w:highlight w:val="none"/>
                    </w:rPr>
                  </w:pPr>
                  <w:r>
                    <w:rPr>
                      <w:rFonts w:hint="eastAsia" w:ascii="Times New Roman" w:hAnsi="Times New Roman" w:cs="Times New Roman"/>
                      <w:bCs/>
                      <w:color w:val="auto"/>
                      <w:szCs w:val="21"/>
                      <w:highlight w:val="none"/>
                      <w:lang w:eastAsia="zh-CN"/>
                    </w:rPr>
                    <w:t>对各</w:t>
                  </w:r>
                  <w:r>
                    <w:rPr>
                      <w:rFonts w:ascii="Times New Roman" w:hAnsi="Times New Roman" w:cs="Times New Roman"/>
                      <w:bCs/>
                      <w:color w:val="auto"/>
                      <w:szCs w:val="21"/>
                      <w:highlight w:val="none"/>
                    </w:rPr>
                    <w:t>施工场区内</w:t>
                  </w:r>
                  <w:r>
                    <w:rPr>
                      <w:rFonts w:hint="eastAsia" w:ascii="Times New Roman" w:hAnsi="Times New Roman" w:cs="Times New Roman"/>
                      <w:bCs/>
                      <w:color w:val="auto"/>
                      <w:szCs w:val="21"/>
                      <w:highlight w:val="none"/>
                      <w:lang w:eastAsia="zh-CN"/>
                    </w:rPr>
                    <w:t>现状耕地</w:t>
                  </w:r>
                  <w:r>
                    <w:rPr>
                      <w:rFonts w:ascii="Times New Roman" w:hAnsi="Times New Roman" w:cs="Times New Roman"/>
                      <w:bCs/>
                      <w:color w:val="auto"/>
                      <w:szCs w:val="21"/>
                      <w:highlight w:val="none"/>
                    </w:rPr>
                    <w:t>部分表土进行剥离，</w:t>
                  </w:r>
                  <w:r>
                    <w:rPr>
                      <w:rFonts w:ascii="Times New Roman" w:hAnsi="Times New Roman" w:cs="Times New Roman"/>
                      <w:color w:val="auto"/>
                      <w:szCs w:val="21"/>
                      <w:highlight w:val="none"/>
                    </w:rPr>
                    <w:t>剥离表土集中堆放于场区</w:t>
                  </w:r>
                  <w:r>
                    <w:rPr>
                      <w:rFonts w:hint="eastAsia" w:ascii="Times New Roman" w:hAnsi="Times New Roman" w:cs="Times New Roman"/>
                      <w:color w:val="auto"/>
                      <w:szCs w:val="21"/>
                      <w:highlight w:val="none"/>
                      <w:lang w:eastAsia="zh-CN"/>
                    </w:rPr>
                    <w:t>一角</w:t>
                  </w:r>
                  <w:r>
                    <w:rPr>
                      <w:rFonts w:ascii="Times New Roman" w:hAnsi="Times New Roman" w:cs="Times New Roman"/>
                      <w:color w:val="auto"/>
                      <w:szCs w:val="21"/>
                      <w:highlight w:val="none"/>
                    </w:rPr>
                    <w:t>。对施工现场进行平整，施工</w:t>
                  </w:r>
                  <w:r>
                    <w:rPr>
                      <w:rFonts w:hint="eastAsia" w:ascii="Times New Roman" w:hAnsi="Times New Roman" w:cs="Times New Roman"/>
                      <w:color w:val="auto"/>
                      <w:szCs w:val="21"/>
                      <w:highlight w:val="none"/>
                      <w:lang w:eastAsia="zh-CN"/>
                    </w:rPr>
                    <w:t>便道</w:t>
                  </w:r>
                  <w:r>
                    <w:rPr>
                      <w:rFonts w:ascii="Times New Roman" w:hAnsi="Times New Roman" w:cs="Times New Roman"/>
                      <w:color w:val="auto"/>
                      <w:szCs w:val="21"/>
                      <w:highlight w:val="none"/>
                    </w:rPr>
                    <w:t>采取钢板或者其他材料铺垫，</w:t>
                  </w:r>
                  <w:r>
                    <w:rPr>
                      <w:rFonts w:ascii="Times New Roman" w:hAnsi="Times New Roman" w:eastAsia="宋体" w:cs="Times New Roman"/>
                      <w:color w:val="auto"/>
                      <w:szCs w:val="21"/>
                      <w:highlight w:val="none"/>
                    </w:rPr>
                    <w:t>安装钻塔、钻机等钻井设备，</w:t>
                  </w:r>
                  <w:r>
                    <w:rPr>
                      <w:rFonts w:ascii="Times New Roman" w:hAnsi="Times New Roman" w:cs="Times New Roman"/>
                      <w:bCs/>
                      <w:color w:val="auto"/>
                      <w:szCs w:val="21"/>
                      <w:highlight w:val="none"/>
                    </w:rPr>
                    <w:t>搭设临时</w:t>
                  </w:r>
                  <w:r>
                    <w:rPr>
                      <w:rFonts w:hint="eastAsia" w:ascii="Times New Roman" w:hAnsi="Times New Roman" w:cs="Times New Roman"/>
                      <w:bCs/>
                      <w:color w:val="auto"/>
                      <w:szCs w:val="21"/>
                      <w:highlight w:val="none"/>
                      <w:lang w:eastAsia="zh-CN"/>
                    </w:rPr>
                    <w:t>构筑物</w:t>
                  </w:r>
                  <w:r>
                    <w:rPr>
                      <w:rFonts w:ascii="Times New Roman" w:hAnsi="Times New Roman" w:cs="Times New Roman"/>
                      <w:bCs/>
                      <w:color w:val="auto"/>
                      <w:szCs w:val="21"/>
                      <w:highlight w:val="none"/>
                    </w:rPr>
                    <w:t>以及</w:t>
                  </w:r>
                  <w:r>
                    <w:rPr>
                      <w:rFonts w:hint="eastAsia" w:ascii="Times New Roman" w:hAnsi="Times New Roman" w:cs="Times New Roman"/>
                      <w:bCs/>
                      <w:color w:val="auto"/>
                      <w:szCs w:val="21"/>
                      <w:highlight w:val="none"/>
                      <w:lang w:eastAsia="zh-CN"/>
                    </w:rPr>
                    <w:t>泥浆池、沉砂池</w:t>
                  </w:r>
                  <w:r>
                    <w:rPr>
                      <w:rFonts w:ascii="Times New Roman" w:hAnsi="Times New Roman" w:eastAsia="宋体" w:cs="Times New Roman"/>
                      <w:color w:val="auto"/>
                      <w:szCs w:val="21"/>
                      <w:highlight w:val="none"/>
                    </w:rPr>
                    <w:t>等相关</w:t>
                  </w:r>
                  <w:r>
                    <w:rPr>
                      <w:rFonts w:ascii="Times New Roman" w:hAnsi="Times New Roman" w:cs="Times New Roman"/>
                      <w:bCs/>
                      <w:color w:val="auto"/>
                      <w:szCs w:val="21"/>
                      <w:highlight w:val="none"/>
                    </w:rPr>
                    <w:t>附属设施建设。</w:t>
                  </w:r>
                </w:p>
              </w:tc>
            </w:tr>
            <w:tr w14:paraId="2AAB76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vAlign w:val="center"/>
                </w:tcPr>
                <w:p w14:paraId="4B75E01F">
                  <w:pPr>
                    <w:autoSpaceDE w:val="0"/>
                    <w:autoSpaceDN w:val="0"/>
                    <w:adjustRightInd w:val="0"/>
                    <w:snapToGrid w:val="0"/>
                    <w:jc w:val="left"/>
                    <w:rPr>
                      <w:rFonts w:ascii="Times New Roman" w:hAnsi="Times New Roman" w:eastAsia="宋体" w:cs="Times New Roman"/>
                      <w:color w:val="auto"/>
                      <w:szCs w:val="21"/>
                      <w:highlight w:val="none"/>
                    </w:rPr>
                  </w:pPr>
                </w:p>
              </w:tc>
              <w:tc>
                <w:tcPr>
                  <w:tcW w:w="680" w:type="pct"/>
                  <w:vAlign w:val="center"/>
                </w:tcPr>
                <w:p w14:paraId="465F4FCC">
                  <w:pPr>
                    <w:autoSpaceDE w:val="0"/>
                    <w:autoSpaceDN w:val="0"/>
                    <w:adjustRightInd w:val="0"/>
                    <w:snapToGrid w:val="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钻孔工程</w:t>
                  </w:r>
                </w:p>
              </w:tc>
              <w:tc>
                <w:tcPr>
                  <w:tcW w:w="3843" w:type="pct"/>
                </w:tcPr>
                <w:p w14:paraId="6538A165">
                  <w:pPr>
                    <w:autoSpaceDE w:val="0"/>
                    <w:autoSpaceDN w:val="0"/>
                    <w:adjustRightInd w:val="0"/>
                    <w:snapToGrid w:val="0"/>
                    <w:jc w:val="left"/>
                    <w:rPr>
                      <w:rFonts w:ascii="Times New Roman" w:hAnsi="Times New Roman" w:eastAsia="宋体" w:cs="Times New Roman"/>
                      <w:color w:val="auto"/>
                      <w:szCs w:val="21"/>
                      <w:highlight w:val="none"/>
                    </w:rPr>
                  </w:pPr>
                  <w:r>
                    <w:rPr>
                      <w:rFonts w:hint="eastAsia" w:ascii="Times New Roman" w:hAnsi="宋体" w:eastAsia="宋体" w:cs="Times New Roman"/>
                      <w:color w:val="auto"/>
                      <w:sz w:val="24"/>
                      <w:szCs w:val="24"/>
                      <w:lang w:eastAsia="zh-CN"/>
                    </w:rPr>
                    <w:t>设计</w:t>
                  </w:r>
                  <w:r>
                    <w:rPr>
                      <w:rFonts w:hint="eastAsia" w:ascii="Times New Roman" w:hAnsi="宋体" w:eastAsia="宋体" w:cs="Times New Roman"/>
                      <w:color w:val="auto"/>
                      <w:sz w:val="24"/>
                      <w:szCs w:val="24"/>
                      <w:lang w:val="en-US" w:eastAsia="zh-CN"/>
                    </w:rPr>
                    <w:t>5口钻井</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钻井编号为1#、2#、6#、7#、8#，钻井目标层为13-1煤，钻井总深度5353.6米</w:t>
                  </w:r>
                  <w:r>
                    <w:rPr>
                      <w:rFonts w:hint="eastAsia" w:ascii="Times New Roman" w:hAnsi="Times New Roman" w:cs="Times New Roman"/>
                      <w:bCs/>
                      <w:color w:val="auto"/>
                      <w:szCs w:val="21"/>
                      <w:highlight w:val="none"/>
                      <w:lang w:val="en-US" w:eastAsia="zh-CN"/>
                    </w:rPr>
                    <w:t>。</w:t>
                  </w:r>
                  <w:r>
                    <w:rPr>
                      <w:rFonts w:hint="eastAsia" w:ascii="Times New Roman" w:hAnsi="宋体" w:eastAsia="宋体" w:cs="Times New Roman"/>
                      <w:color w:val="auto"/>
                      <w:sz w:val="24"/>
                      <w:szCs w:val="24"/>
                      <w:lang w:val="en-US" w:eastAsia="zh-CN"/>
                    </w:rPr>
                    <w:t>1#、2#采用大孔径钻井结构，6#、7#采用Ⅲ型钻井结构，8#采用L型水平采动卸压井结构。详细钻井结构见施工方案。</w:t>
                  </w:r>
                </w:p>
              </w:tc>
            </w:tr>
            <w:tr w14:paraId="2ECD3E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vAlign w:val="center"/>
                </w:tcPr>
                <w:p w14:paraId="3C2015D7">
                  <w:pPr>
                    <w:autoSpaceDE w:val="0"/>
                    <w:autoSpaceDN w:val="0"/>
                    <w:adjustRightInd w:val="0"/>
                    <w:snapToGrid w:val="0"/>
                    <w:jc w:val="left"/>
                    <w:rPr>
                      <w:rFonts w:ascii="Times New Roman" w:hAnsi="Times New Roman" w:eastAsia="宋体" w:cs="Times New Roman"/>
                      <w:color w:val="auto"/>
                      <w:szCs w:val="21"/>
                      <w:highlight w:val="none"/>
                    </w:rPr>
                  </w:pPr>
                </w:p>
              </w:tc>
              <w:tc>
                <w:tcPr>
                  <w:tcW w:w="680" w:type="pct"/>
                  <w:vAlign w:val="center"/>
                </w:tcPr>
                <w:p w14:paraId="63C7D490">
                  <w:pPr>
                    <w:autoSpaceDE w:val="0"/>
                    <w:autoSpaceDN w:val="0"/>
                    <w:adjustRightInd w:val="0"/>
                    <w:snapToGrid w:val="0"/>
                    <w:jc w:val="left"/>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复垦工程</w:t>
                  </w:r>
                </w:p>
              </w:tc>
              <w:tc>
                <w:tcPr>
                  <w:tcW w:w="3843" w:type="pct"/>
                </w:tcPr>
                <w:p w14:paraId="7EEF213D">
                  <w:pPr>
                    <w:autoSpaceDE w:val="0"/>
                    <w:autoSpaceDN w:val="0"/>
                    <w:adjustRightInd w:val="0"/>
                    <w:snapToGrid w:val="0"/>
                    <w:jc w:val="left"/>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项目钻井施工完成后按照已批复的土地复垦方案进行复垦，恢复场地原状。</w:t>
                  </w:r>
                </w:p>
              </w:tc>
            </w:tr>
            <w:tr w14:paraId="47ED9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restart"/>
                  <w:vAlign w:val="center"/>
                </w:tcPr>
                <w:p w14:paraId="59BC5A87">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储运</w:t>
                  </w:r>
                </w:p>
                <w:p w14:paraId="66CA442A">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工程</w:t>
                  </w:r>
                </w:p>
              </w:tc>
              <w:tc>
                <w:tcPr>
                  <w:tcW w:w="680" w:type="pct"/>
                  <w:shd w:val="clear" w:color="auto" w:fill="auto"/>
                  <w:vAlign w:val="center"/>
                </w:tcPr>
                <w:p w14:paraId="0146B66B">
                  <w:pPr>
                    <w:autoSpaceDE w:val="0"/>
                    <w:autoSpaceDN w:val="0"/>
                    <w:adjustRightInd w:val="0"/>
                    <w:snapToGrid w:val="0"/>
                    <w:jc w:val="left"/>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材料</w:t>
                  </w:r>
                  <w:r>
                    <w:rPr>
                      <w:rFonts w:hint="eastAsia" w:ascii="Times New Roman" w:hAnsi="Times New Roman" w:eastAsia="宋体" w:cs="Times New Roman"/>
                      <w:color w:val="auto"/>
                      <w:szCs w:val="21"/>
                      <w:lang w:eastAsia="zh-CN"/>
                    </w:rPr>
                    <w:t>库房</w:t>
                  </w:r>
                </w:p>
              </w:tc>
              <w:tc>
                <w:tcPr>
                  <w:tcW w:w="3843" w:type="pct"/>
                  <w:shd w:val="clear" w:color="auto" w:fill="auto"/>
                  <w:vAlign w:val="center"/>
                </w:tcPr>
                <w:p w14:paraId="1252BF72">
                  <w:pPr>
                    <w:autoSpaceDE w:val="0"/>
                    <w:autoSpaceDN w:val="0"/>
                    <w:adjustRightInd w:val="0"/>
                    <w:snapToGrid w:val="0"/>
                    <w:jc w:val="left"/>
                    <w:rPr>
                      <w:rFonts w:hint="eastAsia" w:ascii="Times New Roman" w:hAnsi="Times New Roman" w:eastAsia="宋体" w:cs="Times New Roman"/>
                      <w:color w:val="auto"/>
                      <w:kern w:val="2"/>
                      <w:sz w:val="21"/>
                      <w:szCs w:val="21"/>
                      <w:highlight w:val="yellow"/>
                      <w:lang w:val="en-US" w:eastAsia="zh-CN" w:bidi="ar-SA"/>
                    </w:rPr>
                  </w:pPr>
                  <w:r>
                    <w:rPr>
                      <w:rFonts w:ascii="Times New Roman" w:hAnsi="Times New Roman" w:eastAsia="宋体" w:cs="Times New Roman"/>
                      <w:color w:val="auto"/>
                      <w:szCs w:val="21"/>
                      <w:highlight w:val="none"/>
                    </w:rPr>
                    <w:t>本项目每个</w:t>
                  </w:r>
                  <w:r>
                    <w:rPr>
                      <w:rFonts w:hint="eastAsia" w:ascii="Times New Roman" w:hAnsi="Times New Roman" w:eastAsia="宋体" w:cs="Times New Roman"/>
                      <w:color w:val="auto"/>
                      <w:szCs w:val="21"/>
                      <w:highlight w:val="none"/>
                      <w:lang w:eastAsia="zh-CN"/>
                    </w:rPr>
                    <w:t>施工场地</w:t>
                  </w:r>
                  <w:r>
                    <w:rPr>
                      <w:rFonts w:ascii="Times New Roman" w:hAnsi="Times New Roman" w:eastAsia="宋体" w:cs="Times New Roman"/>
                      <w:color w:val="auto"/>
                      <w:szCs w:val="21"/>
                      <w:highlight w:val="none"/>
                    </w:rPr>
                    <w:t>设置1处</w:t>
                  </w:r>
                  <w:r>
                    <w:rPr>
                      <w:rFonts w:hint="eastAsia" w:ascii="Times New Roman" w:hAnsi="Times New Roman" w:eastAsia="宋体" w:cs="Times New Roman"/>
                      <w:color w:val="auto"/>
                      <w:szCs w:val="21"/>
                      <w:highlight w:val="none"/>
                      <w:lang w:eastAsia="zh-CN"/>
                    </w:rPr>
                    <w:t>材料</w:t>
                  </w:r>
                  <w:r>
                    <w:rPr>
                      <w:rFonts w:ascii="Times New Roman" w:hAnsi="Times New Roman" w:eastAsia="宋体" w:cs="Times New Roman"/>
                      <w:color w:val="auto"/>
                      <w:szCs w:val="21"/>
                      <w:highlight w:val="none"/>
                    </w:rPr>
                    <w:t>堆放</w:t>
                  </w:r>
                  <w:r>
                    <w:rPr>
                      <w:rFonts w:hint="eastAsia" w:ascii="Times New Roman" w:hAnsi="Times New Roman" w:eastAsia="宋体" w:cs="Times New Roman"/>
                      <w:color w:val="auto"/>
                      <w:szCs w:val="21"/>
                      <w:highlight w:val="none"/>
                      <w:lang w:eastAsia="zh-CN"/>
                    </w:rPr>
                    <w:t>棚</w:t>
                  </w:r>
                  <w:r>
                    <w:rPr>
                      <w:rFonts w:ascii="Times New Roman" w:hAnsi="Times New Roman" w:eastAsia="宋体" w:cs="Times New Roman"/>
                      <w:color w:val="auto"/>
                      <w:szCs w:val="21"/>
                      <w:highlight w:val="none"/>
                    </w:rPr>
                    <w:t>，堆放区面积</w:t>
                  </w:r>
                  <w:r>
                    <w:rPr>
                      <w:rFonts w:hint="eastAsia" w:ascii="Times New Roman" w:hAnsi="Times New Roman" w:eastAsia="宋体" w:cs="Times New Roman"/>
                      <w:color w:val="auto"/>
                      <w:szCs w:val="21"/>
                      <w:highlight w:val="none"/>
                      <w:lang w:eastAsia="zh-CN"/>
                    </w:rPr>
                    <w:t>约</w:t>
                  </w:r>
                  <w:r>
                    <w:rPr>
                      <w:rFonts w:hint="eastAsia" w:ascii="Times New Roman" w:hAnsi="Times New Roman" w:eastAsia="宋体" w:cs="Times New Roman"/>
                      <w:color w:val="auto"/>
                      <w:szCs w:val="21"/>
                      <w:highlight w:val="none"/>
                      <w:lang w:val="en-US" w:eastAsia="zh-CN"/>
                    </w:rPr>
                    <w:t>20</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用于储存纤维素、腐殖酸</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 w:val="21"/>
                      <w:szCs w:val="21"/>
                    </w:rPr>
                    <w:t>膨润土</w:t>
                  </w:r>
                  <w:r>
                    <w:rPr>
                      <w:rFonts w:hint="eastAsia" w:ascii="Times New Roman" w:hAnsi="Times New Roman" w:eastAsia="宋体" w:cs="Times New Roman"/>
                      <w:color w:val="auto"/>
                      <w:szCs w:val="21"/>
                      <w:highlight w:val="none"/>
                    </w:rPr>
                    <w:t>等原辅材料</w:t>
                  </w:r>
                  <w:r>
                    <w:rPr>
                      <w:rFonts w:hint="eastAsia" w:ascii="Times New Roman" w:hAnsi="Times New Roman" w:eastAsia="宋体" w:cs="Times New Roman"/>
                      <w:color w:val="auto"/>
                      <w:szCs w:val="21"/>
                      <w:highlight w:val="none"/>
                      <w:lang w:eastAsia="zh-CN"/>
                    </w:rPr>
                    <w:t>。</w:t>
                  </w:r>
                </w:p>
              </w:tc>
            </w:tr>
            <w:tr w14:paraId="21AACC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vAlign w:val="center"/>
                </w:tcPr>
                <w:p w14:paraId="2E9777ED">
                  <w:pPr>
                    <w:autoSpaceDE w:val="0"/>
                    <w:autoSpaceDN w:val="0"/>
                    <w:adjustRightInd w:val="0"/>
                    <w:snapToGrid w:val="0"/>
                    <w:jc w:val="left"/>
                    <w:rPr>
                      <w:rFonts w:ascii="Times New Roman" w:hAnsi="Times New Roman" w:eastAsia="宋体" w:cs="Times New Roman"/>
                      <w:color w:val="auto"/>
                      <w:szCs w:val="21"/>
                    </w:rPr>
                  </w:pPr>
                </w:p>
              </w:tc>
              <w:tc>
                <w:tcPr>
                  <w:tcW w:w="680" w:type="pct"/>
                  <w:shd w:val="clear" w:color="auto" w:fill="auto"/>
                  <w:vAlign w:val="center"/>
                </w:tcPr>
                <w:p w14:paraId="1208A419">
                  <w:pPr>
                    <w:autoSpaceDE w:val="0"/>
                    <w:autoSpaceDN w:val="0"/>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清水池</w:t>
                  </w:r>
                </w:p>
              </w:tc>
              <w:tc>
                <w:tcPr>
                  <w:tcW w:w="3843" w:type="pct"/>
                  <w:shd w:val="clear" w:color="auto" w:fill="auto"/>
                  <w:vAlign w:val="center"/>
                </w:tcPr>
                <w:p w14:paraId="509D0294">
                  <w:pPr>
                    <w:autoSpaceDE w:val="0"/>
                    <w:autoSpaceDN w:val="0"/>
                    <w:adjustRightInd w:val="0"/>
                    <w:snapToGrid w:val="0"/>
                    <w:jc w:val="left"/>
                    <w:rPr>
                      <w:rFonts w:hint="eastAsia" w:ascii="Times New Roman" w:hAnsi="Times New Roman" w:cs="Times New Roman" w:eastAsiaTheme="minorEastAsia"/>
                      <w:color w:val="auto"/>
                      <w:kern w:val="2"/>
                      <w:sz w:val="21"/>
                      <w:szCs w:val="21"/>
                      <w:highlight w:val="yellow"/>
                      <w:lang w:val="en-US" w:eastAsia="zh-CN" w:bidi="ar-SA"/>
                    </w:rPr>
                  </w:pPr>
                  <w:r>
                    <w:rPr>
                      <w:rFonts w:ascii="Times New Roman" w:hAnsi="Times New Roman" w:eastAsia="宋体" w:cs="Times New Roman"/>
                      <w:color w:val="auto"/>
                      <w:szCs w:val="21"/>
                      <w:highlight w:val="none"/>
                    </w:rPr>
                    <w:t>本项目每个</w:t>
                  </w:r>
                  <w:r>
                    <w:rPr>
                      <w:rFonts w:hint="eastAsia" w:ascii="Times New Roman" w:hAnsi="Times New Roman" w:eastAsia="宋体" w:cs="Times New Roman"/>
                      <w:color w:val="auto"/>
                      <w:szCs w:val="21"/>
                      <w:highlight w:val="none"/>
                      <w:lang w:eastAsia="zh-CN"/>
                    </w:rPr>
                    <w:t>施工场地设置一个移动水箱，</w:t>
                  </w:r>
                  <w:r>
                    <w:rPr>
                      <w:rFonts w:hint="eastAsia" w:ascii="Times New Roman" w:hAnsi="Times New Roman" w:eastAsia="宋体" w:cs="Times New Roman"/>
                      <w:color w:val="auto"/>
                      <w:szCs w:val="21"/>
                      <w:highlight w:val="none"/>
                      <w:lang w:val="en-US" w:eastAsia="zh-CN"/>
                    </w:rPr>
                    <w:t>水箱容积为5m³</w:t>
                  </w:r>
                  <w:r>
                    <w:rPr>
                      <w:rFonts w:hint="eastAsia"/>
                      <w:color w:val="auto"/>
                      <w:highlight w:val="none"/>
                      <w:lang w:eastAsia="zh-CN"/>
                    </w:rPr>
                    <w:t>，</w:t>
                  </w:r>
                  <w:r>
                    <w:rPr>
                      <w:rFonts w:hint="eastAsia"/>
                      <w:color w:val="auto"/>
                      <w:highlight w:val="none"/>
                      <w:vertAlign w:val="baseline"/>
                      <w:lang w:val="en-US" w:eastAsia="zh-CN"/>
                    </w:rPr>
                    <w:t>用于施工过程中用水存储。</w:t>
                  </w:r>
                </w:p>
              </w:tc>
            </w:tr>
            <w:tr w14:paraId="60B284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vAlign w:val="center"/>
                </w:tcPr>
                <w:p w14:paraId="4BABDF9A">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78DB0ED4">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泥浆池</w:t>
                  </w:r>
                </w:p>
              </w:tc>
              <w:tc>
                <w:tcPr>
                  <w:tcW w:w="3843" w:type="pct"/>
                  <w:vAlign w:val="center"/>
                </w:tcPr>
                <w:p w14:paraId="73102006">
                  <w:pPr>
                    <w:autoSpaceDE w:val="0"/>
                    <w:autoSpaceDN w:val="0"/>
                    <w:adjustRightInd w:val="0"/>
                    <w:snapToGrid w:val="0"/>
                    <w:jc w:val="left"/>
                    <w:rPr>
                      <w:rFonts w:hint="eastAsia" w:ascii="Times New Roman" w:hAnsi="Times New Roman" w:cs="Times New Roman" w:eastAsiaTheme="minorEastAsia"/>
                      <w:color w:val="auto"/>
                      <w:szCs w:val="21"/>
                      <w:highlight w:val="yellow"/>
                      <w:lang w:val="en-US" w:eastAsia="zh-CN"/>
                    </w:rPr>
                  </w:pPr>
                  <w:r>
                    <w:rPr>
                      <w:rFonts w:ascii="Times New Roman" w:hAnsi="Times New Roman" w:eastAsia="宋体" w:cs="Times New Roman"/>
                      <w:color w:val="auto"/>
                      <w:szCs w:val="21"/>
                      <w:highlight w:val="none"/>
                    </w:rPr>
                    <w:t>本项目每个</w:t>
                  </w:r>
                  <w:r>
                    <w:rPr>
                      <w:rFonts w:hint="eastAsia" w:ascii="Times New Roman" w:hAnsi="Times New Roman" w:eastAsia="宋体" w:cs="Times New Roman"/>
                      <w:color w:val="auto"/>
                      <w:szCs w:val="21"/>
                      <w:highlight w:val="none"/>
                      <w:lang w:eastAsia="zh-CN"/>
                    </w:rPr>
                    <w:t>施工场地设置</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lang w:eastAsia="zh-CN"/>
                    </w:rPr>
                    <w:t>座泥浆池，尺寸为</w:t>
                  </w:r>
                  <w:r>
                    <w:rPr>
                      <w:rFonts w:hint="eastAsia" w:eastAsia="宋体"/>
                      <w:color w:val="auto"/>
                      <w:highlight w:val="none"/>
                      <w:lang w:val="en-US" w:eastAsia="zh-CN"/>
                    </w:rPr>
                    <w:t>12</w:t>
                  </w:r>
                  <w:r>
                    <w:rPr>
                      <w:rFonts w:hint="eastAsia"/>
                      <w:color w:val="auto"/>
                      <w:highlight w:val="none"/>
                      <w:lang w:val="en-US" w:eastAsia="zh-CN"/>
                    </w:rPr>
                    <w:t>m*10m*1.5m</w:t>
                  </w:r>
                  <w:r>
                    <w:rPr>
                      <w:rFonts w:hint="eastAsia"/>
                      <w:color w:val="auto"/>
                      <w:highlight w:val="none"/>
                      <w:lang w:eastAsia="zh-CN"/>
                    </w:rPr>
                    <w:t>，总容积</w:t>
                  </w:r>
                  <w:r>
                    <w:rPr>
                      <w:rFonts w:hint="eastAsia"/>
                      <w:color w:val="auto"/>
                      <w:highlight w:val="none"/>
                      <w:lang w:val="en-US" w:eastAsia="zh-CN"/>
                    </w:rPr>
                    <w:t>180m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ascii="Times New Roman" w:hAnsi="Times New Roman" w:eastAsia="宋体" w:cs="Times New Roman"/>
                      <w:color w:val="auto"/>
                      <w:szCs w:val="21"/>
                      <w:highlight w:val="none"/>
                      <w:lang w:val="en-US" w:eastAsia="zh-CN"/>
                    </w:rPr>
                    <w:t>用</w:t>
                  </w:r>
                  <w:r>
                    <w:rPr>
                      <w:rFonts w:hint="eastAsia"/>
                      <w:color w:val="auto"/>
                      <w:highlight w:val="none"/>
                      <w:vertAlign w:val="baseline"/>
                      <w:lang w:val="en-US" w:eastAsia="zh-CN"/>
                    </w:rPr>
                    <w:t>于施工过程中泥浆存储，</w:t>
                  </w:r>
                  <w:r>
                    <w:rPr>
                      <w:rFonts w:hint="eastAsia" w:ascii="Times New Roman" w:hAnsi="Times New Roman" w:eastAsia="宋体" w:cs="Times New Roman"/>
                      <w:color w:val="auto"/>
                      <w:szCs w:val="21"/>
                      <w:highlight w:val="none"/>
                      <w:lang w:val="en-US" w:eastAsia="zh-CN"/>
                    </w:rPr>
                    <w:t>泥浆池</w:t>
                  </w:r>
                  <w:r>
                    <w:rPr>
                      <w:rFonts w:hint="eastAsia"/>
                      <w:color w:val="auto"/>
                      <w:highlight w:val="none"/>
                      <w:vertAlign w:val="baseline"/>
                      <w:lang w:val="en-US" w:eastAsia="zh-CN"/>
                    </w:rPr>
                    <w:t>顶部用彩钢瓦苫盖。</w:t>
                  </w:r>
                </w:p>
              </w:tc>
            </w:tr>
            <w:tr w14:paraId="1D33DA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vAlign w:val="center"/>
                </w:tcPr>
                <w:p w14:paraId="7323ECD9">
                  <w:pPr>
                    <w:autoSpaceDE w:val="0"/>
                    <w:autoSpaceDN w:val="0"/>
                    <w:adjustRightInd w:val="0"/>
                    <w:snapToGrid w:val="0"/>
                    <w:jc w:val="left"/>
                    <w:rPr>
                      <w:rFonts w:ascii="Times New Roman" w:hAnsi="Times New Roman" w:eastAsia="宋体" w:cs="Times New Roman"/>
                      <w:color w:val="auto"/>
                      <w:szCs w:val="21"/>
                    </w:rPr>
                  </w:pPr>
                </w:p>
              </w:tc>
              <w:tc>
                <w:tcPr>
                  <w:tcW w:w="680" w:type="pct"/>
                  <w:shd w:val="clear" w:color="auto" w:fill="auto"/>
                  <w:vAlign w:val="center"/>
                </w:tcPr>
                <w:p w14:paraId="2A4D3648">
                  <w:pPr>
                    <w:autoSpaceDE w:val="0"/>
                    <w:autoSpaceDN w:val="0"/>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沉砂池</w:t>
                  </w:r>
                </w:p>
              </w:tc>
              <w:tc>
                <w:tcPr>
                  <w:tcW w:w="3843" w:type="pct"/>
                  <w:shd w:val="clear" w:color="auto" w:fill="auto"/>
                  <w:vAlign w:val="center"/>
                </w:tcPr>
                <w:p w14:paraId="1F678CB1">
                  <w:pPr>
                    <w:autoSpaceDE w:val="0"/>
                    <w:autoSpaceDN w:val="0"/>
                    <w:adjustRightInd w:val="0"/>
                    <w:snapToGrid w:val="0"/>
                    <w:jc w:val="left"/>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Cs w:val="21"/>
                      <w:highlight w:val="none"/>
                    </w:rPr>
                    <w:t>本项目每个</w:t>
                  </w:r>
                  <w:r>
                    <w:rPr>
                      <w:rFonts w:hint="eastAsia" w:ascii="Times New Roman" w:hAnsi="Times New Roman" w:eastAsia="宋体" w:cs="Times New Roman"/>
                      <w:color w:val="auto"/>
                      <w:szCs w:val="21"/>
                      <w:highlight w:val="none"/>
                      <w:lang w:eastAsia="zh-CN"/>
                    </w:rPr>
                    <w:t>施工场地设置</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lang w:eastAsia="zh-CN"/>
                    </w:rPr>
                    <w:t>座沉砂池，尺寸为</w:t>
                  </w:r>
                  <w:r>
                    <w:rPr>
                      <w:rFonts w:hint="eastAsia" w:eastAsia="宋体"/>
                      <w:color w:val="auto"/>
                      <w:highlight w:val="none"/>
                      <w:lang w:val="en-US" w:eastAsia="zh-CN"/>
                    </w:rPr>
                    <w:t>6</w:t>
                  </w:r>
                  <w:r>
                    <w:rPr>
                      <w:rFonts w:hint="eastAsia"/>
                      <w:color w:val="auto"/>
                      <w:highlight w:val="none"/>
                      <w:lang w:val="en-US" w:eastAsia="zh-CN"/>
                    </w:rPr>
                    <w:t>m*18m*1.5m</w:t>
                  </w:r>
                  <w:r>
                    <w:rPr>
                      <w:rFonts w:hint="eastAsia"/>
                      <w:color w:val="auto"/>
                      <w:highlight w:val="none"/>
                      <w:lang w:eastAsia="zh-CN"/>
                    </w:rPr>
                    <w:t>，总容积</w:t>
                  </w:r>
                  <w:r>
                    <w:rPr>
                      <w:rFonts w:hint="eastAsia"/>
                      <w:color w:val="auto"/>
                      <w:highlight w:val="none"/>
                      <w:lang w:val="en-US" w:eastAsia="zh-CN"/>
                    </w:rPr>
                    <w:t>162m</w:t>
                  </w:r>
                  <w:r>
                    <w:rPr>
                      <w:rFonts w:hint="eastAsia"/>
                      <w:color w:val="auto"/>
                      <w:highlight w:val="none"/>
                      <w:vertAlign w:val="superscript"/>
                      <w:lang w:val="en-US" w:eastAsia="zh-CN"/>
                    </w:rPr>
                    <w:t>3</w:t>
                  </w:r>
                  <w:r>
                    <w:rPr>
                      <w:rFonts w:hint="eastAsia"/>
                      <w:color w:val="auto"/>
                      <w:highlight w:val="none"/>
                      <w:vertAlign w:val="baseline"/>
                      <w:lang w:val="en-US" w:eastAsia="zh-CN"/>
                    </w:rPr>
                    <w:t>，用于施工过程中岩砂储存。</w:t>
                  </w:r>
                </w:p>
              </w:tc>
            </w:tr>
            <w:tr w14:paraId="1360E1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vAlign w:val="center"/>
                </w:tcPr>
                <w:p w14:paraId="3F6FA256">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345D5C0E">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表土堆放区</w:t>
                  </w:r>
                </w:p>
              </w:tc>
              <w:tc>
                <w:tcPr>
                  <w:tcW w:w="3843" w:type="pct"/>
                  <w:vAlign w:val="center"/>
                </w:tcPr>
                <w:p w14:paraId="74C792EE">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rPr>
                    <w:t>本项目在每个</w:t>
                  </w:r>
                  <w:r>
                    <w:rPr>
                      <w:rFonts w:hint="eastAsia" w:ascii="Times New Roman" w:hAnsi="Times New Roman" w:eastAsia="宋体" w:cs="Times New Roman"/>
                      <w:color w:val="auto"/>
                      <w:szCs w:val="21"/>
                      <w:lang w:eastAsia="zh-CN"/>
                    </w:rPr>
                    <w:t>施工场地</w:t>
                  </w:r>
                  <w:r>
                    <w:rPr>
                      <w:rFonts w:ascii="Times New Roman" w:hAnsi="Times New Roman" w:eastAsia="宋体" w:cs="Times New Roman"/>
                      <w:color w:val="auto"/>
                      <w:szCs w:val="21"/>
                    </w:rPr>
                    <w:t>设置</w:t>
                  </w: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处表土堆放区</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用于堆放施工前剥离的表土</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highlight w:val="none"/>
                      <w:lang w:eastAsia="zh-CN"/>
                    </w:rPr>
                    <w:t>堆放区一般位于施工场地角落位置，</w:t>
                  </w:r>
                  <w:r>
                    <w:rPr>
                      <w:rFonts w:hint="eastAsia" w:ascii="Times New Roman" w:hAnsi="Times New Roman" w:eastAsia="宋体" w:cs="Times New Roman"/>
                      <w:color w:val="auto"/>
                      <w:szCs w:val="21"/>
                      <w:lang w:eastAsia="zh-CN"/>
                    </w:rPr>
                    <w:t>并</w:t>
                  </w:r>
                  <w:r>
                    <w:rPr>
                      <w:rFonts w:hint="eastAsia" w:ascii="Times New Roman" w:hAnsi="Times New Roman" w:eastAsia="宋体" w:cs="Times New Roman"/>
                      <w:color w:val="auto"/>
                      <w:szCs w:val="21"/>
                    </w:rPr>
                    <w:t>设置截、排水沟、苫盖等措施</w:t>
                  </w:r>
                  <w:r>
                    <w:rPr>
                      <w:rFonts w:hint="eastAsia" w:ascii="Times New Roman" w:hAnsi="Times New Roman" w:eastAsia="宋体" w:cs="Times New Roman"/>
                      <w:color w:val="auto"/>
                      <w:szCs w:val="21"/>
                      <w:lang w:eastAsia="zh-CN"/>
                    </w:rPr>
                    <w:t>。</w:t>
                  </w:r>
                </w:p>
              </w:tc>
            </w:tr>
            <w:tr w14:paraId="01DE3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76" w:type="pct"/>
                  <w:vMerge w:val="restart"/>
                  <w:vAlign w:val="center"/>
                </w:tcPr>
                <w:p w14:paraId="054C5BCC">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公用工程</w:t>
                  </w:r>
                </w:p>
              </w:tc>
              <w:tc>
                <w:tcPr>
                  <w:tcW w:w="680" w:type="pct"/>
                  <w:vAlign w:val="center"/>
                </w:tcPr>
                <w:p w14:paraId="6086F73A">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临时道路</w:t>
                  </w:r>
                </w:p>
              </w:tc>
              <w:tc>
                <w:tcPr>
                  <w:tcW w:w="3843" w:type="pct"/>
                  <w:vAlign w:val="center"/>
                </w:tcPr>
                <w:p w14:paraId="60188CFA">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本项目</w:t>
                  </w:r>
                  <w:r>
                    <w:rPr>
                      <w:rFonts w:hint="eastAsia" w:ascii="Times New Roman" w:hAnsi="Times New Roman" w:eastAsia="宋体" w:cs="Times New Roman"/>
                      <w:color w:val="auto"/>
                      <w:szCs w:val="21"/>
                      <w:lang w:eastAsia="zh-CN"/>
                    </w:rPr>
                    <w:t>施工不新建临时道路，通行依托乡村现有道路</w:t>
                  </w:r>
                  <w:r>
                    <w:rPr>
                      <w:rFonts w:ascii="Times New Roman" w:hAnsi="Times New Roman" w:eastAsia="宋体" w:cs="Times New Roman"/>
                      <w:color w:val="auto"/>
                      <w:szCs w:val="21"/>
                    </w:rPr>
                    <w:t>。</w:t>
                  </w:r>
                </w:p>
              </w:tc>
            </w:tr>
            <w:tr w14:paraId="1072E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vAlign w:val="center"/>
                </w:tcPr>
                <w:p w14:paraId="53ECFFB1">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5F63A499">
                  <w:pPr>
                    <w:autoSpaceDE w:val="0"/>
                    <w:autoSpaceDN w:val="0"/>
                    <w:adjustRightInd w:val="0"/>
                    <w:snapToGrid w:val="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办公、</w:t>
                  </w:r>
                  <w:r>
                    <w:rPr>
                      <w:rFonts w:ascii="Times New Roman" w:hAnsi="Times New Roman" w:eastAsia="宋体" w:cs="Times New Roman"/>
                      <w:color w:val="auto"/>
                      <w:szCs w:val="21"/>
                    </w:rPr>
                    <w:t>食宿</w:t>
                  </w:r>
                </w:p>
              </w:tc>
              <w:tc>
                <w:tcPr>
                  <w:tcW w:w="3843" w:type="pct"/>
                  <w:vAlign w:val="center"/>
                </w:tcPr>
                <w:p w14:paraId="50E0BE86">
                  <w:pPr>
                    <w:autoSpaceDE w:val="0"/>
                    <w:autoSpaceDN w:val="0"/>
                    <w:adjustRightInd w:val="0"/>
                    <w:snapToGrid w:val="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项目</w:t>
                  </w:r>
                  <w:r>
                    <w:rPr>
                      <w:rFonts w:ascii="Times New Roman" w:hAnsi="Times New Roman" w:eastAsia="宋体" w:cs="Times New Roman"/>
                      <w:color w:val="auto"/>
                      <w:szCs w:val="21"/>
                    </w:rPr>
                    <w:t>施工场地</w:t>
                  </w:r>
                  <w:r>
                    <w:rPr>
                      <w:rFonts w:hint="eastAsia" w:ascii="Times New Roman" w:hAnsi="Times New Roman" w:eastAsia="宋体" w:cs="Times New Roman"/>
                      <w:color w:val="auto"/>
                      <w:szCs w:val="21"/>
                      <w:lang w:eastAsia="zh-CN"/>
                    </w:rPr>
                    <w:t>不提供食宿，现场设施一间值班室，面积约</w:t>
                  </w:r>
                  <w:r>
                    <w:rPr>
                      <w:rFonts w:hint="eastAsia" w:ascii="Times New Roman" w:hAnsi="Times New Roman" w:eastAsia="宋体" w:cs="Times New Roman"/>
                      <w:color w:val="auto"/>
                      <w:szCs w:val="21"/>
                      <w:lang w:val="en-US" w:eastAsia="zh-CN"/>
                    </w:rPr>
                    <w:t>20平方</w:t>
                  </w:r>
                  <w:r>
                    <w:rPr>
                      <w:rFonts w:ascii="Times New Roman" w:hAnsi="Times New Roman" w:eastAsia="宋体" w:cs="Times New Roman"/>
                      <w:color w:val="auto"/>
                      <w:szCs w:val="21"/>
                    </w:rPr>
                    <w:t>。</w:t>
                  </w:r>
                </w:p>
              </w:tc>
            </w:tr>
            <w:tr w14:paraId="79B4DA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6" w:type="pct"/>
                  <w:vMerge w:val="continue"/>
                  <w:vAlign w:val="center"/>
                </w:tcPr>
                <w:p w14:paraId="092E4E41">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013069B2">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供水</w:t>
                  </w:r>
                </w:p>
              </w:tc>
              <w:tc>
                <w:tcPr>
                  <w:tcW w:w="3843" w:type="pct"/>
                  <w:vAlign w:val="center"/>
                </w:tcPr>
                <w:p w14:paraId="11F6C78E">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本项目生产用水利用施工现场附近塌陷区地表水体，由水罐车拉至本项目施工场地。</w:t>
                  </w:r>
                  <w:r>
                    <w:rPr>
                      <w:rFonts w:hint="eastAsia" w:ascii="Times New Roman" w:hAnsi="Times New Roman" w:eastAsia="宋体" w:cs="Times New Roman"/>
                      <w:color w:val="auto"/>
                      <w:szCs w:val="21"/>
                      <w:lang w:eastAsia="zh-CN"/>
                    </w:rPr>
                    <w:t>施工人员</w:t>
                  </w:r>
                  <w:r>
                    <w:rPr>
                      <w:rFonts w:ascii="Times New Roman" w:hAnsi="Times New Roman" w:eastAsia="宋体" w:cs="Times New Roman"/>
                      <w:color w:val="auto"/>
                      <w:szCs w:val="21"/>
                    </w:rPr>
                    <w:t>生活用水</w:t>
                  </w:r>
                  <w:r>
                    <w:rPr>
                      <w:rFonts w:hint="eastAsia" w:ascii="Times New Roman" w:hAnsi="Times New Roman" w:eastAsia="宋体" w:cs="Times New Roman"/>
                      <w:color w:val="auto"/>
                      <w:szCs w:val="21"/>
                      <w:lang w:eastAsia="zh-CN"/>
                    </w:rPr>
                    <w:t>利用附近村庄供水设施</w:t>
                  </w:r>
                  <w:r>
                    <w:rPr>
                      <w:rFonts w:ascii="Times New Roman" w:hAnsi="Times New Roman" w:eastAsia="宋体" w:cs="Times New Roman"/>
                      <w:color w:val="auto"/>
                      <w:szCs w:val="21"/>
                    </w:rPr>
                    <w:t>。</w:t>
                  </w:r>
                </w:p>
              </w:tc>
            </w:tr>
            <w:tr w14:paraId="4B28D3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76" w:type="pct"/>
                  <w:vMerge w:val="continue"/>
                  <w:vAlign w:val="center"/>
                </w:tcPr>
                <w:p w14:paraId="10B5F15A">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7EAE938E">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供电</w:t>
                  </w:r>
                </w:p>
              </w:tc>
              <w:tc>
                <w:tcPr>
                  <w:tcW w:w="3843" w:type="pct"/>
                  <w:vAlign w:val="center"/>
                </w:tcPr>
                <w:p w14:paraId="15FCD8B5">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本项目</w:t>
                  </w:r>
                  <w:r>
                    <w:rPr>
                      <w:rFonts w:hint="eastAsia" w:ascii="Times New Roman" w:hAnsi="Times New Roman" w:eastAsia="宋体" w:cs="Times New Roman"/>
                      <w:color w:val="auto"/>
                      <w:szCs w:val="21"/>
                      <w:lang w:eastAsia="zh-CN"/>
                    </w:rPr>
                    <w:t>施工用电由当地电网提供</w:t>
                  </w:r>
                  <w:r>
                    <w:rPr>
                      <w:rFonts w:ascii="Times New Roman" w:hAnsi="Times New Roman" w:eastAsia="宋体" w:cs="Times New Roman"/>
                      <w:color w:val="auto"/>
                      <w:szCs w:val="21"/>
                    </w:rPr>
                    <w:t>。</w:t>
                  </w:r>
                </w:p>
              </w:tc>
            </w:tr>
            <w:tr w14:paraId="2FB481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76" w:type="pct"/>
                  <w:vMerge w:val="continue"/>
                  <w:vAlign w:val="center"/>
                </w:tcPr>
                <w:p w14:paraId="3B261EB6">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4CA2E250">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排水</w:t>
                  </w:r>
                </w:p>
              </w:tc>
              <w:tc>
                <w:tcPr>
                  <w:tcW w:w="3843" w:type="pct"/>
                  <w:vAlign w:val="center"/>
                </w:tcPr>
                <w:p w14:paraId="35311FA7">
                  <w:pPr>
                    <w:autoSpaceDE w:val="0"/>
                    <w:autoSpaceDN w:val="0"/>
                    <w:adjustRightInd w:val="0"/>
                    <w:snapToGrid w:val="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施工人员</w:t>
                  </w:r>
                  <w:r>
                    <w:rPr>
                      <w:rFonts w:ascii="Times New Roman" w:hAnsi="Times New Roman" w:eastAsia="宋体" w:cs="Times New Roman"/>
                      <w:color w:val="auto"/>
                      <w:szCs w:val="21"/>
                    </w:rPr>
                    <w:t>生活污水</w:t>
                  </w:r>
                  <w:r>
                    <w:rPr>
                      <w:rFonts w:hint="eastAsia" w:ascii="Times New Roman" w:hAnsi="Times New Roman" w:eastAsia="宋体" w:cs="Times New Roman"/>
                      <w:color w:val="auto"/>
                      <w:szCs w:val="21"/>
                      <w:lang w:eastAsia="zh-CN"/>
                    </w:rPr>
                    <w:t>经施工场地设置的化粪池处理后</w:t>
                  </w:r>
                  <w:r>
                    <w:rPr>
                      <w:rFonts w:ascii="Times New Roman" w:hAnsi="Times New Roman" w:eastAsia="宋体" w:cs="Times New Roman"/>
                      <w:color w:val="auto"/>
                      <w:szCs w:val="21"/>
                    </w:rPr>
                    <w:t>定期用于周边农田施肥。</w:t>
                  </w:r>
                  <w:r>
                    <w:rPr>
                      <w:rFonts w:hint="eastAsia" w:ascii="Times New Roman" w:hAnsi="Times New Roman" w:eastAsia="宋体" w:cs="Times New Roman"/>
                      <w:color w:val="auto"/>
                      <w:szCs w:val="21"/>
                    </w:rPr>
                    <w:t>钻井</w:t>
                  </w:r>
                  <w:r>
                    <w:rPr>
                      <w:rFonts w:hint="eastAsia" w:ascii="Times New Roman" w:hAnsi="Times New Roman" w:eastAsia="宋体" w:cs="Times New Roman"/>
                      <w:color w:val="auto"/>
                      <w:szCs w:val="21"/>
                      <w:lang w:eastAsia="zh-CN"/>
                    </w:rPr>
                    <w:t>泥浆出井口后通过固控系统对泥浆进行净化后循环利用</w:t>
                  </w:r>
                  <w:r>
                    <w:rPr>
                      <w:rFonts w:hint="eastAsia" w:ascii="Times New Roman" w:hAnsi="Times New Roman" w:eastAsia="宋体" w:cs="Times New Roman"/>
                      <w:color w:val="auto"/>
                      <w:szCs w:val="21"/>
                      <w:lang w:val="en-US" w:eastAsia="zh-CN"/>
                    </w:rPr>
                    <w:t>，无泥浆废水外排。</w:t>
                  </w:r>
                </w:p>
              </w:tc>
            </w:tr>
            <w:tr w14:paraId="5AF040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vAlign w:val="center"/>
                </w:tcPr>
                <w:p w14:paraId="77C2D3CB">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环保工程</w:t>
                  </w:r>
                </w:p>
              </w:tc>
              <w:tc>
                <w:tcPr>
                  <w:tcW w:w="680" w:type="pct"/>
                  <w:vAlign w:val="center"/>
                </w:tcPr>
                <w:p w14:paraId="18A23C4C">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废气</w:t>
                  </w:r>
                </w:p>
              </w:tc>
              <w:tc>
                <w:tcPr>
                  <w:tcW w:w="3843" w:type="pct"/>
                  <w:vAlign w:val="center"/>
                </w:tcPr>
                <w:p w14:paraId="214BDB1D">
                  <w:pPr>
                    <w:autoSpaceDE w:val="0"/>
                    <w:autoSpaceDN w:val="0"/>
                    <w:adjustRightInd w:val="0"/>
                    <w:snapToGrid w:val="0"/>
                    <w:jc w:val="left"/>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施工现场设置围挡，出入口道路</w:t>
                  </w:r>
                  <w:r>
                    <w:rPr>
                      <w:rFonts w:hint="eastAsia" w:ascii="Times New Roman" w:hAnsi="Times New Roman" w:eastAsia="宋体" w:cs="Times New Roman"/>
                      <w:color w:val="auto"/>
                      <w:szCs w:val="21"/>
                      <w:lang w:eastAsia="zh-CN"/>
                    </w:rPr>
                    <w:t>采取钢板敷设</w:t>
                  </w:r>
                  <w:r>
                    <w:rPr>
                      <w:rFonts w:ascii="Times New Roman" w:hAnsi="Times New Roman" w:eastAsia="宋体" w:cs="Times New Roman"/>
                      <w:color w:val="auto"/>
                      <w:szCs w:val="21"/>
                    </w:rPr>
                    <w:t>，场地内土堆、料堆遮盖，防止扬尘的扩散，定期洒水抑尘等</w:t>
                  </w:r>
                  <w:r>
                    <w:rPr>
                      <w:rFonts w:hint="eastAsia" w:ascii="Times New Roman" w:hAnsi="Times New Roman" w:eastAsia="宋体" w:cs="Times New Roman"/>
                      <w:color w:val="auto"/>
                      <w:szCs w:val="21"/>
                      <w:lang w:eastAsia="zh-CN"/>
                    </w:rPr>
                    <w:t>。</w:t>
                  </w:r>
                </w:p>
              </w:tc>
            </w:tr>
            <w:tr w14:paraId="57B17E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vAlign w:val="center"/>
                </w:tcPr>
                <w:p w14:paraId="64BD2492">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4E721F9C">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废水</w:t>
                  </w:r>
                </w:p>
              </w:tc>
              <w:tc>
                <w:tcPr>
                  <w:tcW w:w="3843" w:type="pct"/>
                  <w:vAlign w:val="center"/>
                </w:tcPr>
                <w:p w14:paraId="4C87B640">
                  <w:pPr>
                    <w:autoSpaceDE w:val="0"/>
                    <w:autoSpaceDN w:val="0"/>
                    <w:adjustRightInd w:val="0"/>
                    <w:snapToGrid w:val="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施工人员</w:t>
                  </w:r>
                  <w:r>
                    <w:rPr>
                      <w:rFonts w:ascii="Times New Roman" w:hAnsi="Times New Roman" w:eastAsia="宋体" w:cs="Times New Roman"/>
                      <w:color w:val="auto"/>
                      <w:szCs w:val="21"/>
                    </w:rPr>
                    <w:t>生活污水</w:t>
                  </w:r>
                  <w:r>
                    <w:rPr>
                      <w:rFonts w:hint="eastAsia" w:ascii="Times New Roman" w:hAnsi="Times New Roman" w:eastAsia="宋体" w:cs="Times New Roman"/>
                      <w:color w:val="auto"/>
                      <w:szCs w:val="21"/>
                      <w:lang w:eastAsia="zh-CN"/>
                    </w:rPr>
                    <w:t>经施工场地设置的化粪池处理后</w:t>
                  </w:r>
                  <w:r>
                    <w:rPr>
                      <w:rFonts w:ascii="Times New Roman" w:hAnsi="Times New Roman" w:eastAsia="宋体" w:cs="Times New Roman"/>
                      <w:color w:val="auto"/>
                      <w:szCs w:val="21"/>
                    </w:rPr>
                    <w:t>定期用于周边农田施肥。</w:t>
                  </w:r>
                  <w:r>
                    <w:rPr>
                      <w:rFonts w:hint="eastAsia" w:ascii="Times New Roman" w:hAnsi="Times New Roman" w:eastAsia="宋体" w:cs="Times New Roman"/>
                      <w:color w:val="auto"/>
                      <w:szCs w:val="21"/>
                    </w:rPr>
                    <w:t>钻井</w:t>
                  </w:r>
                  <w:r>
                    <w:rPr>
                      <w:rFonts w:hint="eastAsia" w:ascii="Times New Roman" w:hAnsi="Times New Roman" w:eastAsia="宋体" w:cs="Times New Roman"/>
                      <w:color w:val="auto"/>
                      <w:szCs w:val="21"/>
                      <w:lang w:eastAsia="zh-CN"/>
                    </w:rPr>
                    <w:t>泥浆出井口后通过固控系统对泥浆进行净化后循环利用</w:t>
                  </w:r>
                  <w:r>
                    <w:rPr>
                      <w:rFonts w:hint="eastAsia" w:ascii="Times New Roman" w:hAnsi="Times New Roman" w:eastAsia="宋体" w:cs="Times New Roman"/>
                      <w:color w:val="auto"/>
                      <w:szCs w:val="21"/>
                      <w:lang w:val="en-US" w:eastAsia="zh-CN"/>
                    </w:rPr>
                    <w:t>，无泥浆废水外排。</w:t>
                  </w:r>
                </w:p>
              </w:tc>
            </w:tr>
            <w:tr w14:paraId="3F3976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76" w:type="pct"/>
                  <w:vMerge w:val="continue"/>
                  <w:vAlign w:val="center"/>
                </w:tcPr>
                <w:p w14:paraId="26925CC9">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7665BA1D">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3843" w:type="pct"/>
                  <w:vAlign w:val="center"/>
                </w:tcPr>
                <w:p w14:paraId="2B8F117E">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选用低噪声设备</w:t>
                  </w:r>
                  <w:r>
                    <w:rPr>
                      <w:rFonts w:hint="eastAsia" w:ascii="Times New Roman" w:hAnsi="Times New Roman" w:eastAsia="宋体" w:cs="Times New Roman"/>
                      <w:color w:val="auto"/>
                      <w:szCs w:val="21"/>
                      <w:lang w:eastAsia="zh-CN"/>
                    </w:rPr>
                    <w:t>、合理布局施工场地和安排施工时间、</w:t>
                  </w:r>
                  <w:r>
                    <w:rPr>
                      <w:rFonts w:ascii="Times New Roman" w:hAnsi="Times New Roman" w:eastAsia="宋体" w:cs="Times New Roman"/>
                      <w:color w:val="auto"/>
                      <w:szCs w:val="21"/>
                    </w:rPr>
                    <w:t>采取基础减振</w:t>
                  </w:r>
                  <w:r>
                    <w:rPr>
                      <w:rFonts w:hint="eastAsia" w:ascii="Times New Roman" w:hAnsi="Times New Roman" w:eastAsia="宋体" w:cs="Times New Roman"/>
                      <w:color w:val="auto"/>
                      <w:szCs w:val="21"/>
                      <w:lang w:eastAsia="zh-CN"/>
                    </w:rPr>
                    <w:t>、建筑物隔声等</w:t>
                  </w:r>
                  <w:r>
                    <w:rPr>
                      <w:rFonts w:ascii="Times New Roman" w:hAnsi="Times New Roman" w:eastAsia="宋体" w:cs="Times New Roman"/>
                      <w:color w:val="auto"/>
                      <w:szCs w:val="21"/>
                    </w:rPr>
                    <w:t>降噪措施进行噪声控制。</w:t>
                  </w:r>
                </w:p>
              </w:tc>
            </w:tr>
            <w:tr w14:paraId="0FA39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76" w:type="pct"/>
                  <w:vMerge w:val="continue"/>
                  <w:vAlign w:val="center"/>
                </w:tcPr>
                <w:p w14:paraId="44E9F4B9">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16913F71">
                  <w:pPr>
                    <w:autoSpaceDE w:val="0"/>
                    <w:autoSpaceDN w:val="0"/>
                    <w:adjustRightInd w:val="0"/>
                    <w:snapToGrid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固废</w:t>
                  </w:r>
                </w:p>
              </w:tc>
              <w:tc>
                <w:tcPr>
                  <w:tcW w:w="3843" w:type="pct"/>
                  <w:vAlign w:val="center"/>
                </w:tcPr>
                <w:p w14:paraId="79A83633">
                  <w:pPr>
                    <w:keepNext w:val="0"/>
                    <w:keepLines w:val="0"/>
                    <w:widowControl/>
                    <w:suppressLineNumbers w:val="0"/>
                    <w:jc w:val="left"/>
                    <w:rPr>
                      <w:rFonts w:ascii="Times New Roman" w:hAnsi="Times New Roman" w:eastAsia="宋体" w:cs="Times New Roman"/>
                      <w:color w:val="auto"/>
                      <w:szCs w:val="21"/>
                    </w:rPr>
                  </w:pPr>
                  <w:r>
                    <w:rPr>
                      <w:rFonts w:ascii="Times New Roman" w:hAnsi="Times New Roman" w:eastAsia="宋体" w:cs="Times New Roman"/>
                      <w:color w:val="auto"/>
                      <w:szCs w:val="21"/>
                    </w:rPr>
                    <w:t>本项目</w:t>
                  </w:r>
                  <w:r>
                    <w:rPr>
                      <w:rFonts w:ascii="Times New Roman" w:hAnsi="Times New Roman" w:eastAsia="宋体" w:cs="Times New Roman"/>
                      <w:color w:val="auto"/>
                      <w:sz w:val="21"/>
                      <w:szCs w:val="21"/>
                    </w:rPr>
                    <w:t>固体废物</w:t>
                  </w:r>
                  <w:r>
                    <w:rPr>
                      <w:rFonts w:hint="eastAsia" w:ascii="Times New Roman" w:hAnsi="Times New Roman" w:eastAsia="宋体" w:cs="Times New Roman"/>
                      <w:color w:val="auto"/>
                      <w:sz w:val="21"/>
                      <w:szCs w:val="21"/>
                      <w:lang w:eastAsia="zh-CN"/>
                    </w:rPr>
                    <w:t>为钻井期间产生的</w:t>
                  </w:r>
                  <w:r>
                    <w:rPr>
                      <w:rFonts w:hint="eastAsia" w:ascii="Times New Roman" w:hAnsi="Times New Roman" w:eastAsia="宋体" w:cs="Times New Roman"/>
                      <w:bCs/>
                      <w:color w:val="auto"/>
                      <w:sz w:val="21"/>
                      <w:szCs w:val="21"/>
                    </w:rPr>
                    <w:t>钻井</w:t>
                  </w:r>
                  <w:r>
                    <w:rPr>
                      <w:rFonts w:hint="eastAsia" w:ascii="Times New Roman" w:hAnsi="Times New Roman" w:eastAsia="宋体" w:cs="Times New Roman"/>
                      <w:bCs/>
                      <w:color w:val="auto"/>
                      <w:sz w:val="21"/>
                      <w:szCs w:val="21"/>
                      <w:lang w:eastAsia="zh-CN"/>
                    </w:rPr>
                    <w:t>岩屑、废</w:t>
                  </w:r>
                  <w:r>
                    <w:rPr>
                      <w:rFonts w:hint="eastAsia" w:ascii="Times New Roman" w:hAnsi="Times New Roman" w:eastAsia="宋体" w:cs="Times New Roman"/>
                      <w:bCs/>
                      <w:color w:val="auto"/>
                      <w:sz w:val="21"/>
                      <w:szCs w:val="21"/>
                    </w:rPr>
                    <w:t>泥浆</w:t>
                  </w:r>
                  <w:r>
                    <w:rPr>
                      <w:rFonts w:hint="eastAsia" w:ascii="Times New Roman" w:hAnsi="Times New Roman" w:eastAsia="宋体" w:cs="Times New Roman"/>
                      <w:bCs/>
                      <w:color w:val="auto"/>
                      <w:sz w:val="21"/>
                      <w:szCs w:val="21"/>
                      <w:lang w:eastAsia="zh-CN"/>
                    </w:rPr>
                    <w:t>、废包装材料、</w:t>
                  </w:r>
                  <w:r>
                    <w:rPr>
                      <w:rFonts w:hint="default" w:ascii="Times New Roman" w:hAnsi="Times New Roman" w:eastAsia="宋体" w:cs="Times New Roman"/>
                      <w:color w:val="auto"/>
                      <w:sz w:val="21"/>
                      <w:szCs w:val="21"/>
                      <w:lang w:eastAsia="zh-CN"/>
                    </w:rPr>
                    <w:t>废</w:t>
                  </w:r>
                  <w:r>
                    <w:rPr>
                      <w:rFonts w:hint="eastAsia" w:ascii="Times New Roman" w:hAnsi="Times New Roman" w:eastAsia="宋体" w:cs="Times New Roman"/>
                      <w:color w:val="auto"/>
                      <w:sz w:val="21"/>
                      <w:szCs w:val="21"/>
                      <w:lang w:eastAsia="zh-CN"/>
                    </w:rPr>
                    <w:t>含油抹布、手套、</w:t>
                  </w:r>
                  <w:r>
                    <w:rPr>
                      <w:rFonts w:hint="eastAsia" w:ascii="Times New Roman" w:hAnsi="Times New Roman" w:eastAsia="宋体" w:cs="Times New Roman"/>
                      <w:bCs/>
                      <w:color w:val="auto"/>
                      <w:sz w:val="21"/>
                      <w:szCs w:val="21"/>
                      <w:lang w:eastAsia="zh-CN"/>
                    </w:rPr>
                    <w:t>员工生活垃圾等。生活垃圾设置垃圾桶收集后交给当地环卫部门处置</w:t>
                  </w:r>
                  <w:r>
                    <w:rPr>
                      <w:rFonts w:hint="eastAsia" w:ascii="Times New Roman" w:hAnsi="Times New Roman" w:eastAsia="宋体" w:cs="Times New Roman"/>
                      <w:color w:val="auto"/>
                      <w:sz w:val="21"/>
                      <w:szCs w:val="21"/>
                      <w:lang w:eastAsia="zh-CN"/>
                    </w:rPr>
                    <w:t>。废</w:t>
                  </w:r>
                  <w:r>
                    <w:rPr>
                      <w:rFonts w:hint="eastAsia" w:ascii="Times New Roman" w:hAnsi="Times New Roman" w:eastAsia="宋体" w:cs="Times New Roman"/>
                      <w:color w:val="auto"/>
                      <w:szCs w:val="21"/>
                      <w:lang w:eastAsia="zh-CN"/>
                    </w:rPr>
                    <w:t>泥浆暂存</w:t>
                  </w:r>
                  <w:r>
                    <w:rPr>
                      <w:rFonts w:hint="eastAsia" w:ascii="Times New Roman" w:hAnsi="Times New Roman" w:eastAsia="宋体" w:cs="Times New Roman"/>
                      <w:color w:val="auto"/>
                      <w:szCs w:val="21"/>
                      <w:highlight w:val="none"/>
                      <w:lang w:eastAsia="zh-CN"/>
                    </w:rPr>
                    <w:t>于泥浆池</w:t>
                  </w:r>
                  <w:r>
                    <w:rPr>
                      <w:rFonts w:hint="eastAsia" w:ascii="Times New Roman" w:hAnsi="Times New Roman" w:eastAsia="宋体" w:cs="Times New Roman"/>
                      <w:color w:val="auto"/>
                      <w:szCs w:val="21"/>
                      <w:lang w:eastAsia="zh-CN"/>
                    </w:rPr>
                    <w:t>中</w:t>
                  </w:r>
                  <w:r>
                    <w:rPr>
                      <w:rFonts w:hint="eastAsia" w:ascii="Times New Roman" w:hAnsi="Times New Roman" w:eastAsia="宋体" w:cs="Times New Roman"/>
                      <w:color w:val="auto"/>
                      <w:szCs w:val="21"/>
                      <w:lang w:val="en-US" w:eastAsia="zh-CN"/>
                    </w:rPr>
                    <w:t>，施工完成后加入固化剂固化后用于周边道路填筑。</w:t>
                  </w:r>
                  <w:r>
                    <w:rPr>
                      <w:rFonts w:hint="eastAsia" w:ascii="Times New Roman" w:hAnsi="Times New Roman" w:eastAsia="宋体" w:cs="Times New Roman"/>
                      <w:color w:val="auto"/>
                      <w:szCs w:val="21"/>
                      <w:lang w:eastAsia="zh-CN"/>
                    </w:rPr>
                    <w:t>岩屑暂存于场地砂池中，自然干化用于</w:t>
                  </w:r>
                  <w:r>
                    <w:rPr>
                      <w:rFonts w:hint="eastAsia" w:ascii="Times New Roman" w:hAnsi="Times New Roman" w:eastAsia="宋体" w:cs="Times New Roman"/>
                      <w:color w:val="auto"/>
                      <w:szCs w:val="21"/>
                      <w:lang w:val="en-US" w:eastAsia="zh-CN"/>
                    </w:rPr>
                    <w:t>周边道路填筑</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 w:val="21"/>
                      <w:szCs w:val="21"/>
                      <w:lang w:eastAsia="zh-CN"/>
                    </w:rPr>
                    <w:t>废包装材料交由第三方公司进行综合利用。</w:t>
                  </w:r>
                  <w:r>
                    <w:rPr>
                      <w:rFonts w:hint="default" w:ascii="Times New Roman" w:hAnsi="Times New Roman" w:eastAsia="宋体" w:cs="Times New Roman"/>
                      <w:color w:val="auto"/>
                      <w:sz w:val="21"/>
                      <w:szCs w:val="21"/>
                      <w:lang w:val="en-US" w:eastAsia="zh-CN"/>
                    </w:rPr>
                    <w:t>施工期产生的</w:t>
                  </w:r>
                  <w:r>
                    <w:rPr>
                      <w:rFonts w:hint="eastAsia" w:ascii="Times New Roman" w:hAnsi="Times New Roman" w:eastAsia="宋体" w:cs="Times New Roman"/>
                      <w:color w:val="auto"/>
                      <w:sz w:val="21"/>
                      <w:szCs w:val="21"/>
                      <w:lang w:val="en-US" w:eastAsia="zh-CN"/>
                    </w:rPr>
                    <w:t>废润滑油及油桶、</w:t>
                  </w:r>
                  <w:r>
                    <w:rPr>
                      <w:rFonts w:hint="default" w:ascii="Times New Roman" w:hAnsi="Times New Roman" w:eastAsia="宋体" w:cs="Times New Roman"/>
                      <w:color w:val="auto"/>
                      <w:sz w:val="21"/>
                      <w:szCs w:val="21"/>
                      <w:lang w:eastAsia="zh-CN"/>
                    </w:rPr>
                    <w:t>废</w:t>
                  </w:r>
                  <w:r>
                    <w:rPr>
                      <w:rFonts w:hint="eastAsia" w:ascii="Times New Roman" w:hAnsi="Times New Roman" w:eastAsia="宋体" w:cs="Times New Roman"/>
                      <w:color w:val="auto"/>
                      <w:sz w:val="21"/>
                      <w:szCs w:val="21"/>
                      <w:lang w:eastAsia="zh-CN"/>
                    </w:rPr>
                    <w:t>含油抹布、手套等</w:t>
                  </w:r>
                  <w:r>
                    <w:rPr>
                      <w:rFonts w:hint="default" w:ascii="Times New Roman" w:hAnsi="Times New Roman" w:eastAsia="宋体" w:cs="Times New Roman"/>
                      <w:color w:val="auto"/>
                      <w:sz w:val="21"/>
                      <w:szCs w:val="21"/>
                      <w:lang w:val="en-US" w:eastAsia="zh-CN"/>
                    </w:rPr>
                    <w:t>暂存于</w:t>
                  </w:r>
                  <w:r>
                    <w:rPr>
                      <w:rFonts w:hint="eastAsia" w:ascii="Times New Roman" w:hAnsi="Times New Roman" w:eastAsia="宋体" w:cs="Times New Roman"/>
                      <w:color w:val="auto"/>
                      <w:sz w:val="21"/>
                      <w:szCs w:val="21"/>
                      <w:lang w:val="en-US" w:eastAsia="zh-CN"/>
                    </w:rPr>
                    <w:t>施工现场的危废暂存间，</w:t>
                  </w:r>
                  <w:r>
                    <w:rPr>
                      <w:rFonts w:hint="default" w:ascii="Times New Roman" w:hAnsi="Times New Roman" w:eastAsia="宋体" w:cs="Times New Roman"/>
                      <w:color w:val="auto"/>
                      <w:sz w:val="21"/>
                      <w:szCs w:val="21"/>
                      <w:lang w:eastAsia="zh-CN"/>
                    </w:rPr>
                    <w:t>定期交有资质单位处置。</w:t>
                  </w:r>
                  <w:r>
                    <w:rPr>
                      <w:rFonts w:hint="eastAsia" w:ascii="Times New Roman" w:hAnsi="Times New Roman" w:eastAsia="宋体" w:cs="Times New Roman"/>
                      <w:color w:val="auto"/>
                      <w:sz w:val="21"/>
                      <w:szCs w:val="21"/>
                      <w:lang w:val="en-US" w:eastAsia="zh-CN"/>
                    </w:rPr>
                    <w:t>本项目在2#施工场地设置1处危废暂存间，面积约5m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，用于存储施工过程中产生的危废。危废暂存间</w:t>
                  </w:r>
                  <w:r>
                    <w:rPr>
                      <w:rFonts w:hint="eastAsia" w:ascii="Times New Roman" w:hAnsi="Times New Roman" w:eastAsia="宋体" w:cs="Times New Roman"/>
                      <w:color w:val="auto"/>
                      <w:sz w:val="21"/>
                      <w:szCs w:val="21"/>
                      <w:highlight w:val="none"/>
                      <w:lang w:eastAsia="zh-CN"/>
                    </w:rPr>
                    <w:t>地面做</w:t>
                  </w:r>
                  <w:r>
                    <w:rPr>
                      <w:rFonts w:hint="eastAsia" w:ascii="宋体" w:hAnsi="宋体" w:eastAsia="宋体" w:cs="宋体"/>
                      <w:color w:val="auto"/>
                      <w:kern w:val="0"/>
                      <w:sz w:val="21"/>
                      <w:szCs w:val="21"/>
                      <w:lang w:val="en-US" w:eastAsia="zh-CN" w:bidi="ar"/>
                    </w:rPr>
                    <w:t>基础防渗，防渗层为至少</w:t>
                  </w:r>
                  <w:r>
                    <w:rPr>
                      <w:rFonts w:hint="default" w:ascii="Times New Roman" w:hAnsi="Times New Roman" w:eastAsia="宋体" w:cs="Times New Roman"/>
                      <w:color w:val="auto"/>
                      <w:kern w:val="0"/>
                      <w:sz w:val="21"/>
                      <w:szCs w:val="21"/>
                      <w:lang w:val="en-US" w:eastAsia="zh-CN" w:bidi="ar"/>
                    </w:rPr>
                    <w:t xml:space="preserve">1 m </w:t>
                  </w:r>
                  <w:r>
                    <w:rPr>
                      <w:rFonts w:hint="eastAsia" w:ascii="宋体" w:hAnsi="宋体" w:eastAsia="宋体" w:cs="宋体"/>
                      <w:color w:val="auto"/>
                      <w:kern w:val="0"/>
                      <w:sz w:val="21"/>
                      <w:szCs w:val="21"/>
                      <w:lang w:val="en-US" w:eastAsia="zh-CN" w:bidi="ar"/>
                    </w:rPr>
                    <w:t xml:space="preserve">厚黏土层（渗透系数不大于 </w:t>
                  </w:r>
                  <w:r>
                    <w:rPr>
                      <w:rFonts w:hint="default" w:ascii="Times New Roman" w:hAnsi="Times New Roman" w:eastAsia="宋体" w:cs="Times New Roman"/>
                      <w:color w:val="auto"/>
                      <w:kern w:val="0"/>
                      <w:sz w:val="21"/>
                      <w:szCs w:val="21"/>
                      <w:lang w:val="en-US" w:eastAsia="zh-CN" w:bidi="ar"/>
                    </w:rPr>
                    <w:t>10 -7 cm/s</w:t>
                  </w:r>
                  <w:r>
                    <w:rPr>
                      <w:rFonts w:hint="eastAsia" w:ascii="宋体" w:hAnsi="宋体" w:eastAsia="宋体" w:cs="宋体"/>
                      <w:color w:val="auto"/>
                      <w:kern w:val="0"/>
                      <w:sz w:val="21"/>
                      <w:szCs w:val="21"/>
                      <w:lang w:val="en-US" w:eastAsia="zh-CN" w:bidi="ar"/>
                    </w:rPr>
                    <w:t>），或至少</w:t>
                  </w:r>
                  <w:r>
                    <w:rPr>
                      <w:rFonts w:hint="default" w:ascii="Times New Roman" w:hAnsi="Times New Roman" w:eastAsia="宋体" w:cs="Times New Roman"/>
                      <w:color w:val="auto"/>
                      <w:kern w:val="0"/>
                      <w:sz w:val="21"/>
                      <w:szCs w:val="21"/>
                      <w:lang w:val="en-US" w:eastAsia="zh-CN" w:bidi="ar"/>
                    </w:rPr>
                    <w:t xml:space="preserve">2 mm </w:t>
                  </w:r>
                  <w:r>
                    <w:rPr>
                      <w:rFonts w:hint="eastAsia" w:ascii="宋体" w:hAnsi="宋体" w:eastAsia="宋体" w:cs="宋体"/>
                      <w:color w:val="auto"/>
                      <w:kern w:val="0"/>
                      <w:sz w:val="21"/>
                      <w:szCs w:val="21"/>
                      <w:lang w:val="en-US" w:eastAsia="zh-CN" w:bidi="ar"/>
                    </w:rPr>
                    <w:t xml:space="preserve">厚高密度聚乙烯膜等人工防渗材料（渗透系数不大于 </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 xml:space="preserve"> -10 </w:t>
                  </w:r>
                  <w:r>
                    <w:rPr>
                      <w:rFonts w:hint="default" w:ascii="Times New Roman" w:hAnsi="Times New Roman" w:eastAsia="宋体" w:cs="Times New Roman"/>
                      <w:color w:val="auto"/>
                      <w:kern w:val="0"/>
                      <w:sz w:val="21"/>
                      <w:szCs w:val="21"/>
                      <w:lang w:val="en-US" w:eastAsia="zh-CN" w:bidi="ar"/>
                    </w:rPr>
                    <w:t>cm/s</w:t>
                  </w:r>
                  <w:r>
                    <w:rPr>
                      <w:rFonts w:hint="eastAsia" w:ascii="Times New Roman" w:hAnsi="Times New Roman" w:eastAsia="宋体" w:cs="Times New Roman"/>
                      <w:color w:val="auto"/>
                      <w:kern w:val="0"/>
                      <w:sz w:val="21"/>
                      <w:szCs w:val="21"/>
                      <w:lang w:val="en-US" w:eastAsia="zh-CN" w:bidi="ar"/>
                    </w:rPr>
                    <w:t>。危废间设置防渗漏托盘。</w:t>
                  </w:r>
                </w:p>
              </w:tc>
            </w:tr>
            <w:tr w14:paraId="65495C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476" w:type="pct"/>
                  <w:vMerge w:val="continue"/>
                  <w:vAlign w:val="center"/>
                </w:tcPr>
                <w:p w14:paraId="7CBCC9BB">
                  <w:pPr>
                    <w:autoSpaceDE w:val="0"/>
                    <w:autoSpaceDN w:val="0"/>
                    <w:adjustRightInd w:val="0"/>
                    <w:snapToGrid w:val="0"/>
                    <w:jc w:val="left"/>
                    <w:rPr>
                      <w:rFonts w:ascii="Times New Roman" w:hAnsi="Times New Roman" w:eastAsia="宋体" w:cs="Times New Roman"/>
                      <w:color w:val="auto"/>
                      <w:szCs w:val="21"/>
                    </w:rPr>
                  </w:pPr>
                </w:p>
              </w:tc>
              <w:tc>
                <w:tcPr>
                  <w:tcW w:w="680" w:type="pct"/>
                  <w:shd w:val="clear" w:color="auto" w:fill="auto"/>
                  <w:vAlign w:val="center"/>
                </w:tcPr>
                <w:p w14:paraId="24264F93">
                  <w:pPr>
                    <w:autoSpaceDE w:val="0"/>
                    <w:autoSpaceDN w:val="0"/>
                    <w:adjustRightInd w:val="0"/>
                    <w:snapToGrid w:val="0"/>
                    <w:jc w:val="left"/>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Cs w:val="21"/>
                      <w:highlight w:val="none"/>
                    </w:rPr>
                    <w:t>生态保护</w:t>
                  </w:r>
                </w:p>
              </w:tc>
              <w:tc>
                <w:tcPr>
                  <w:tcW w:w="3843" w:type="pct"/>
                  <w:shd w:val="clear" w:color="auto" w:fill="auto"/>
                  <w:vAlign w:val="center"/>
                </w:tcPr>
                <w:p w14:paraId="7577F025">
                  <w:pPr>
                    <w:pStyle w:val="2"/>
                    <w:ind w:left="12" w:leftChars="0" w:hanging="12" w:firstLineChars="0"/>
                    <w:rPr>
                      <w:rFonts w:hint="eastAsia" w:ascii="Times New Roman" w:hAnsi="Times New Roman" w:eastAsia="黑体" w:cs="Times New Roman"/>
                      <w:b/>
                      <w:bCs/>
                      <w:color w:val="auto"/>
                      <w:kern w:val="44"/>
                      <w:sz w:val="30"/>
                      <w:szCs w:val="30"/>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施工前进行表土剥离，放在专门的表土堆放区，每个施工场地的表土堆放区应设置截、排水沟、苫盖等措施；</w:t>
                  </w:r>
                  <w:r>
                    <w:rPr>
                      <w:rFonts w:ascii="Times New Roman" w:hAnsi="Times New Roman" w:eastAsia="宋体" w:cs="Times New Roman"/>
                      <w:b w:val="0"/>
                      <w:bCs w:val="0"/>
                      <w:color w:val="auto"/>
                      <w:kern w:val="2"/>
                      <w:sz w:val="21"/>
                      <w:szCs w:val="21"/>
                      <w:highlight w:val="none"/>
                      <w:lang w:val="en-US" w:eastAsia="zh-CN" w:bidi="ar-SA"/>
                    </w:rPr>
                    <w:t>严格控制施工活动范围，减少项目占地影响；项目施工时做好水土保持防护措施，以防雨水冲刷造成水土流失；施工结束后，按照已批复的土地复垦方案进行土地复垦，恢复场地原状。</w:t>
                  </w:r>
                </w:p>
              </w:tc>
            </w:tr>
            <w:tr w14:paraId="336956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76" w:type="pct"/>
                  <w:vMerge w:val="continue"/>
                  <w:vAlign w:val="center"/>
                </w:tcPr>
                <w:p w14:paraId="51C8D2C0">
                  <w:pPr>
                    <w:autoSpaceDE w:val="0"/>
                    <w:autoSpaceDN w:val="0"/>
                    <w:adjustRightInd w:val="0"/>
                    <w:snapToGrid w:val="0"/>
                    <w:jc w:val="left"/>
                    <w:rPr>
                      <w:rFonts w:ascii="Times New Roman" w:hAnsi="Times New Roman" w:eastAsia="宋体" w:cs="Times New Roman"/>
                      <w:color w:val="auto"/>
                      <w:szCs w:val="21"/>
                    </w:rPr>
                  </w:pPr>
                </w:p>
              </w:tc>
              <w:tc>
                <w:tcPr>
                  <w:tcW w:w="680" w:type="pct"/>
                  <w:vAlign w:val="center"/>
                </w:tcPr>
                <w:p w14:paraId="6569D359">
                  <w:pPr>
                    <w:autoSpaceDE w:val="0"/>
                    <w:autoSpaceDN w:val="0"/>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土壤及下水水</w:t>
                  </w:r>
                </w:p>
              </w:tc>
              <w:tc>
                <w:tcPr>
                  <w:tcW w:w="3843" w:type="pct"/>
                  <w:vAlign w:val="center"/>
                </w:tcPr>
                <w:p w14:paraId="705647FC">
                  <w:pPr>
                    <w:pStyle w:val="2"/>
                    <w:ind w:left="12" w:leftChars="0" w:hanging="12" w:firstLineChars="0"/>
                    <w:rPr>
                      <w:b w:val="0"/>
                      <w:bCs w:val="0"/>
                      <w:color w:val="auto"/>
                      <w:highlight w:val="none"/>
                    </w:rPr>
                  </w:pPr>
                  <w:r>
                    <w:rPr>
                      <w:rFonts w:hint="eastAsia" w:eastAsia="宋体" w:cs="Times New Roman"/>
                      <w:b w:val="0"/>
                      <w:bCs w:val="0"/>
                      <w:color w:val="auto"/>
                      <w:sz w:val="21"/>
                      <w:szCs w:val="21"/>
                      <w:lang w:val="en-US" w:eastAsia="zh-CN"/>
                    </w:rPr>
                    <w:t>施工场地分区防渗，</w:t>
                  </w:r>
                  <w:r>
                    <w:rPr>
                      <w:rFonts w:hint="eastAsia" w:ascii="Times New Roman" w:hAnsi="Times New Roman" w:eastAsia="宋体" w:cs="Times New Roman"/>
                      <w:b w:val="0"/>
                      <w:bCs w:val="0"/>
                      <w:color w:val="auto"/>
                      <w:sz w:val="21"/>
                      <w:szCs w:val="21"/>
                      <w:lang w:val="en-US" w:eastAsia="zh-CN"/>
                    </w:rPr>
                    <w:t>危废暂存间</w:t>
                  </w:r>
                  <w:r>
                    <w:rPr>
                      <w:rFonts w:hint="eastAsia" w:eastAsia="宋体" w:cs="Times New Roman"/>
                      <w:b w:val="0"/>
                      <w:bCs w:val="0"/>
                      <w:color w:val="auto"/>
                      <w:sz w:val="21"/>
                      <w:szCs w:val="21"/>
                      <w:lang w:val="en-US" w:eastAsia="zh-CN"/>
                    </w:rPr>
                    <w:t>做重点防渗；</w:t>
                  </w:r>
                  <w:r>
                    <w:rPr>
                      <w:rFonts w:hint="default" w:ascii="Times New Roman" w:hAnsi="Times New Roman" w:eastAsia="宋体" w:cs="Times New Roman"/>
                      <w:b w:val="0"/>
                      <w:bCs w:val="0"/>
                      <w:color w:val="auto"/>
                      <w:sz w:val="21"/>
                      <w:szCs w:val="21"/>
                      <w:lang w:val="en-US" w:eastAsia="zh-CN"/>
                    </w:rPr>
                    <w:t>钻井井口区域</w:t>
                  </w:r>
                  <w:r>
                    <w:rPr>
                      <w:rFonts w:hint="eastAsia" w:ascii="Times New Roman" w:hAnsi="Times New Roman" w:eastAsia="宋体" w:cs="Times New Roman"/>
                      <w:b w:val="0"/>
                      <w:bCs w:val="0"/>
                      <w:color w:val="auto"/>
                      <w:sz w:val="21"/>
                      <w:szCs w:val="21"/>
                      <w:lang w:val="en-US" w:eastAsia="zh-CN"/>
                    </w:rPr>
                    <w:t>、泥浆池、沉砂池等区域做一般防渗。</w:t>
                  </w:r>
                  <w:r>
                    <w:rPr>
                      <w:rFonts w:hint="eastAsia" w:eastAsia="宋体" w:cs="Times New Roman"/>
                      <w:b w:val="0"/>
                      <w:bCs w:val="0"/>
                      <w:color w:val="auto"/>
                      <w:sz w:val="21"/>
                      <w:szCs w:val="21"/>
                      <w:lang w:val="en-US" w:eastAsia="zh-CN"/>
                    </w:rPr>
                    <w:t>重点防渗区域</w:t>
                  </w:r>
                  <w:r>
                    <w:rPr>
                      <w:rFonts w:hint="eastAsia" w:ascii="Times New Roman" w:hAnsi="Times New Roman" w:eastAsia="宋体" w:cs="Times New Roman"/>
                      <w:b w:val="0"/>
                      <w:bCs w:val="0"/>
                      <w:color w:val="auto"/>
                      <w:sz w:val="21"/>
                      <w:szCs w:val="21"/>
                      <w:highlight w:val="none"/>
                      <w:lang w:eastAsia="zh-CN"/>
                    </w:rPr>
                    <w:t>地面做</w:t>
                  </w:r>
                  <w:r>
                    <w:rPr>
                      <w:rFonts w:hint="eastAsia" w:ascii="宋体" w:hAnsi="宋体" w:eastAsia="宋体" w:cs="宋体"/>
                      <w:b w:val="0"/>
                      <w:bCs w:val="0"/>
                      <w:color w:val="auto"/>
                      <w:kern w:val="0"/>
                      <w:sz w:val="21"/>
                      <w:szCs w:val="21"/>
                      <w:lang w:val="en-US" w:eastAsia="zh-CN" w:bidi="ar"/>
                    </w:rPr>
                    <w:t>基础防渗，防渗层为至少</w:t>
                  </w:r>
                  <w:r>
                    <w:rPr>
                      <w:rFonts w:hint="default" w:ascii="Times New Roman" w:hAnsi="Times New Roman" w:eastAsia="宋体" w:cs="Times New Roman"/>
                      <w:b w:val="0"/>
                      <w:bCs w:val="0"/>
                      <w:color w:val="auto"/>
                      <w:kern w:val="0"/>
                      <w:sz w:val="21"/>
                      <w:szCs w:val="21"/>
                      <w:lang w:val="en-US" w:eastAsia="zh-CN" w:bidi="ar"/>
                    </w:rPr>
                    <w:t xml:space="preserve">1 m </w:t>
                  </w:r>
                  <w:r>
                    <w:rPr>
                      <w:rFonts w:hint="eastAsia" w:ascii="宋体" w:hAnsi="宋体" w:eastAsia="宋体" w:cs="宋体"/>
                      <w:b w:val="0"/>
                      <w:bCs w:val="0"/>
                      <w:color w:val="auto"/>
                      <w:kern w:val="0"/>
                      <w:sz w:val="21"/>
                      <w:szCs w:val="21"/>
                      <w:lang w:val="en-US" w:eastAsia="zh-CN" w:bidi="ar"/>
                    </w:rPr>
                    <w:t xml:space="preserve">厚黏土层（渗透系数不大于 </w:t>
                  </w:r>
                  <w:r>
                    <w:rPr>
                      <w:rFonts w:hint="default" w:ascii="Times New Roman" w:hAnsi="Times New Roman" w:eastAsia="宋体" w:cs="Times New Roman"/>
                      <w:b w:val="0"/>
                      <w:bCs w:val="0"/>
                      <w:color w:val="auto"/>
                      <w:kern w:val="0"/>
                      <w:sz w:val="21"/>
                      <w:szCs w:val="21"/>
                      <w:lang w:val="en-US" w:eastAsia="zh-CN" w:bidi="ar"/>
                    </w:rPr>
                    <w:t xml:space="preserve">10 </w:t>
                  </w:r>
                  <w:r>
                    <w:rPr>
                      <w:rFonts w:hint="default" w:ascii="Times New Roman" w:hAnsi="Times New Roman" w:eastAsia="宋体" w:cs="Times New Roman"/>
                      <w:b w:val="0"/>
                      <w:bCs w:val="0"/>
                      <w:color w:val="auto"/>
                      <w:kern w:val="0"/>
                      <w:sz w:val="21"/>
                      <w:szCs w:val="21"/>
                      <w:vertAlign w:val="superscript"/>
                      <w:lang w:val="en-US" w:eastAsia="zh-CN" w:bidi="ar"/>
                    </w:rPr>
                    <w:t>-7</w:t>
                  </w:r>
                  <w:r>
                    <w:rPr>
                      <w:rFonts w:hint="default" w:ascii="Times New Roman" w:hAnsi="Times New Roman" w:eastAsia="宋体" w:cs="Times New Roman"/>
                      <w:b w:val="0"/>
                      <w:bCs w:val="0"/>
                      <w:color w:val="auto"/>
                      <w:kern w:val="0"/>
                      <w:sz w:val="21"/>
                      <w:szCs w:val="21"/>
                      <w:lang w:val="en-US" w:eastAsia="zh-CN" w:bidi="ar"/>
                    </w:rPr>
                    <w:t xml:space="preserve"> cm/s</w:t>
                  </w:r>
                  <w:r>
                    <w:rPr>
                      <w:rFonts w:hint="eastAsia" w:ascii="宋体" w:hAnsi="宋体" w:eastAsia="宋体" w:cs="宋体"/>
                      <w:b w:val="0"/>
                      <w:bCs w:val="0"/>
                      <w:color w:val="auto"/>
                      <w:kern w:val="0"/>
                      <w:sz w:val="21"/>
                      <w:szCs w:val="21"/>
                      <w:lang w:val="en-US" w:eastAsia="zh-CN" w:bidi="ar"/>
                    </w:rPr>
                    <w:t>），或至少</w:t>
                  </w:r>
                  <w:r>
                    <w:rPr>
                      <w:rFonts w:hint="default" w:ascii="Times New Roman" w:hAnsi="Times New Roman" w:eastAsia="宋体" w:cs="Times New Roman"/>
                      <w:b w:val="0"/>
                      <w:bCs w:val="0"/>
                      <w:color w:val="auto"/>
                      <w:kern w:val="0"/>
                      <w:sz w:val="21"/>
                      <w:szCs w:val="21"/>
                      <w:lang w:val="en-US" w:eastAsia="zh-CN" w:bidi="ar"/>
                    </w:rPr>
                    <w:t xml:space="preserve">2 mm </w:t>
                  </w:r>
                  <w:r>
                    <w:rPr>
                      <w:rFonts w:hint="eastAsia" w:ascii="宋体" w:hAnsi="宋体" w:eastAsia="宋体" w:cs="宋体"/>
                      <w:b w:val="0"/>
                      <w:bCs w:val="0"/>
                      <w:color w:val="auto"/>
                      <w:kern w:val="0"/>
                      <w:sz w:val="21"/>
                      <w:szCs w:val="21"/>
                      <w:lang w:val="en-US" w:eastAsia="zh-CN" w:bidi="ar"/>
                    </w:rPr>
                    <w:t xml:space="preserve">厚高密度聚乙烯膜等人工防渗材料（渗透系数不大于 </w:t>
                  </w:r>
                  <w:r>
                    <w:rPr>
                      <w:rFonts w:hint="default" w:ascii="Times New Roman" w:hAnsi="Times New Roman" w:eastAsia="宋体" w:cs="Times New Roman"/>
                      <w:b w:val="0"/>
                      <w:bCs w:val="0"/>
                      <w:color w:val="auto"/>
                      <w:kern w:val="0"/>
                      <w:sz w:val="21"/>
                      <w:szCs w:val="21"/>
                      <w:lang w:val="en-US" w:eastAsia="zh-CN" w:bidi="ar"/>
                    </w:rPr>
                    <w:t>10</w:t>
                  </w:r>
                  <w:r>
                    <w:rPr>
                      <w:rFonts w:hint="default" w:ascii="Times New Roman" w:hAnsi="Times New Roman" w:eastAsia="宋体" w:cs="Times New Roman"/>
                      <w:b w:val="0"/>
                      <w:bCs w:val="0"/>
                      <w:color w:val="auto"/>
                      <w:kern w:val="0"/>
                      <w:sz w:val="21"/>
                      <w:szCs w:val="21"/>
                      <w:vertAlign w:val="superscript"/>
                      <w:lang w:val="en-US" w:eastAsia="zh-CN" w:bidi="ar"/>
                    </w:rPr>
                    <w:t xml:space="preserve"> -10 </w:t>
                  </w:r>
                  <w:r>
                    <w:rPr>
                      <w:rFonts w:hint="default" w:ascii="Times New Roman" w:hAnsi="Times New Roman" w:eastAsia="宋体" w:cs="Times New Roman"/>
                      <w:b w:val="0"/>
                      <w:bCs w:val="0"/>
                      <w:color w:val="auto"/>
                      <w:kern w:val="0"/>
                      <w:sz w:val="21"/>
                      <w:szCs w:val="21"/>
                      <w:lang w:val="en-US" w:eastAsia="zh-CN" w:bidi="ar"/>
                    </w:rPr>
                    <w:t>cm/s</w:t>
                  </w:r>
                  <w:r>
                    <w:rPr>
                      <w:rFonts w:hint="eastAsia" w:ascii="Times New Roman" w:hAnsi="Times New Roman" w:eastAsia="宋体" w:cs="Times New Roman"/>
                      <w:b w:val="0"/>
                      <w:bCs w:val="0"/>
                      <w:color w:val="auto"/>
                      <w:kern w:val="0"/>
                      <w:sz w:val="21"/>
                      <w:szCs w:val="21"/>
                      <w:lang w:val="en-US" w:eastAsia="zh-CN" w:bidi="ar"/>
                    </w:rPr>
                    <w:t>。危废间设置防渗漏托盘。一般防渗区采用防渗混凝土作面层，等效黏土防渗层Mb≧1.5m，K≦1×10</w:t>
                  </w:r>
                  <w:r>
                    <w:rPr>
                      <w:rFonts w:hint="eastAsia" w:ascii="Times New Roman" w:hAnsi="Times New Roman" w:eastAsia="宋体" w:cs="Times New Roman"/>
                      <w:b w:val="0"/>
                      <w:bCs w:val="0"/>
                      <w:color w:val="auto"/>
                      <w:kern w:val="0"/>
                      <w:sz w:val="21"/>
                      <w:szCs w:val="21"/>
                      <w:vertAlign w:val="superscript"/>
                      <w:lang w:val="en-US" w:eastAsia="zh-CN" w:bidi="ar"/>
                    </w:rPr>
                    <w:t>-7</w:t>
                  </w:r>
                  <w:r>
                    <w:rPr>
                      <w:rFonts w:hint="eastAsia" w:ascii="Times New Roman" w:hAnsi="Times New Roman" w:eastAsia="宋体" w:cs="Times New Roman"/>
                      <w:b w:val="0"/>
                      <w:bCs w:val="0"/>
                      <w:color w:val="auto"/>
                      <w:kern w:val="0"/>
                      <w:sz w:val="21"/>
                      <w:szCs w:val="21"/>
                      <w:lang w:val="en-US" w:eastAsia="zh-CN" w:bidi="ar"/>
                    </w:rPr>
                    <w:t>cm/s；</w:t>
                  </w:r>
                </w:p>
              </w:tc>
            </w:tr>
          </w:tbl>
          <w:p w14:paraId="5EE1275C">
            <w:pPr>
              <w:pStyle w:val="97"/>
              <w:numPr>
                <w:ilvl w:val="0"/>
                <w:numId w:val="0"/>
              </w:numPr>
              <w:tabs>
                <w:tab w:val="left" w:pos="2100"/>
              </w:tabs>
              <w:spacing w:line="240" w:lineRule="auto"/>
              <w:ind w:left="2100" w:leftChars="0"/>
              <w:jc w:val="both"/>
              <w:rPr>
                <w:rFonts w:hint="eastAsia" w:ascii="Times New Roman" w:hAnsi="宋体" w:eastAsia="宋体" w:cs="Times New Roman"/>
                <w:b/>
                <w:color w:val="auto"/>
                <w:kern w:val="0"/>
                <w:sz w:val="24"/>
                <w:szCs w:val="24"/>
              </w:rPr>
            </w:pPr>
          </w:p>
          <w:p w14:paraId="57393A3D">
            <w:pPr>
              <w:pStyle w:val="97"/>
              <w:numPr>
                <w:ilvl w:val="0"/>
                <w:numId w:val="0"/>
              </w:numPr>
              <w:tabs>
                <w:tab w:val="left" w:pos="2100"/>
              </w:tabs>
              <w:spacing w:line="240" w:lineRule="auto"/>
              <w:ind w:left="2100" w:leftChars="0"/>
              <w:jc w:val="both"/>
              <w:rPr>
                <w:rFonts w:hint="eastAsia" w:ascii="Times New Roman" w:hAnsi="宋体" w:eastAsia="宋体" w:cs="Times New Roman"/>
                <w:b/>
                <w:color w:val="auto"/>
                <w:kern w:val="0"/>
                <w:sz w:val="24"/>
                <w:szCs w:val="24"/>
              </w:rPr>
            </w:pPr>
          </w:p>
          <w:p w14:paraId="0B80C3BE">
            <w:pPr>
              <w:pStyle w:val="97"/>
              <w:numPr>
                <w:ilvl w:val="1"/>
                <w:numId w:val="2"/>
              </w:numPr>
              <w:tabs>
                <w:tab w:val="left" w:pos="2100"/>
                <w:tab w:val="clear" w:pos="1440"/>
              </w:tabs>
              <w:spacing w:line="240" w:lineRule="auto"/>
              <w:ind w:left="3300" w:leftChars="0" w:hanging="1200" w:firstLineChars="0"/>
              <w:jc w:val="both"/>
              <w:rPr>
                <w:rFonts w:hint="eastAsia" w:ascii="Times New Roman" w:hAnsi="宋体" w:eastAsia="宋体" w:cs="Times New Roman"/>
                <w:b/>
                <w:color w:val="auto"/>
                <w:kern w:val="0"/>
                <w:sz w:val="24"/>
                <w:szCs w:val="24"/>
              </w:rPr>
            </w:pPr>
            <w:r>
              <w:rPr>
                <w:rFonts w:hint="eastAsia" w:ascii="Times New Roman" w:eastAsia="宋体" w:cs="Times New Roman"/>
                <w:b/>
                <w:color w:val="auto"/>
                <w:kern w:val="0"/>
                <w:sz w:val="24"/>
                <w:szCs w:val="24"/>
                <w:lang w:eastAsia="zh-CN"/>
              </w:rPr>
              <w:t>钻孔基本情况一览表</w:t>
            </w:r>
          </w:p>
          <w:tbl>
            <w:tblPr>
              <w:tblStyle w:val="26"/>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966"/>
              <w:gridCol w:w="979"/>
              <w:gridCol w:w="983"/>
              <w:gridCol w:w="1140"/>
              <w:gridCol w:w="653"/>
              <w:gridCol w:w="2847"/>
            </w:tblGrid>
            <w:tr w14:paraId="7614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blHeader/>
                <w:jc w:val="center"/>
              </w:trPr>
              <w:tc>
                <w:tcPr>
                  <w:tcW w:w="394" w:type="pct"/>
                  <w:vMerge w:val="restart"/>
                  <w:vAlign w:val="top"/>
                </w:tcPr>
                <w:p w14:paraId="28CB015E">
                  <w:pPr>
                    <w:pStyle w:val="99"/>
                    <w:jc w:val="center"/>
                    <w:rPr>
                      <w:rFonts w:hint="eastAsia"/>
                    </w:rPr>
                  </w:pPr>
                  <w:r>
                    <w:rPr>
                      <w:rFonts w:hint="eastAsia"/>
                    </w:rPr>
                    <w:t>钻井编号</w:t>
                  </w:r>
                </w:p>
              </w:tc>
              <w:tc>
                <w:tcPr>
                  <w:tcW w:w="1183" w:type="pct"/>
                  <w:gridSpan w:val="2"/>
                  <w:vAlign w:val="top"/>
                </w:tcPr>
                <w:p w14:paraId="399E4E01">
                  <w:pPr>
                    <w:pStyle w:val="99"/>
                    <w:jc w:val="center"/>
                    <w:rPr>
                      <w:rFonts w:hint="eastAsia"/>
                    </w:rPr>
                  </w:pPr>
                  <w:r>
                    <w:rPr>
                      <w:rFonts w:hint="eastAsia"/>
                    </w:rPr>
                    <w:t>地表井口坐标</w:t>
                  </w:r>
                </w:p>
              </w:tc>
              <w:tc>
                <w:tcPr>
                  <w:tcW w:w="1291" w:type="pct"/>
                  <w:gridSpan w:val="2"/>
                  <w:vAlign w:val="top"/>
                </w:tcPr>
                <w:p w14:paraId="53430B2E">
                  <w:pPr>
                    <w:pStyle w:val="99"/>
                    <w:jc w:val="center"/>
                    <w:rPr>
                      <w:rFonts w:hint="eastAsia"/>
                    </w:rPr>
                  </w:pPr>
                  <w:r>
                    <w:rPr>
                      <w:rFonts w:hint="eastAsia"/>
                    </w:rPr>
                    <w:t>目标层（</w:t>
                  </w:r>
                  <w:r>
                    <w:t>13-1煤）坐标</w:t>
                  </w:r>
                </w:p>
              </w:tc>
              <w:tc>
                <w:tcPr>
                  <w:tcW w:w="397" w:type="pct"/>
                  <w:vMerge w:val="restart"/>
                  <w:vAlign w:val="top"/>
                </w:tcPr>
                <w:p w14:paraId="68DF446D">
                  <w:pPr>
                    <w:pStyle w:val="99"/>
                    <w:jc w:val="center"/>
                    <w:rPr>
                      <w:rFonts w:hint="eastAsia" w:eastAsiaTheme="minorEastAsia"/>
                      <w:lang w:eastAsia="zh-CN"/>
                    </w:rPr>
                  </w:pPr>
                  <w:r>
                    <w:rPr>
                      <w:rFonts w:hint="eastAsia"/>
                      <w:lang w:eastAsia="zh-CN"/>
                    </w:rPr>
                    <w:t>钻孔深度（</w:t>
                  </w:r>
                  <w:r>
                    <w:rPr>
                      <w:rFonts w:hint="eastAsia"/>
                      <w:lang w:val="en-US" w:eastAsia="zh-CN"/>
                    </w:rPr>
                    <w:t>m</w:t>
                  </w:r>
                  <w:r>
                    <w:rPr>
                      <w:rFonts w:hint="eastAsia"/>
                      <w:lang w:eastAsia="zh-CN"/>
                    </w:rPr>
                    <w:t>）</w:t>
                  </w:r>
                </w:p>
              </w:tc>
              <w:tc>
                <w:tcPr>
                  <w:tcW w:w="1732" w:type="pct"/>
                  <w:vMerge w:val="restart"/>
                  <w:vAlign w:val="top"/>
                </w:tcPr>
                <w:p w14:paraId="4DCF0590">
                  <w:pPr>
                    <w:pStyle w:val="99"/>
                    <w:jc w:val="center"/>
                    <w:rPr>
                      <w:rFonts w:hint="eastAsia" w:eastAsiaTheme="minorEastAsia"/>
                      <w:lang w:eastAsia="zh-CN"/>
                    </w:rPr>
                  </w:pPr>
                  <w:r>
                    <w:rPr>
                      <w:rFonts w:hint="eastAsia"/>
                      <w:lang w:eastAsia="zh-CN"/>
                    </w:rPr>
                    <w:t>钻孔结构</w:t>
                  </w:r>
                </w:p>
              </w:tc>
            </w:tr>
            <w:tr w14:paraId="4AD6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exact"/>
                <w:tblHeader/>
                <w:jc w:val="center"/>
              </w:trPr>
              <w:tc>
                <w:tcPr>
                  <w:tcW w:w="394" w:type="pct"/>
                  <w:vMerge w:val="continue"/>
                  <w:vAlign w:val="top"/>
                </w:tcPr>
                <w:p w14:paraId="27BEB2FC">
                  <w:pPr>
                    <w:pStyle w:val="99"/>
                    <w:jc w:val="center"/>
                    <w:rPr>
                      <w:rFonts w:hint="eastAsia"/>
                    </w:rPr>
                  </w:pPr>
                </w:p>
              </w:tc>
              <w:tc>
                <w:tcPr>
                  <w:tcW w:w="587" w:type="pct"/>
                  <w:vAlign w:val="top"/>
                </w:tcPr>
                <w:p w14:paraId="078EAFF1">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坐标X</w:t>
                  </w:r>
                </w:p>
                <w:p w14:paraId="0CAACAED">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（纬距）</w:t>
                  </w:r>
                </w:p>
              </w:tc>
              <w:tc>
                <w:tcPr>
                  <w:tcW w:w="595" w:type="pct"/>
                  <w:vAlign w:val="top"/>
                </w:tcPr>
                <w:p w14:paraId="3A6510BA">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坐标Y</w:t>
                  </w:r>
                </w:p>
                <w:p w14:paraId="04371AC9">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（经距）</w:t>
                  </w:r>
                </w:p>
              </w:tc>
              <w:tc>
                <w:tcPr>
                  <w:tcW w:w="598" w:type="pct"/>
                  <w:vAlign w:val="top"/>
                </w:tcPr>
                <w:p w14:paraId="229DC01F">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坐标X</w:t>
                  </w:r>
                </w:p>
                <w:p w14:paraId="14BE2409">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（纬距）</w:t>
                  </w:r>
                </w:p>
              </w:tc>
              <w:tc>
                <w:tcPr>
                  <w:tcW w:w="693" w:type="pct"/>
                  <w:vAlign w:val="top"/>
                </w:tcPr>
                <w:p w14:paraId="2E9D7227">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坐标Y</w:t>
                  </w:r>
                </w:p>
                <w:p w14:paraId="0A02F362">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（经距）</w:t>
                  </w:r>
                </w:p>
              </w:tc>
              <w:tc>
                <w:tcPr>
                  <w:tcW w:w="397" w:type="pct"/>
                  <w:vMerge w:val="continue"/>
                  <w:vAlign w:val="top"/>
                </w:tcPr>
                <w:p w14:paraId="21571BAB">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p>
              </w:tc>
              <w:tc>
                <w:tcPr>
                  <w:tcW w:w="1732" w:type="pct"/>
                  <w:vMerge w:val="continue"/>
                  <w:vAlign w:val="top"/>
                </w:tcPr>
                <w:p w14:paraId="2B07D353">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p>
              </w:tc>
            </w:tr>
            <w:tr w14:paraId="77DF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exact"/>
                <w:jc w:val="center"/>
              </w:trPr>
              <w:tc>
                <w:tcPr>
                  <w:tcW w:w="394" w:type="pct"/>
                  <w:vAlign w:val="top"/>
                </w:tcPr>
                <w:p w14:paraId="03493C7D">
                  <w:pPr>
                    <w:pStyle w:val="99"/>
                    <w:jc w:val="center"/>
                    <w:rPr>
                      <w:rFonts w:hint="eastAsia"/>
                    </w:rPr>
                  </w:pPr>
                  <w:r>
                    <w:rPr>
                      <w:rFonts w:hint="eastAsia"/>
                    </w:rPr>
                    <w:t>1#</w:t>
                  </w:r>
                </w:p>
              </w:tc>
              <w:tc>
                <w:tcPr>
                  <w:tcW w:w="587" w:type="pct"/>
                  <w:vAlign w:val="top"/>
                </w:tcPr>
                <w:p w14:paraId="0374244F">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3637913.0</w:t>
                  </w:r>
                </w:p>
              </w:tc>
              <w:tc>
                <w:tcPr>
                  <w:tcW w:w="595" w:type="pct"/>
                  <w:vAlign w:val="top"/>
                </w:tcPr>
                <w:p w14:paraId="368585C3">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39481024.0</w:t>
                  </w:r>
                </w:p>
              </w:tc>
              <w:tc>
                <w:tcPr>
                  <w:tcW w:w="598" w:type="pct"/>
                  <w:vAlign w:val="top"/>
                </w:tcPr>
                <w:p w14:paraId="5D81B270">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3637949.0</w:t>
                  </w:r>
                </w:p>
              </w:tc>
              <w:tc>
                <w:tcPr>
                  <w:tcW w:w="693" w:type="pct"/>
                  <w:vAlign w:val="top"/>
                </w:tcPr>
                <w:p w14:paraId="3A1886D1">
                  <w:pPr>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39481041.5</w:t>
                  </w:r>
                </w:p>
              </w:tc>
              <w:tc>
                <w:tcPr>
                  <w:tcW w:w="397" w:type="pct"/>
                  <w:vAlign w:val="top"/>
                </w:tcPr>
                <w:p w14:paraId="44CB3297">
                  <w:pPr>
                    <w:autoSpaceDE w:val="0"/>
                    <w:autoSpaceDN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930.4</w:t>
                  </w:r>
                </w:p>
              </w:tc>
              <w:tc>
                <w:tcPr>
                  <w:tcW w:w="1732" w:type="pct"/>
                  <w:vMerge w:val="restart"/>
                  <w:vAlign w:val="top"/>
                </w:tcPr>
                <w:p w14:paraId="50BE178D">
                  <w:pPr>
                    <w:autoSpaceDE w:val="0"/>
                    <w:autoSpaceDN w:val="0"/>
                    <w:adjustRightInd w:val="0"/>
                    <w:snapToGrid w:val="0"/>
                    <w:jc w:val="both"/>
                    <w:rPr>
                      <w:rFonts w:hint="eastAsia" w:ascii="Times New Roman" w:hAnsi="Times New Roman" w:eastAsia="宋体" w:cs="Times New Roman"/>
                      <w:color w:val="auto"/>
                      <w:szCs w:val="21"/>
                      <w:highlight w:val="none"/>
                      <w:lang w:val="en-US" w:eastAsia="zh-CN"/>
                    </w:rPr>
                  </w:pPr>
                  <w:r>
                    <w:rPr>
                      <w:rFonts w:hint="eastAsia" w:ascii="Times New Roman" w:hAnsi="宋体" w:eastAsia="宋体" w:cs="Times New Roman"/>
                      <w:color w:val="auto"/>
                      <w:sz w:val="24"/>
                      <w:szCs w:val="24"/>
                      <w:lang w:val="en-US" w:eastAsia="zh-CN"/>
                    </w:rPr>
                    <w:t>大孔径钻井结构。</w:t>
                  </w:r>
                  <w:r>
                    <w:rPr>
                      <w:rFonts w:hint="eastAsia" w:ascii="Times New Roman" w:hAnsi="Times New Roman" w:eastAsia="宋体" w:cs="Times New Roman"/>
                      <w:color w:val="auto"/>
                      <w:szCs w:val="21"/>
                      <w:highlight w:val="none"/>
                      <w:lang w:val="en-US" w:eastAsia="zh-CN"/>
                    </w:rPr>
                    <w:t>一开：地面～基岩面以下30m，采用D550mm孔径钻探，下入Φ426×12mm无缝钢管（20#钢）。</w:t>
                  </w:r>
                </w:p>
                <w:p w14:paraId="0500E2F6">
                  <w:pPr>
                    <w:autoSpaceDE w:val="0"/>
                    <w:autoSpaceDN w:val="0"/>
                    <w:adjustRightInd w:val="0"/>
                    <w:snapToGrid w:val="0"/>
                    <w:jc w:val="both"/>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二开：基岩面以下30m～13-1煤顶板以上50m，采用D393.7mm孔径钻探，下入Φ339.7×12.19mmP110石油套管。</w:t>
                  </w:r>
                </w:p>
                <w:p w14:paraId="40309225">
                  <w:pPr>
                    <w:autoSpaceDE w:val="0"/>
                    <w:autoSpaceDN w:val="0"/>
                    <w:adjustRightInd w:val="0"/>
                    <w:snapToGrid w:val="0"/>
                    <w:jc w:val="both"/>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一开、二开钻孔的两路套管外环均采用石油固井技术进行全封闭，固管所用水泥分别为普通水泥、石油G级水泥。</w:t>
                  </w:r>
                </w:p>
                <w:p w14:paraId="5114A66D">
                  <w:pPr>
                    <w:autoSpaceDE w:val="0"/>
                    <w:autoSpaceDN w:val="0"/>
                    <w:adjustRightInd w:val="0"/>
                    <w:snapToGrid w:val="0"/>
                    <w:jc w:val="both"/>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三开：13-1煤顶板以上50m～11-2煤顶板以上7m，采用D311.1mm孔径钻探。13-1煤层顶板～11-2煤顶板以上12m段“掏穴”扩孔为D500mm。下入Φ244.5×13.84mmP110石油套管，其中13-1煤顶板以上50m～11-2煤顶板以上7m段为P110石油花管。三开不固井，采用止水橡胶，用于扶正与隔水。</w:t>
                  </w:r>
                </w:p>
              </w:tc>
            </w:tr>
            <w:tr w14:paraId="2E29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8" w:hRule="exact"/>
                <w:jc w:val="center"/>
              </w:trPr>
              <w:tc>
                <w:tcPr>
                  <w:tcW w:w="394" w:type="pct"/>
                  <w:vAlign w:val="top"/>
                </w:tcPr>
                <w:p w14:paraId="4DC7D207">
                  <w:pPr>
                    <w:pStyle w:val="99"/>
                    <w:jc w:val="center"/>
                    <w:rPr>
                      <w:rFonts w:hint="eastAsia"/>
                    </w:rPr>
                  </w:pPr>
                  <w:r>
                    <w:rPr>
                      <w:rFonts w:hint="eastAsia"/>
                    </w:rPr>
                    <w:t>2#</w:t>
                  </w:r>
                </w:p>
              </w:tc>
              <w:tc>
                <w:tcPr>
                  <w:tcW w:w="587" w:type="pct"/>
                  <w:vAlign w:val="top"/>
                </w:tcPr>
                <w:p w14:paraId="487FBE3B">
                  <w:pPr>
                    <w:pStyle w:val="99"/>
                    <w:jc w:val="center"/>
                    <w:rPr>
                      <w:rFonts w:hint="eastAsia"/>
                    </w:rPr>
                  </w:pPr>
                  <w:r>
                    <w:rPr>
                      <w:rFonts w:hint="eastAsia"/>
                    </w:rPr>
                    <w:t>3637900.0</w:t>
                  </w:r>
                </w:p>
              </w:tc>
              <w:tc>
                <w:tcPr>
                  <w:tcW w:w="595" w:type="pct"/>
                  <w:vAlign w:val="top"/>
                </w:tcPr>
                <w:p w14:paraId="74642716">
                  <w:pPr>
                    <w:pStyle w:val="99"/>
                    <w:jc w:val="center"/>
                    <w:rPr>
                      <w:rFonts w:hint="eastAsia"/>
                    </w:rPr>
                  </w:pPr>
                  <w:r>
                    <w:rPr>
                      <w:rFonts w:hint="eastAsia"/>
                    </w:rPr>
                    <w:t>39481180.0</w:t>
                  </w:r>
                </w:p>
              </w:tc>
              <w:tc>
                <w:tcPr>
                  <w:tcW w:w="598" w:type="pct"/>
                  <w:vAlign w:val="top"/>
                </w:tcPr>
                <w:p w14:paraId="538A7A58">
                  <w:pPr>
                    <w:pStyle w:val="99"/>
                    <w:jc w:val="center"/>
                    <w:rPr>
                      <w:rFonts w:hint="eastAsia"/>
                    </w:rPr>
                  </w:pPr>
                  <w:r>
                    <w:rPr>
                      <w:rFonts w:hint="eastAsia"/>
                    </w:rPr>
                    <w:t>3637936.0</w:t>
                  </w:r>
                </w:p>
              </w:tc>
              <w:tc>
                <w:tcPr>
                  <w:tcW w:w="693" w:type="pct"/>
                  <w:vAlign w:val="top"/>
                </w:tcPr>
                <w:p w14:paraId="538E1FB2">
                  <w:pPr>
                    <w:pStyle w:val="99"/>
                    <w:jc w:val="center"/>
                    <w:rPr>
                      <w:rFonts w:hint="eastAsia"/>
                    </w:rPr>
                  </w:pPr>
                  <w:r>
                    <w:rPr>
                      <w:rFonts w:hint="eastAsia"/>
                    </w:rPr>
                    <w:t>39481197.5</w:t>
                  </w:r>
                </w:p>
              </w:tc>
              <w:tc>
                <w:tcPr>
                  <w:tcW w:w="397" w:type="pct"/>
                  <w:vAlign w:val="top"/>
                </w:tcPr>
                <w:p w14:paraId="2C7A5F94">
                  <w:pPr>
                    <w:pStyle w:val="99"/>
                    <w:jc w:val="center"/>
                    <w:rPr>
                      <w:rFonts w:hint="default" w:eastAsiaTheme="minorEastAsia"/>
                      <w:lang w:val="en-US" w:eastAsia="zh-CN"/>
                    </w:rPr>
                  </w:pPr>
                  <w:r>
                    <w:rPr>
                      <w:rFonts w:hint="eastAsia"/>
                      <w:lang w:val="en-US" w:eastAsia="zh-CN"/>
                    </w:rPr>
                    <w:t>934.5</w:t>
                  </w:r>
                </w:p>
              </w:tc>
              <w:tc>
                <w:tcPr>
                  <w:tcW w:w="1732" w:type="pct"/>
                  <w:vMerge w:val="continue"/>
                  <w:vAlign w:val="top"/>
                </w:tcPr>
                <w:p w14:paraId="79DCEEEA">
                  <w:pPr>
                    <w:pStyle w:val="99"/>
                    <w:jc w:val="center"/>
                    <w:rPr>
                      <w:rFonts w:hint="eastAsia"/>
                    </w:rPr>
                  </w:pPr>
                </w:p>
              </w:tc>
            </w:tr>
            <w:tr w14:paraId="078E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7" w:hRule="exact"/>
                <w:jc w:val="center"/>
              </w:trPr>
              <w:tc>
                <w:tcPr>
                  <w:tcW w:w="394" w:type="pct"/>
                  <w:shd w:val="clear" w:color="auto" w:fill="auto"/>
                  <w:vAlign w:val="top"/>
                </w:tcPr>
                <w:p w14:paraId="541DF96D">
                  <w:pPr>
                    <w:pStyle w:val="99"/>
                    <w:jc w:val="center"/>
                    <w:rPr>
                      <w:rFonts w:hint="eastAsia" w:ascii="仿宋_GB2312" w:hAnsi="仿宋_GB2312" w:eastAsiaTheme="minorEastAsia" w:cstheme="minorBidi"/>
                      <w:kern w:val="2"/>
                      <w:sz w:val="21"/>
                      <w:szCs w:val="32"/>
                      <w:lang w:val="en-US" w:eastAsia="zh-CN" w:bidi="ar-SA"/>
                    </w:rPr>
                  </w:pPr>
                  <w:r>
                    <w:rPr>
                      <w:rFonts w:hint="eastAsia"/>
                    </w:rPr>
                    <w:t>6#</w:t>
                  </w:r>
                </w:p>
              </w:tc>
              <w:tc>
                <w:tcPr>
                  <w:tcW w:w="587" w:type="pct"/>
                  <w:shd w:val="clear" w:color="auto" w:fill="auto"/>
                  <w:vAlign w:val="top"/>
                </w:tcPr>
                <w:p w14:paraId="69E86B83">
                  <w:pPr>
                    <w:pStyle w:val="99"/>
                    <w:jc w:val="center"/>
                    <w:rPr>
                      <w:rFonts w:hint="eastAsia" w:ascii="仿宋_GB2312" w:hAnsi="仿宋_GB2312" w:eastAsiaTheme="minorEastAsia" w:cstheme="minorBidi"/>
                      <w:kern w:val="2"/>
                      <w:sz w:val="21"/>
                      <w:szCs w:val="32"/>
                      <w:lang w:val="en-US" w:eastAsia="zh-CN" w:bidi="ar-SA"/>
                    </w:rPr>
                  </w:pPr>
                  <w:r>
                    <w:rPr>
                      <w:rFonts w:hint="eastAsia"/>
                    </w:rPr>
                    <w:t>3637487.3</w:t>
                  </w:r>
                </w:p>
              </w:tc>
              <w:tc>
                <w:tcPr>
                  <w:tcW w:w="595" w:type="pct"/>
                  <w:shd w:val="clear" w:color="auto" w:fill="auto"/>
                  <w:vAlign w:val="top"/>
                </w:tcPr>
                <w:p w14:paraId="551C8839">
                  <w:pPr>
                    <w:pStyle w:val="99"/>
                    <w:jc w:val="center"/>
                    <w:rPr>
                      <w:rFonts w:hint="eastAsia" w:ascii="仿宋_GB2312" w:hAnsi="仿宋_GB2312" w:eastAsiaTheme="minorEastAsia" w:cstheme="minorBidi"/>
                      <w:kern w:val="2"/>
                      <w:sz w:val="21"/>
                      <w:szCs w:val="32"/>
                      <w:lang w:val="en-US" w:eastAsia="zh-CN" w:bidi="ar-SA"/>
                    </w:rPr>
                  </w:pPr>
                  <w:r>
                    <w:rPr>
                      <w:rFonts w:hint="eastAsia"/>
                    </w:rPr>
                    <w:t>39481940.4</w:t>
                  </w:r>
                </w:p>
              </w:tc>
              <w:tc>
                <w:tcPr>
                  <w:tcW w:w="598" w:type="pct"/>
                  <w:shd w:val="clear" w:color="auto" w:fill="auto"/>
                  <w:vAlign w:val="top"/>
                </w:tcPr>
                <w:p w14:paraId="63B24DEF">
                  <w:pPr>
                    <w:pStyle w:val="99"/>
                    <w:jc w:val="center"/>
                    <w:rPr>
                      <w:rFonts w:hint="eastAsia" w:ascii="仿宋_GB2312" w:hAnsi="仿宋_GB2312" w:eastAsiaTheme="minorEastAsia" w:cstheme="minorBidi"/>
                      <w:kern w:val="2"/>
                      <w:sz w:val="21"/>
                      <w:szCs w:val="32"/>
                      <w:lang w:val="en-US" w:eastAsia="zh-CN" w:bidi="ar-SA"/>
                    </w:rPr>
                  </w:pPr>
                  <w:r>
                    <w:rPr>
                      <w:rFonts w:hint="eastAsia"/>
                    </w:rPr>
                    <w:t>3637617.8</w:t>
                  </w:r>
                </w:p>
              </w:tc>
              <w:tc>
                <w:tcPr>
                  <w:tcW w:w="693" w:type="pct"/>
                  <w:shd w:val="clear" w:color="auto" w:fill="auto"/>
                  <w:vAlign w:val="top"/>
                </w:tcPr>
                <w:p w14:paraId="13F795CD">
                  <w:pPr>
                    <w:pStyle w:val="99"/>
                    <w:jc w:val="center"/>
                    <w:rPr>
                      <w:rFonts w:hint="eastAsia" w:ascii="仿宋_GB2312" w:hAnsi="仿宋_GB2312" w:eastAsiaTheme="minorEastAsia" w:cstheme="minorBidi"/>
                      <w:kern w:val="2"/>
                      <w:sz w:val="21"/>
                      <w:szCs w:val="32"/>
                      <w:lang w:val="en-US" w:eastAsia="zh-CN" w:bidi="ar-SA"/>
                    </w:rPr>
                  </w:pPr>
                  <w:r>
                    <w:rPr>
                      <w:rFonts w:hint="eastAsia"/>
                    </w:rPr>
                    <w:t>39481888.1</w:t>
                  </w:r>
                </w:p>
              </w:tc>
              <w:tc>
                <w:tcPr>
                  <w:tcW w:w="397" w:type="pct"/>
                  <w:shd w:val="clear" w:color="auto" w:fill="auto"/>
                  <w:vAlign w:val="top"/>
                </w:tcPr>
                <w:p w14:paraId="37E767B8">
                  <w:pPr>
                    <w:autoSpaceDE w:val="0"/>
                    <w:autoSpaceDN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985.0</w:t>
                  </w:r>
                </w:p>
              </w:tc>
              <w:tc>
                <w:tcPr>
                  <w:tcW w:w="1732" w:type="pct"/>
                  <w:vMerge w:val="restart"/>
                  <w:shd w:val="clear" w:color="auto" w:fill="auto"/>
                  <w:vAlign w:val="top"/>
                </w:tcPr>
                <w:p w14:paraId="75A8636A">
                  <w:pPr>
                    <w:autoSpaceDE w:val="0"/>
                    <w:autoSpaceDN w:val="0"/>
                    <w:adjustRightInd w:val="0"/>
                    <w:snapToGrid w:val="0"/>
                    <w:jc w:val="both"/>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Ⅲ型钻井结构。</w:t>
                  </w:r>
                </w:p>
                <w:p w14:paraId="7F360F19">
                  <w:pPr>
                    <w:autoSpaceDE w:val="0"/>
                    <w:autoSpaceDN w:val="0"/>
                    <w:adjustRightInd w:val="0"/>
                    <w:snapToGrid w:val="0"/>
                    <w:jc w:val="both"/>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开：地面～13-1煤顶板，采用D350mm孔径钻探，其中地面～13-1煤顶板以上50m段，下入Φ273×10.16mmN80石油套管。二开：13-1煤顶板～11-2煤顶板以上7m，采用D245mm孔径钻探，13-1煤顶板～11-2煤顶板以上20m段“掏穴”扩孔至D500mm。其中，地面～13-1煤顶板以上60m段，下入Φ177.8×9.19mmN80石油套管，套管底口连接8mΦ219×10.16mmN80石油套管；13-1煤顶板以上52m～11-2煤顶板以上7m段，下入Φ177.8×13.72mmN80石油花管，花管上口连接7.5mΦ177.8×13.72mmN80石油套管，与Φ219×10.16mmN80石油套管重叠。</w:t>
                  </w:r>
                </w:p>
              </w:tc>
            </w:tr>
            <w:tr w14:paraId="103A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exact"/>
                <w:jc w:val="center"/>
              </w:trPr>
              <w:tc>
                <w:tcPr>
                  <w:tcW w:w="394" w:type="pct"/>
                  <w:shd w:val="clear" w:color="auto" w:fill="auto"/>
                  <w:vAlign w:val="top"/>
                </w:tcPr>
                <w:p w14:paraId="319E66E6">
                  <w:pPr>
                    <w:pStyle w:val="99"/>
                    <w:jc w:val="center"/>
                    <w:rPr>
                      <w:rFonts w:hint="eastAsia" w:ascii="仿宋_GB2312" w:hAnsi="仿宋_GB2312" w:eastAsiaTheme="minorEastAsia" w:cstheme="minorBidi"/>
                      <w:kern w:val="2"/>
                      <w:sz w:val="21"/>
                      <w:szCs w:val="32"/>
                      <w:lang w:val="en-US" w:eastAsia="zh-CN" w:bidi="ar-SA"/>
                    </w:rPr>
                  </w:pPr>
                  <w:r>
                    <w:rPr>
                      <w:rFonts w:hint="eastAsia"/>
                    </w:rPr>
                    <w:t>7#</w:t>
                  </w:r>
                </w:p>
              </w:tc>
              <w:tc>
                <w:tcPr>
                  <w:tcW w:w="587" w:type="pct"/>
                  <w:shd w:val="clear" w:color="auto" w:fill="auto"/>
                  <w:vAlign w:val="top"/>
                </w:tcPr>
                <w:p w14:paraId="2371729F">
                  <w:pPr>
                    <w:pStyle w:val="99"/>
                    <w:jc w:val="center"/>
                    <w:rPr>
                      <w:rFonts w:hint="eastAsia" w:ascii="仿宋_GB2312" w:hAnsi="仿宋_GB2312" w:eastAsiaTheme="minorEastAsia" w:cstheme="minorBidi"/>
                      <w:kern w:val="2"/>
                      <w:sz w:val="21"/>
                      <w:szCs w:val="32"/>
                      <w:lang w:val="en-US" w:eastAsia="zh-CN" w:bidi="ar-SA"/>
                    </w:rPr>
                  </w:pPr>
                  <w:r>
                    <w:rPr>
                      <w:rFonts w:hint="eastAsia"/>
                    </w:rPr>
                    <w:t>3637486.3</w:t>
                  </w:r>
                </w:p>
              </w:tc>
              <w:tc>
                <w:tcPr>
                  <w:tcW w:w="595" w:type="pct"/>
                  <w:shd w:val="clear" w:color="auto" w:fill="auto"/>
                  <w:vAlign w:val="top"/>
                </w:tcPr>
                <w:p w14:paraId="4076ED81">
                  <w:pPr>
                    <w:pStyle w:val="99"/>
                    <w:jc w:val="center"/>
                    <w:rPr>
                      <w:rFonts w:hint="eastAsia" w:ascii="仿宋_GB2312" w:hAnsi="仿宋_GB2312" w:eastAsiaTheme="minorEastAsia" w:cstheme="minorBidi"/>
                      <w:kern w:val="2"/>
                      <w:sz w:val="21"/>
                      <w:szCs w:val="32"/>
                      <w:lang w:val="en-US" w:eastAsia="zh-CN" w:bidi="ar-SA"/>
                    </w:rPr>
                  </w:pPr>
                  <w:r>
                    <w:rPr>
                      <w:rFonts w:hint="eastAsia"/>
                    </w:rPr>
                    <w:t>39481945.3</w:t>
                  </w:r>
                </w:p>
              </w:tc>
              <w:tc>
                <w:tcPr>
                  <w:tcW w:w="598" w:type="pct"/>
                  <w:shd w:val="clear" w:color="auto" w:fill="auto"/>
                  <w:vAlign w:val="top"/>
                </w:tcPr>
                <w:p w14:paraId="19FCB365">
                  <w:pPr>
                    <w:pStyle w:val="99"/>
                    <w:jc w:val="center"/>
                    <w:rPr>
                      <w:rFonts w:hint="eastAsia" w:ascii="仿宋_GB2312" w:hAnsi="仿宋_GB2312" w:eastAsiaTheme="minorEastAsia" w:cstheme="minorBidi"/>
                      <w:kern w:val="2"/>
                      <w:sz w:val="21"/>
                      <w:szCs w:val="32"/>
                      <w:lang w:val="en-US" w:eastAsia="zh-CN" w:bidi="ar-SA"/>
                    </w:rPr>
                  </w:pPr>
                  <w:r>
                    <w:rPr>
                      <w:rFonts w:hint="eastAsia"/>
                    </w:rPr>
                    <w:t>3637534.2</w:t>
                  </w:r>
                </w:p>
              </w:tc>
              <w:tc>
                <w:tcPr>
                  <w:tcW w:w="693" w:type="pct"/>
                  <w:shd w:val="clear" w:color="auto" w:fill="auto"/>
                  <w:vAlign w:val="top"/>
                </w:tcPr>
                <w:p w14:paraId="62F22CD0">
                  <w:pPr>
                    <w:pStyle w:val="99"/>
                    <w:jc w:val="center"/>
                    <w:rPr>
                      <w:rFonts w:hint="eastAsia" w:ascii="仿宋_GB2312" w:hAnsi="仿宋_GB2312" w:eastAsiaTheme="minorEastAsia" w:cstheme="minorBidi"/>
                      <w:kern w:val="2"/>
                      <w:sz w:val="21"/>
                      <w:szCs w:val="32"/>
                      <w:lang w:val="en-US" w:eastAsia="zh-CN" w:bidi="ar-SA"/>
                    </w:rPr>
                  </w:pPr>
                  <w:r>
                    <w:rPr>
                      <w:rFonts w:hint="eastAsia"/>
                    </w:rPr>
                    <w:t>39482059.7</w:t>
                  </w:r>
                </w:p>
              </w:tc>
              <w:tc>
                <w:tcPr>
                  <w:tcW w:w="397" w:type="pct"/>
                  <w:shd w:val="clear" w:color="auto" w:fill="auto"/>
                  <w:vAlign w:val="top"/>
                </w:tcPr>
                <w:p w14:paraId="36EE2EC3">
                  <w:pPr>
                    <w:pStyle w:val="99"/>
                    <w:jc w:val="center"/>
                    <w:rPr>
                      <w:rFonts w:hint="default" w:ascii="仿宋_GB2312" w:hAnsi="仿宋_GB2312" w:eastAsiaTheme="minorEastAsia" w:cstheme="minorBidi"/>
                      <w:kern w:val="2"/>
                      <w:sz w:val="21"/>
                      <w:szCs w:val="32"/>
                      <w:lang w:val="en-US" w:eastAsia="zh-CN" w:bidi="ar-SA"/>
                    </w:rPr>
                  </w:pPr>
                  <w:r>
                    <w:rPr>
                      <w:rFonts w:hint="eastAsia" w:cstheme="minorBidi"/>
                      <w:kern w:val="2"/>
                      <w:sz w:val="21"/>
                      <w:szCs w:val="32"/>
                      <w:lang w:val="en-US" w:eastAsia="zh-CN" w:bidi="ar-SA"/>
                    </w:rPr>
                    <w:t>984.0</w:t>
                  </w:r>
                </w:p>
              </w:tc>
              <w:tc>
                <w:tcPr>
                  <w:tcW w:w="1732" w:type="pct"/>
                  <w:vMerge w:val="continue"/>
                  <w:shd w:val="clear" w:color="auto" w:fill="auto"/>
                  <w:vAlign w:val="top"/>
                </w:tcPr>
                <w:p w14:paraId="5AB87E76">
                  <w:pPr>
                    <w:pStyle w:val="99"/>
                    <w:jc w:val="both"/>
                    <w:rPr>
                      <w:rFonts w:hint="eastAsia" w:ascii="仿宋_GB2312" w:hAnsi="仿宋_GB2312" w:eastAsiaTheme="minorEastAsia" w:cstheme="minorBidi"/>
                      <w:kern w:val="2"/>
                      <w:sz w:val="21"/>
                      <w:szCs w:val="32"/>
                      <w:lang w:val="en-US" w:eastAsia="zh-CN" w:bidi="ar-SA"/>
                    </w:rPr>
                  </w:pPr>
                </w:p>
              </w:tc>
            </w:tr>
            <w:tr w14:paraId="5215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3" w:hRule="exact"/>
                <w:jc w:val="center"/>
              </w:trPr>
              <w:tc>
                <w:tcPr>
                  <w:tcW w:w="394" w:type="pct"/>
                  <w:shd w:val="clear" w:color="auto" w:fill="auto"/>
                  <w:vAlign w:val="top"/>
                </w:tcPr>
                <w:p w14:paraId="425C812C">
                  <w:pPr>
                    <w:pStyle w:val="99"/>
                    <w:jc w:val="center"/>
                    <w:rPr>
                      <w:rFonts w:hint="eastAsia" w:ascii="仿宋_GB2312" w:hAnsi="仿宋_GB2312" w:eastAsiaTheme="minorEastAsia" w:cstheme="minorBidi"/>
                      <w:kern w:val="2"/>
                      <w:sz w:val="21"/>
                      <w:szCs w:val="32"/>
                      <w:lang w:val="en-US" w:eastAsia="zh-CN" w:bidi="ar-SA"/>
                    </w:rPr>
                  </w:pPr>
                  <w:r>
                    <w:rPr>
                      <w:rFonts w:hint="eastAsia"/>
                    </w:rPr>
                    <w:t>8#</w:t>
                  </w:r>
                </w:p>
              </w:tc>
              <w:tc>
                <w:tcPr>
                  <w:tcW w:w="587" w:type="pct"/>
                  <w:shd w:val="clear" w:color="auto" w:fill="auto"/>
                  <w:vAlign w:val="top"/>
                </w:tcPr>
                <w:p w14:paraId="03AE801D">
                  <w:pPr>
                    <w:pStyle w:val="99"/>
                    <w:jc w:val="center"/>
                    <w:rPr>
                      <w:rFonts w:hint="eastAsia" w:ascii="仿宋_GB2312" w:hAnsi="仿宋_GB2312" w:eastAsiaTheme="minorEastAsia" w:cstheme="minorBidi"/>
                      <w:kern w:val="2"/>
                      <w:sz w:val="21"/>
                      <w:szCs w:val="32"/>
                      <w:lang w:val="en-US" w:eastAsia="zh-CN" w:bidi="ar-SA"/>
                    </w:rPr>
                  </w:pPr>
                  <w:r>
                    <w:rPr>
                      <w:rFonts w:hint="eastAsia"/>
                    </w:rPr>
                    <w:t>3637488.3</w:t>
                  </w:r>
                </w:p>
              </w:tc>
              <w:tc>
                <w:tcPr>
                  <w:tcW w:w="595" w:type="pct"/>
                  <w:shd w:val="clear" w:color="auto" w:fill="auto"/>
                  <w:vAlign w:val="top"/>
                </w:tcPr>
                <w:p w14:paraId="4185C1BE">
                  <w:pPr>
                    <w:pStyle w:val="99"/>
                    <w:jc w:val="center"/>
                    <w:rPr>
                      <w:rFonts w:hint="eastAsia" w:ascii="仿宋_GB2312" w:hAnsi="仿宋_GB2312" w:eastAsiaTheme="minorEastAsia" w:cstheme="minorBidi"/>
                      <w:kern w:val="2"/>
                      <w:sz w:val="21"/>
                      <w:szCs w:val="32"/>
                      <w:lang w:val="en-US" w:eastAsia="zh-CN" w:bidi="ar-SA"/>
                    </w:rPr>
                  </w:pPr>
                  <w:r>
                    <w:rPr>
                      <w:rFonts w:hint="eastAsia"/>
                    </w:rPr>
                    <w:t>39481935.5</w:t>
                  </w:r>
                </w:p>
              </w:tc>
              <w:tc>
                <w:tcPr>
                  <w:tcW w:w="598" w:type="pct"/>
                  <w:shd w:val="clear" w:color="auto" w:fill="auto"/>
                  <w:vAlign w:val="top"/>
                </w:tcPr>
                <w:p w14:paraId="6124BF5C">
                  <w:pPr>
                    <w:pStyle w:val="99"/>
                    <w:jc w:val="center"/>
                    <w:rPr>
                      <w:rFonts w:hint="eastAsia" w:ascii="仿宋_GB2312" w:hAnsi="仿宋_GB2312" w:eastAsiaTheme="minorEastAsia" w:cstheme="minorBidi"/>
                      <w:kern w:val="2"/>
                      <w:sz w:val="21"/>
                      <w:szCs w:val="32"/>
                      <w:lang w:val="en-US" w:eastAsia="zh-CN" w:bidi="ar-SA"/>
                    </w:rPr>
                  </w:pPr>
                  <w:r>
                    <w:rPr>
                      <w:rFonts w:hint="eastAsia"/>
                    </w:rPr>
                    <w:t>3637669.4</w:t>
                  </w:r>
                </w:p>
              </w:tc>
              <w:tc>
                <w:tcPr>
                  <w:tcW w:w="693" w:type="pct"/>
                  <w:shd w:val="clear" w:color="auto" w:fill="auto"/>
                  <w:vAlign w:val="top"/>
                </w:tcPr>
                <w:p w14:paraId="2A642016">
                  <w:pPr>
                    <w:pStyle w:val="99"/>
                    <w:jc w:val="center"/>
                    <w:rPr>
                      <w:rFonts w:hint="eastAsia" w:ascii="仿宋_GB2312" w:hAnsi="仿宋_GB2312" w:eastAsiaTheme="minorEastAsia" w:cstheme="minorBidi"/>
                      <w:kern w:val="2"/>
                      <w:sz w:val="21"/>
                      <w:szCs w:val="32"/>
                      <w:lang w:val="en-US" w:eastAsia="zh-CN" w:bidi="ar-SA"/>
                    </w:rPr>
                  </w:pPr>
                  <w:r>
                    <w:rPr>
                      <w:rFonts w:hint="eastAsia"/>
                    </w:rPr>
                    <w:t>39481668.3</w:t>
                  </w:r>
                </w:p>
              </w:tc>
              <w:tc>
                <w:tcPr>
                  <w:tcW w:w="397" w:type="pct"/>
                  <w:shd w:val="clear" w:color="auto" w:fill="auto"/>
                  <w:vAlign w:val="top"/>
                </w:tcPr>
                <w:p w14:paraId="28EEB801">
                  <w:pPr>
                    <w:pStyle w:val="99"/>
                    <w:jc w:val="center"/>
                    <w:rPr>
                      <w:rFonts w:hint="default" w:ascii="仿宋_GB2312" w:hAnsi="仿宋_GB2312" w:eastAsiaTheme="minorEastAsia" w:cstheme="minorBidi"/>
                      <w:kern w:val="2"/>
                      <w:sz w:val="21"/>
                      <w:szCs w:val="32"/>
                      <w:lang w:val="en-US" w:eastAsia="zh-CN" w:bidi="ar-SA"/>
                    </w:rPr>
                  </w:pPr>
                  <w:r>
                    <w:rPr>
                      <w:rFonts w:hint="eastAsia" w:cstheme="minorBidi"/>
                      <w:kern w:val="2"/>
                      <w:sz w:val="21"/>
                      <w:szCs w:val="32"/>
                      <w:lang w:val="en-US" w:eastAsia="zh-CN" w:bidi="ar-SA"/>
                    </w:rPr>
                    <w:t>1519.7</w:t>
                  </w:r>
                </w:p>
              </w:tc>
              <w:tc>
                <w:tcPr>
                  <w:tcW w:w="1732" w:type="pct"/>
                  <w:shd w:val="clear" w:color="auto" w:fill="auto"/>
                  <w:vAlign w:val="top"/>
                </w:tcPr>
                <w:p w14:paraId="440B552F">
                  <w:pPr>
                    <w:pStyle w:val="99"/>
                    <w:jc w:val="both"/>
                    <w:rPr>
                      <w:rFonts w:hint="eastAsia"/>
                      <w:lang w:eastAsia="zh-CN"/>
                    </w:rPr>
                  </w:pPr>
                  <w:r>
                    <w:rPr>
                      <w:rFonts w:hint="eastAsia"/>
                    </w:rPr>
                    <w:t>L型水平采动卸压井</w:t>
                  </w:r>
                  <w:r>
                    <w:rPr>
                      <w:rFonts w:hint="eastAsia"/>
                      <w:lang w:eastAsia="zh-CN"/>
                    </w:rPr>
                    <w:t>。</w:t>
                  </w:r>
                </w:p>
                <w:p w14:paraId="287F3810">
                  <w:pPr>
                    <w:autoSpaceDE w:val="0"/>
                    <w:autoSpaceDN w:val="0"/>
                    <w:adjustRightInd w:val="0"/>
                    <w:snapToGrid w:val="0"/>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一开：选用Φ444.5mm钻头，钻至基岩面以下不少于20m，一开套管Φ339.7×9.65mm，封第四系表土层。注水泥固井，水泥返至地面，使套管与地层充分固结。</w:t>
                  </w:r>
                </w:p>
                <w:p w14:paraId="22773B0E">
                  <w:pPr>
                    <w:autoSpaceDE w:val="0"/>
                    <w:autoSpaceDN w:val="0"/>
                    <w:adjustRightInd w:val="0"/>
                    <w:snapToGrid w:val="0"/>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二开：选用Φ311.15mm钻头，钻至设计的着陆点A点（13-1煤底板以下5m），二开套管Φ244.5×8.94mm。注水泥固井，水泥返至地面。</w:t>
                  </w:r>
                </w:p>
                <w:p w14:paraId="3D1F97FA">
                  <w:pPr>
                    <w:autoSpaceDE w:val="0"/>
                    <w:autoSpaceDN w:val="0"/>
                    <w:adjustRightInd w:val="0"/>
                    <w:snapToGrid w:val="0"/>
                    <w:jc w:val="both"/>
                    <w:rPr>
                      <w:rFonts w:hint="eastAsia"/>
                      <w:lang w:val="en-US" w:eastAsia="zh-CN"/>
                    </w:rPr>
                  </w:pPr>
                  <w:r>
                    <w:rPr>
                      <w:rFonts w:hint="eastAsia" w:ascii="Times New Roman" w:hAnsi="Times New Roman" w:eastAsia="宋体" w:cs="Times New Roman"/>
                      <w:color w:val="auto"/>
                      <w:szCs w:val="21"/>
                      <w:lang w:eastAsia="zh-CN"/>
                    </w:rPr>
                    <w:t>三开：选用使用随钻导向仪器、Φ215.9mm钻头沿13-1煤底板以下5～20m进行水平段钻进至B点，再钻至设计停钻位置C点（11-2煤顶板以上15m）。地面～着陆点A点，下入Φ139.7×9.17mm三开套管，固井，水泥返至地面；水平段A点～B点，Φ139.7×9.17mm三开花管；B点～C点，裸孔。</w:t>
                  </w:r>
                </w:p>
              </w:tc>
            </w:tr>
          </w:tbl>
          <w:p w14:paraId="1D3F4D1A">
            <w:pPr>
              <w:numPr>
                <w:ilvl w:val="0"/>
                <w:numId w:val="4"/>
              </w:numPr>
              <w:spacing w:line="360" w:lineRule="auto"/>
              <w:ind w:firstLine="482" w:firstLineChars="200"/>
              <w:rPr>
                <w:rFonts w:hint="eastAsia" w:ascii="Times New Roman" w:hAnsi="宋体" w:eastAsia="宋体" w:cs="Times New Roman"/>
                <w:b/>
                <w:color w:val="auto"/>
                <w:kern w:val="0"/>
                <w:sz w:val="24"/>
                <w:szCs w:val="24"/>
              </w:rPr>
            </w:pPr>
            <w:r>
              <w:rPr>
                <w:rFonts w:hint="eastAsia" w:ascii="Times New Roman" w:hAnsi="宋体" w:eastAsia="宋体" w:cs="Times New Roman"/>
                <w:b/>
                <w:color w:val="auto"/>
                <w:kern w:val="0"/>
                <w:sz w:val="24"/>
                <w:szCs w:val="24"/>
              </w:rPr>
              <w:t>项目主要原辅材料、能源</w:t>
            </w:r>
          </w:p>
          <w:p w14:paraId="05763FEA">
            <w:pPr>
              <w:pStyle w:val="97"/>
              <w:numPr>
                <w:ilvl w:val="1"/>
                <w:numId w:val="2"/>
              </w:numPr>
              <w:tabs>
                <w:tab w:val="left" w:pos="2100"/>
                <w:tab w:val="clear" w:pos="1440"/>
              </w:tabs>
              <w:spacing w:line="240" w:lineRule="auto"/>
              <w:ind w:left="3300" w:leftChars="0" w:hanging="1200" w:firstLineChars="0"/>
              <w:jc w:val="both"/>
              <w:rPr>
                <w:rFonts w:ascii="Times New Roman" w:hAnsi="Times New Roman" w:eastAsia="黑体" w:cs="Times New Roman"/>
                <w:color w:val="auto"/>
                <w:sz w:val="24"/>
                <w:szCs w:val="24"/>
              </w:rPr>
            </w:pPr>
            <w:r>
              <w:rPr>
                <w:rFonts w:hint="eastAsia" w:ascii="宋体" w:hAnsi="宋体" w:eastAsia="宋体" w:cs="宋体"/>
                <w:color w:val="auto"/>
                <w:sz w:val="24"/>
                <w:szCs w:val="20"/>
                <w:lang w:eastAsia="zh-CN"/>
              </w:rPr>
              <w:t>主要</w:t>
            </w:r>
            <w:r>
              <w:rPr>
                <w:rFonts w:hint="eastAsia" w:ascii="宋体" w:hAnsi="宋体" w:eastAsia="宋体" w:cs="宋体"/>
                <w:color w:val="auto"/>
                <w:sz w:val="24"/>
                <w:szCs w:val="20"/>
              </w:rPr>
              <w:t>原辅材料一览表</w:t>
            </w:r>
          </w:p>
          <w:tbl>
            <w:tblPr>
              <w:tblStyle w:val="26"/>
              <w:tblW w:w="504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92"/>
              <w:gridCol w:w="831"/>
              <w:gridCol w:w="1223"/>
              <w:gridCol w:w="1197"/>
              <w:gridCol w:w="1463"/>
              <w:gridCol w:w="1803"/>
              <w:gridCol w:w="1018"/>
            </w:tblGrid>
            <w:tr w14:paraId="56A6D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jc w:val="center"/>
              </w:trPr>
              <w:tc>
                <w:tcPr>
                  <w:tcW w:w="364" w:type="pct"/>
                  <w:vAlign w:val="center"/>
                </w:tcPr>
                <w:p w14:paraId="184B99AC">
                  <w:pPr>
                    <w:widowControl/>
                    <w:spacing w:line="276" w:lineRule="auto"/>
                    <w:jc w:val="center"/>
                    <w:textAlignment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序号</w:t>
                  </w:r>
                </w:p>
              </w:tc>
              <w:tc>
                <w:tcPr>
                  <w:tcW w:w="1263" w:type="pct"/>
                  <w:gridSpan w:val="2"/>
                  <w:vAlign w:val="center"/>
                </w:tcPr>
                <w:p w14:paraId="148079ED">
                  <w:pPr>
                    <w:widowControl/>
                    <w:spacing w:line="276" w:lineRule="auto"/>
                    <w:jc w:val="center"/>
                    <w:textAlignment w:val="center"/>
                    <w:rPr>
                      <w:rFonts w:ascii="Times New Roman" w:hAnsi="Times New Roman" w:eastAsia="宋体" w:cs="Times New Roman"/>
                      <w:b/>
                      <w:color w:val="auto"/>
                      <w:szCs w:val="21"/>
                    </w:rPr>
                  </w:pPr>
                  <w:r>
                    <w:rPr>
                      <w:rFonts w:hint="eastAsia" w:ascii="Times New Roman" w:hAnsi="Times New Roman" w:eastAsia="宋体" w:cs="Times New Roman"/>
                      <w:b/>
                      <w:color w:val="auto"/>
                      <w:kern w:val="0"/>
                      <w:szCs w:val="21"/>
                    </w:rPr>
                    <w:t>原辅材料和能源</w:t>
                  </w:r>
                </w:p>
              </w:tc>
              <w:tc>
                <w:tcPr>
                  <w:tcW w:w="736" w:type="pct"/>
                  <w:vAlign w:val="center"/>
                </w:tcPr>
                <w:p w14:paraId="3D82E24D">
                  <w:pPr>
                    <w:widowControl/>
                    <w:spacing w:line="276" w:lineRule="auto"/>
                    <w:jc w:val="center"/>
                    <w:textAlignment w:val="center"/>
                    <w:rPr>
                      <w:rFonts w:ascii="Times New Roman" w:hAnsi="Times New Roman" w:eastAsia="宋体" w:cs="Times New Roman"/>
                      <w:b/>
                      <w:color w:val="auto"/>
                      <w:szCs w:val="21"/>
                    </w:rPr>
                  </w:pPr>
                  <w:r>
                    <w:rPr>
                      <w:rFonts w:hint="eastAsia" w:ascii="Times New Roman" w:hAnsi="Times New Roman" w:eastAsia="宋体" w:cs="Times New Roman"/>
                      <w:b/>
                      <w:color w:val="auto"/>
                      <w:kern w:val="0"/>
                      <w:szCs w:val="21"/>
                    </w:rPr>
                    <w:t>工程总</w:t>
                  </w:r>
                  <w:r>
                    <w:rPr>
                      <w:rFonts w:ascii="Times New Roman" w:hAnsi="Times New Roman" w:eastAsia="宋体" w:cs="Times New Roman"/>
                      <w:b/>
                      <w:color w:val="auto"/>
                      <w:kern w:val="0"/>
                      <w:szCs w:val="21"/>
                    </w:rPr>
                    <w:t>用量</w:t>
                  </w:r>
                </w:p>
              </w:tc>
              <w:tc>
                <w:tcPr>
                  <w:tcW w:w="900" w:type="pct"/>
                  <w:vAlign w:val="center"/>
                </w:tcPr>
                <w:p w14:paraId="379B76C5">
                  <w:pPr>
                    <w:spacing w:line="276" w:lineRule="auto"/>
                    <w:jc w:val="center"/>
                    <w:textAlignment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最大</w:t>
                  </w:r>
                  <w:r>
                    <w:rPr>
                      <w:rFonts w:hint="eastAsia" w:ascii="Times New Roman" w:hAnsi="Times New Roman" w:eastAsia="宋体" w:cs="Times New Roman"/>
                      <w:b/>
                      <w:color w:val="auto"/>
                      <w:szCs w:val="21"/>
                      <w:lang w:eastAsia="zh-CN"/>
                    </w:rPr>
                    <w:t>储存</w:t>
                  </w:r>
                  <w:r>
                    <w:rPr>
                      <w:rFonts w:hint="eastAsia" w:ascii="Times New Roman" w:hAnsi="Times New Roman" w:eastAsia="宋体" w:cs="Times New Roman"/>
                      <w:b/>
                      <w:color w:val="auto"/>
                      <w:szCs w:val="21"/>
                    </w:rPr>
                    <w:t>量</w:t>
                  </w:r>
                </w:p>
              </w:tc>
              <w:tc>
                <w:tcPr>
                  <w:tcW w:w="1109" w:type="pct"/>
                  <w:vAlign w:val="center"/>
                </w:tcPr>
                <w:p w14:paraId="0F75F3DF">
                  <w:pPr>
                    <w:widowControl/>
                    <w:spacing w:line="276" w:lineRule="auto"/>
                    <w:jc w:val="center"/>
                    <w:textAlignment w:val="center"/>
                    <w:rPr>
                      <w:rFonts w:ascii="Times New Roman" w:hAnsi="Times New Roman" w:eastAsia="宋体" w:cs="Times New Roman"/>
                      <w:b/>
                      <w:color w:val="auto"/>
                      <w:szCs w:val="21"/>
                    </w:rPr>
                  </w:pPr>
                  <w:r>
                    <w:rPr>
                      <w:rFonts w:hint="eastAsia" w:ascii="Times New Roman" w:hAnsi="Times New Roman" w:eastAsia="宋体" w:cs="Times New Roman"/>
                      <w:b/>
                      <w:color w:val="auto"/>
                      <w:kern w:val="0"/>
                      <w:szCs w:val="21"/>
                    </w:rPr>
                    <w:t>储存</w:t>
                  </w:r>
                  <w:r>
                    <w:rPr>
                      <w:rFonts w:hint="eastAsia" w:ascii="Times New Roman" w:hAnsi="Times New Roman" w:eastAsia="宋体" w:cs="Times New Roman"/>
                      <w:b/>
                      <w:color w:val="auto"/>
                      <w:kern w:val="0"/>
                      <w:szCs w:val="21"/>
                      <w:lang w:eastAsia="zh-CN"/>
                    </w:rPr>
                    <w:t>方式及</w:t>
                  </w:r>
                  <w:r>
                    <w:rPr>
                      <w:rFonts w:hint="eastAsia" w:ascii="Times New Roman" w:hAnsi="Times New Roman" w:eastAsia="宋体" w:cs="Times New Roman"/>
                      <w:b/>
                      <w:color w:val="auto"/>
                      <w:kern w:val="0"/>
                      <w:szCs w:val="21"/>
                    </w:rPr>
                    <w:t>位置</w:t>
                  </w:r>
                </w:p>
              </w:tc>
              <w:tc>
                <w:tcPr>
                  <w:tcW w:w="626" w:type="pct"/>
                  <w:vAlign w:val="center"/>
                </w:tcPr>
                <w:p w14:paraId="17C33EF9">
                  <w:pPr>
                    <w:widowControl/>
                    <w:spacing w:line="276" w:lineRule="auto"/>
                    <w:jc w:val="center"/>
                    <w:textAlignment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备注</w:t>
                  </w:r>
                </w:p>
              </w:tc>
            </w:tr>
            <w:tr w14:paraId="3A814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62" w:hRule="atLeast"/>
                <w:jc w:val="center"/>
              </w:trPr>
              <w:tc>
                <w:tcPr>
                  <w:tcW w:w="364" w:type="pct"/>
                  <w:vAlign w:val="center"/>
                </w:tcPr>
                <w:p w14:paraId="328CE858">
                  <w:pPr>
                    <w:widowControl/>
                    <w:spacing w:line="276" w:lineRule="auto"/>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511" w:type="pct"/>
                  <w:vMerge w:val="restart"/>
                  <w:vAlign w:val="center"/>
                </w:tcPr>
                <w:p w14:paraId="6C638D4F">
                  <w:pPr>
                    <w:spacing w:line="276" w:lineRule="auto"/>
                    <w:jc w:val="center"/>
                    <w:rPr>
                      <w:rFonts w:ascii="Times New Roman" w:hAnsi="Times New Roman" w:cs="Times New Roman"/>
                      <w:color w:val="auto"/>
                      <w:szCs w:val="21"/>
                    </w:rPr>
                  </w:pPr>
                  <w:r>
                    <w:rPr>
                      <w:rFonts w:hint="eastAsia"/>
                      <w:color w:val="auto"/>
                      <w:sz w:val="21"/>
                      <w:szCs w:val="21"/>
                      <w:lang w:eastAsia="zh-CN"/>
                    </w:rPr>
                    <w:t>钻井液（泥浆）</w:t>
                  </w:r>
                </w:p>
              </w:tc>
              <w:tc>
                <w:tcPr>
                  <w:tcW w:w="752" w:type="pct"/>
                  <w:shd w:val="clear" w:color="auto" w:fill="auto"/>
                  <w:vAlign w:val="center"/>
                </w:tcPr>
                <w:p w14:paraId="0FED47C5">
                  <w:pPr>
                    <w:spacing w:line="276"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rPr>
                    <w:t>膨润土</w:t>
                  </w:r>
                </w:p>
              </w:tc>
              <w:tc>
                <w:tcPr>
                  <w:tcW w:w="736" w:type="pct"/>
                  <w:vAlign w:val="center"/>
                </w:tcPr>
                <w:p w14:paraId="1B4CD1D9">
                  <w:pPr>
                    <w:widowControl/>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15t</w:t>
                  </w:r>
                </w:p>
              </w:tc>
              <w:tc>
                <w:tcPr>
                  <w:tcW w:w="900" w:type="pct"/>
                  <w:vAlign w:val="center"/>
                </w:tcPr>
                <w:p w14:paraId="06EB16D0">
                  <w:pPr>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5t</w:t>
                  </w:r>
                </w:p>
              </w:tc>
              <w:tc>
                <w:tcPr>
                  <w:tcW w:w="1109" w:type="pct"/>
                  <w:vAlign w:val="center"/>
                </w:tcPr>
                <w:p w14:paraId="6CA5693D">
                  <w:pPr>
                    <w:widowControl/>
                    <w:spacing w:line="276" w:lineRule="auto"/>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袋装、材料</w:t>
                  </w:r>
                  <w:r>
                    <w:rPr>
                      <w:rFonts w:hint="eastAsia" w:ascii="Times New Roman" w:hAnsi="Times New Roman" w:eastAsia="宋体" w:cs="Times New Roman"/>
                      <w:color w:val="auto"/>
                      <w:kern w:val="0"/>
                      <w:szCs w:val="21"/>
                    </w:rPr>
                    <w:t>库房</w:t>
                  </w:r>
                </w:p>
              </w:tc>
              <w:tc>
                <w:tcPr>
                  <w:tcW w:w="626" w:type="pct"/>
                  <w:vAlign w:val="center"/>
                </w:tcPr>
                <w:p w14:paraId="265CC697">
                  <w:pPr>
                    <w:widowControl/>
                    <w:spacing w:line="276" w:lineRule="auto"/>
                    <w:jc w:val="center"/>
                    <w:textAlignment w:val="center"/>
                    <w:rPr>
                      <w:rFonts w:ascii="Times New Roman" w:hAnsi="Times New Roman" w:eastAsia="宋体" w:cs="Times New Roman"/>
                      <w:color w:val="auto"/>
                      <w:kern w:val="0"/>
                      <w:szCs w:val="21"/>
                    </w:rPr>
                  </w:pPr>
                </w:p>
              </w:tc>
            </w:tr>
            <w:tr w14:paraId="4BD24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96" w:hRule="atLeast"/>
                <w:jc w:val="center"/>
              </w:trPr>
              <w:tc>
                <w:tcPr>
                  <w:tcW w:w="364" w:type="pct"/>
                  <w:vAlign w:val="center"/>
                </w:tcPr>
                <w:p w14:paraId="6D3F070C">
                  <w:pPr>
                    <w:widowControl/>
                    <w:spacing w:line="276" w:lineRule="auto"/>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511" w:type="pct"/>
                  <w:vMerge w:val="continue"/>
                  <w:vAlign w:val="center"/>
                </w:tcPr>
                <w:p w14:paraId="788F700E">
                  <w:pPr>
                    <w:spacing w:line="276" w:lineRule="auto"/>
                    <w:jc w:val="center"/>
                    <w:rPr>
                      <w:rFonts w:ascii="Times New Roman" w:hAnsi="Times New Roman" w:cs="Times New Roman"/>
                      <w:color w:val="auto"/>
                      <w:szCs w:val="21"/>
                    </w:rPr>
                  </w:pPr>
                </w:p>
              </w:tc>
              <w:tc>
                <w:tcPr>
                  <w:tcW w:w="752" w:type="pct"/>
                  <w:shd w:val="clear" w:color="auto" w:fill="auto"/>
                  <w:vAlign w:val="center"/>
                </w:tcPr>
                <w:p w14:paraId="69446814">
                  <w:pPr>
                    <w:widowControl/>
                    <w:spacing w:line="276"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纤维素</w:t>
                  </w:r>
                </w:p>
              </w:tc>
              <w:tc>
                <w:tcPr>
                  <w:tcW w:w="736" w:type="pct"/>
                  <w:shd w:val="clear" w:color="auto" w:fill="auto"/>
                  <w:vAlign w:val="center"/>
                </w:tcPr>
                <w:p w14:paraId="773FAA85">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1.2t</w:t>
                  </w:r>
                </w:p>
              </w:tc>
              <w:tc>
                <w:tcPr>
                  <w:tcW w:w="900" w:type="pct"/>
                  <w:shd w:val="clear" w:color="auto" w:fill="auto"/>
                  <w:vAlign w:val="center"/>
                </w:tcPr>
                <w:p w14:paraId="43FAB68A">
                  <w:pPr>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0.5t</w:t>
                  </w:r>
                </w:p>
              </w:tc>
              <w:tc>
                <w:tcPr>
                  <w:tcW w:w="1109" w:type="pct"/>
                  <w:shd w:val="clear" w:color="auto" w:fill="auto"/>
                  <w:vAlign w:val="center"/>
                </w:tcPr>
                <w:p w14:paraId="7ACA4ACC">
                  <w:pPr>
                    <w:widowControl/>
                    <w:spacing w:line="276" w:lineRule="auto"/>
                    <w:jc w:val="center"/>
                    <w:textAlignment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eastAsia="zh-CN"/>
                    </w:rPr>
                    <w:t>袋装、材料</w:t>
                  </w:r>
                  <w:r>
                    <w:rPr>
                      <w:rFonts w:hint="eastAsia" w:ascii="Times New Roman" w:hAnsi="Times New Roman" w:eastAsia="宋体" w:cs="Times New Roman"/>
                      <w:color w:val="auto"/>
                      <w:kern w:val="0"/>
                      <w:szCs w:val="21"/>
                    </w:rPr>
                    <w:t>库房</w:t>
                  </w:r>
                </w:p>
              </w:tc>
              <w:tc>
                <w:tcPr>
                  <w:tcW w:w="626" w:type="pct"/>
                  <w:vAlign w:val="center"/>
                </w:tcPr>
                <w:p w14:paraId="65734E3C">
                  <w:pPr>
                    <w:widowControl/>
                    <w:spacing w:line="276" w:lineRule="auto"/>
                    <w:jc w:val="center"/>
                    <w:textAlignment w:val="center"/>
                    <w:rPr>
                      <w:rFonts w:ascii="Times New Roman" w:hAnsi="Times New Roman" w:eastAsia="宋体" w:cs="Times New Roman"/>
                      <w:color w:val="auto"/>
                      <w:kern w:val="0"/>
                      <w:szCs w:val="21"/>
                    </w:rPr>
                  </w:pPr>
                </w:p>
              </w:tc>
            </w:tr>
            <w:tr w14:paraId="6479F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jc w:val="center"/>
              </w:trPr>
              <w:tc>
                <w:tcPr>
                  <w:tcW w:w="364" w:type="pct"/>
                  <w:vAlign w:val="center"/>
                </w:tcPr>
                <w:p w14:paraId="268D3DB7">
                  <w:pPr>
                    <w:widowControl/>
                    <w:spacing w:line="276" w:lineRule="auto"/>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511" w:type="pct"/>
                  <w:vMerge w:val="continue"/>
                  <w:vAlign w:val="center"/>
                </w:tcPr>
                <w:p w14:paraId="1FDAE09E">
                  <w:pPr>
                    <w:widowControl/>
                    <w:spacing w:line="276" w:lineRule="auto"/>
                    <w:jc w:val="center"/>
                    <w:textAlignment w:val="center"/>
                    <w:rPr>
                      <w:rFonts w:ascii="Times New Roman" w:hAnsi="Times New Roman" w:eastAsia="宋体" w:cs="Times New Roman"/>
                      <w:color w:val="auto"/>
                      <w:kern w:val="0"/>
                      <w:szCs w:val="21"/>
                    </w:rPr>
                  </w:pPr>
                </w:p>
              </w:tc>
              <w:tc>
                <w:tcPr>
                  <w:tcW w:w="752" w:type="pct"/>
                  <w:shd w:val="clear" w:color="auto" w:fill="auto"/>
                  <w:vAlign w:val="center"/>
                </w:tcPr>
                <w:p w14:paraId="6B5A6C8E">
                  <w:pPr>
                    <w:widowControl/>
                    <w:spacing w:line="276"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腐殖酸钾</w:t>
                  </w:r>
                </w:p>
              </w:tc>
              <w:tc>
                <w:tcPr>
                  <w:tcW w:w="736" w:type="pct"/>
                  <w:shd w:val="clear" w:color="auto" w:fill="auto"/>
                  <w:vAlign w:val="center"/>
                </w:tcPr>
                <w:p w14:paraId="493ED9D3">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1.2t</w:t>
                  </w:r>
                </w:p>
              </w:tc>
              <w:tc>
                <w:tcPr>
                  <w:tcW w:w="900" w:type="pct"/>
                  <w:shd w:val="clear" w:color="auto" w:fill="auto"/>
                  <w:vAlign w:val="center"/>
                </w:tcPr>
                <w:p w14:paraId="7AFF6D43">
                  <w:pPr>
                    <w:spacing w:line="276" w:lineRule="auto"/>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0.5t</w:t>
                  </w:r>
                </w:p>
              </w:tc>
              <w:tc>
                <w:tcPr>
                  <w:tcW w:w="1109" w:type="pct"/>
                  <w:shd w:val="clear" w:color="auto" w:fill="auto"/>
                  <w:vAlign w:val="center"/>
                </w:tcPr>
                <w:p w14:paraId="2AC9A937">
                  <w:pPr>
                    <w:widowControl/>
                    <w:spacing w:line="276" w:lineRule="auto"/>
                    <w:jc w:val="center"/>
                    <w:textAlignment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eastAsia="zh-CN"/>
                    </w:rPr>
                    <w:t>袋装、材料</w:t>
                  </w:r>
                  <w:r>
                    <w:rPr>
                      <w:rFonts w:hint="eastAsia" w:ascii="Times New Roman" w:hAnsi="Times New Roman" w:eastAsia="宋体" w:cs="Times New Roman"/>
                      <w:color w:val="auto"/>
                      <w:kern w:val="0"/>
                      <w:szCs w:val="21"/>
                    </w:rPr>
                    <w:t>库房</w:t>
                  </w:r>
                </w:p>
              </w:tc>
              <w:tc>
                <w:tcPr>
                  <w:tcW w:w="626" w:type="pct"/>
                  <w:vAlign w:val="center"/>
                </w:tcPr>
                <w:p w14:paraId="13389D18">
                  <w:pPr>
                    <w:widowControl/>
                    <w:spacing w:line="276" w:lineRule="auto"/>
                    <w:jc w:val="center"/>
                    <w:textAlignment w:val="center"/>
                    <w:rPr>
                      <w:rFonts w:ascii="Times New Roman" w:hAnsi="Times New Roman" w:eastAsia="宋体" w:cs="Times New Roman"/>
                      <w:color w:val="auto"/>
                      <w:kern w:val="0"/>
                      <w:szCs w:val="21"/>
                    </w:rPr>
                  </w:pPr>
                </w:p>
              </w:tc>
            </w:tr>
            <w:tr w14:paraId="091D1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jc w:val="center"/>
              </w:trPr>
              <w:tc>
                <w:tcPr>
                  <w:tcW w:w="364" w:type="pct"/>
                  <w:vAlign w:val="center"/>
                </w:tcPr>
                <w:p w14:paraId="028A58C9">
                  <w:pPr>
                    <w:widowControl/>
                    <w:spacing w:line="276" w:lineRule="auto"/>
                    <w:jc w:val="center"/>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4</w:t>
                  </w:r>
                </w:p>
              </w:tc>
              <w:tc>
                <w:tcPr>
                  <w:tcW w:w="1263" w:type="pct"/>
                  <w:gridSpan w:val="2"/>
                  <w:vAlign w:val="center"/>
                </w:tcPr>
                <w:p w14:paraId="45CC4890">
                  <w:pPr>
                    <w:widowControl/>
                    <w:spacing w:line="276" w:lineRule="auto"/>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润滑油</w:t>
                  </w:r>
                </w:p>
              </w:tc>
              <w:tc>
                <w:tcPr>
                  <w:tcW w:w="736" w:type="pct"/>
                  <w:vAlign w:val="center"/>
                </w:tcPr>
                <w:p w14:paraId="28F7F44F">
                  <w:pPr>
                    <w:widowControl/>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120L</w:t>
                  </w:r>
                </w:p>
              </w:tc>
              <w:tc>
                <w:tcPr>
                  <w:tcW w:w="900" w:type="pct"/>
                  <w:vAlign w:val="center"/>
                </w:tcPr>
                <w:p w14:paraId="0308EF42">
                  <w:pPr>
                    <w:widowControl/>
                    <w:spacing w:line="276" w:lineRule="auto"/>
                    <w:jc w:val="center"/>
                    <w:textAlignment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1109" w:type="pct"/>
                  <w:vAlign w:val="center"/>
                </w:tcPr>
                <w:p w14:paraId="631CDE5F">
                  <w:pPr>
                    <w:widowControl/>
                    <w:spacing w:line="276" w:lineRule="auto"/>
                    <w:jc w:val="center"/>
                    <w:textAlignment w:val="center"/>
                    <w:rPr>
                      <w:rFonts w:hint="eastAsia" w:ascii="Times New Roman" w:hAnsi="Times New Roman" w:eastAsia="宋体" w:cs="Times New Roman"/>
                      <w:color w:val="auto"/>
                      <w:kern w:val="0"/>
                      <w:szCs w:val="21"/>
                      <w:highlight w:val="none"/>
                      <w:lang w:val="en-US" w:eastAsia="zh-CN"/>
                    </w:rPr>
                  </w:pPr>
                </w:p>
                <w:p w14:paraId="45AC4459">
                  <w:pPr>
                    <w:widowControl/>
                    <w:spacing w:line="276" w:lineRule="auto"/>
                    <w:jc w:val="center"/>
                    <w:textAlignment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626" w:type="pct"/>
                  <w:vAlign w:val="center"/>
                </w:tcPr>
                <w:p w14:paraId="45F913D4">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施工场地不存储，随买随用</w:t>
                  </w:r>
                  <w:r>
                    <w:rPr>
                      <w:rFonts w:hint="eastAsia" w:ascii="Times New Roman" w:hAnsi="Times New Roman" w:eastAsia="宋体" w:cs="Times New Roman"/>
                      <w:color w:val="auto"/>
                      <w:kern w:val="0"/>
                      <w:szCs w:val="21"/>
                      <w:lang w:val="en-US" w:eastAsia="zh-CN"/>
                    </w:rPr>
                    <w:t>。</w:t>
                  </w:r>
                </w:p>
              </w:tc>
            </w:tr>
            <w:tr w14:paraId="4D5F4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jc w:val="center"/>
              </w:trPr>
              <w:tc>
                <w:tcPr>
                  <w:tcW w:w="364" w:type="pct"/>
                  <w:vAlign w:val="center"/>
                </w:tcPr>
                <w:p w14:paraId="63431492">
                  <w:pPr>
                    <w:widowControl/>
                    <w:spacing w:line="276" w:lineRule="auto"/>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w:t>
                  </w:r>
                </w:p>
              </w:tc>
              <w:tc>
                <w:tcPr>
                  <w:tcW w:w="1263" w:type="pct"/>
                  <w:gridSpan w:val="2"/>
                  <w:vAlign w:val="center"/>
                </w:tcPr>
                <w:p w14:paraId="66F3E2D4">
                  <w:pPr>
                    <w:widowControl/>
                    <w:spacing w:line="276" w:lineRule="auto"/>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水泥浆</w:t>
                  </w:r>
                </w:p>
              </w:tc>
              <w:tc>
                <w:tcPr>
                  <w:tcW w:w="736" w:type="pct"/>
                  <w:vAlign w:val="center"/>
                </w:tcPr>
                <w:p w14:paraId="41896792">
                  <w:pPr>
                    <w:widowControl/>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40t</w:t>
                  </w:r>
                </w:p>
              </w:tc>
              <w:tc>
                <w:tcPr>
                  <w:tcW w:w="900" w:type="pct"/>
                  <w:vAlign w:val="center"/>
                </w:tcPr>
                <w:p w14:paraId="1A331748">
                  <w:pPr>
                    <w:widowControl/>
                    <w:spacing w:line="276" w:lineRule="auto"/>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1109" w:type="pct"/>
                  <w:vAlign w:val="center"/>
                </w:tcPr>
                <w:p w14:paraId="76A6DAEB">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626" w:type="pct"/>
                  <w:vAlign w:val="center"/>
                </w:tcPr>
                <w:p w14:paraId="6C99A1E8">
                  <w:pPr>
                    <w:widowControl/>
                    <w:spacing w:line="276" w:lineRule="auto"/>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下套管固井用，随用随买</w:t>
                  </w:r>
                </w:p>
              </w:tc>
            </w:tr>
            <w:tr w14:paraId="1159C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1" w:hRule="atLeast"/>
                <w:jc w:val="center"/>
              </w:trPr>
              <w:tc>
                <w:tcPr>
                  <w:tcW w:w="364" w:type="pct"/>
                  <w:shd w:val="clear" w:color="auto" w:fill="auto"/>
                  <w:vAlign w:val="center"/>
                </w:tcPr>
                <w:p w14:paraId="2EC7AAB8">
                  <w:pPr>
                    <w:widowControl/>
                    <w:spacing w:line="276"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7</w:t>
                  </w:r>
                </w:p>
              </w:tc>
              <w:tc>
                <w:tcPr>
                  <w:tcW w:w="1263" w:type="pct"/>
                  <w:gridSpan w:val="2"/>
                  <w:shd w:val="clear" w:color="auto" w:fill="auto"/>
                  <w:vAlign w:val="center"/>
                </w:tcPr>
                <w:p w14:paraId="4EE8B881">
                  <w:pPr>
                    <w:widowControl/>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水</w:t>
                  </w:r>
                </w:p>
              </w:tc>
              <w:tc>
                <w:tcPr>
                  <w:tcW w:w="736" w:type="pct"/>
                  <w:shd w:val="clear" w:color="auto" w:fill="auto"/>
                  <w:vAlign w:val="center"/>
                </w:tcPr>
                <w:p w14:paraId="2D4D446E">
                  <w:pPr>
                    <w:widowControl/>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600</w:t>
                  </w:r>
                  <w:r>
                    <w:rPr>
                      <w:rFonts w:ascii="Times New Roman" w:hAnsi="Times New Roman" w:eastAsia="宋体" w:cs="Times New Roman"/>
                      <w:color w:val="auto"/>
                      <w:kern w:val="0"/>
                      <w:szCs w:val="21"/>
                      <w:highlight w:val="none"/>
                    </w:rPr>
                    <w:t>t</w:t>
                  </w:r>
                </w:p>
              </w:tc>
              <w:tc>
                <w:tcPr>
                  <w:tcW w:w="900" w:type="pct"/>
                  <w:shd w:val="clear" w:color="auto" w:fill="auto"/>
                  <w:vAlign w:val="center"/>
                </w:tcPr>
                <w:p w14:paraId="50A61416">
                  <w:pPr>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15</w:t>
                  </w:r>
                  <w:r>
                    <w:rPr>
                      <w:rFonts w:ascii="Times New Roman" w:hAnsi="Times New Roman" w:eastAsia="宋体" w:cs="Times New Roman"/>
                      <w:color w:val="auto"/>
                      <w:kern w:val="0"/>
                      <w:szCs w:val="21"/>
                      <w:highlight w:val="none"/>
                    </w:rPr>
                    <w:t>t</w:t>
                  </w:r>
                </w:p>
              </w:tc>
              <w:tc>
                <w:tcPr>
                  <w:tcW w:w="1109" w:type="pct"/>
                  <w:shd w:val="clear" w:color="auto" w:fill="auto"/>
                  <w:vAlign w:val="center"/>
                </w:tcPr>
                <w:p w14:paraId="0B0AE2C1">
                  <w:pPr>
                    <w:widowControl/>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水箱</w:t>
                  </w:r>
                </w:p>
              </w:tc>
              <w:tc>
                <w:tcPr>
                  <w:tcW w:w="626" w:type="pct"/>
                  <w:shd w:val="clear" w:color="auto" w:fill="auto"/>
                  <w:vAlign w:val="center"/>
                </w:tcPr>
                <w:p w14:paraId="611BCE05">
                  <w:pPr>
                    <w:widowControl/>
                    <w:spacing w:line="276" w:lineRule="auto"/>
                    <w:jc w:val="center"/>
                    <w:textAlignment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w:t>
                  </w:r>
                </w:p>
              </w:tc>
            </w:tr>
            <w:tr w14:paraId="6B52C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70" w:hRule="atLeast"/>
                <w:jc w:val="center"/>
              </w:trPr>
              <w:tc>
                <w:tcPr>
                  <w:tcW w:w="364" w:type="pct"/>
                  <w:shd w:val="clear" w:color="auto" w:fill="auto"/>
                  <w:vAlign w:val="center"/>
                </w:tcPr>
                <w:p w14:paraId="7AF29E35">
                  <w:pPr>
                    <w:widowControl/>
                    <w:spacing w:line="276"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8</w:t>
                  </w:r>
                </w:p>
              </w:tc>
              <w:tc>
                <w:tcPr>
                  <w:tcW w:w="1263" w:type="pct"/>
                  <w:gridSpan w:val="2"/>
                  <w:vAlign w:val="center"/>
                </w:tcPr>
                <w:p w14:paraId="2113F15E">
                  <w:pPr>
                    <w:widowControl/>
                    <w:spacing w:line="276" w:lineRule="auto"/>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电</w:t>
                  </w:r>
                </w:p>
              </w:tc>
              <w:tc>
                <w:tcPr>
                  <w:tcW w:w="736" w:type="pct"/>
                  <w:vAlign w:val="center"/>
                </w:tcPr>
                <w:p w14:paraId="5B59B5EA">
                  <w:pPr>
                    <w:widowControl/>
                    <w:spacing w:line="276" w:lineRule="auto"/>
                    <w:jc w:val="center"/>
                    <w:textAlignment w:val="center"/>
                    <w:rPr>
                      <w:rFonts w:ascii="Times New Roman" w:hAnsi="Times New Roman" w:eastAsia="宋体" w:cs="Times New Roman"/>
                      <w:color w:val="auto"/>
                      <w:kern w:val="0"/>
                      <w:szCs w:val="21"/>
                      <w:highlight w:val="yellow"/>
                    </w:rPr>
                  </w:pPr>
                </w:p>
              </w:tc>
              <w:tc>
                <w:tcPr>
                  <w:tcW w:w="900" w:type="pct"/>
                  <w:vAlign w:val="center"/>
                </w:tcPr>
                <w:p w14:paraId="62CF53DC">
                  <w:pPr>
                    <w:spacing w:line="276" w:lineRule="auto"/>
                    <w:jc w:val="center"/>
                    <w:textAlignment w:val="center"/>
                    <w:rPr>
                      <w:rFonts w:ascii="Times New Roman" w:hAnsi="Times New Roman" w:eastAsia="宋体" w:cs="Times New Roman"/>
                      <w:color w:val="auto"/>
                      <w:kern w:val="0"/>
                      <w:szCs w:val="21"/>
                      <w:highlight w:val="none"/>
                    </w:rPr>
                  </w:pPr>
                </w:p>
              </w:tc>
              <w:tc>
                <w:tcPr>
                  <w:tcW w:w="1109" w:type="pct"/>
                  <w:vAlign w:val="center"/>
                </w:tcPr>
                <w:p w14:paraId="0C142F9D">
                  <w:pPr>
                    <w:widowControl/>
                    <w:spacing w:line="276" w:lineRule="auto"/>
                    <w:jc w:val="center"/>
                    <w:textAlignment w:val="center"/>
                    <w:rPr>
                      <w:rFonts w:hint="eastAsia" w:ascii="Times New Roman" w:hAnsi="Times New Roman" w:eastAsia="宋体" w:cs="Times New Roman"/>
                      <w:color w:val="auto"/>
                      <w:kern w:val="0"/>
                      <w:szCs w:val="21"/>
                      <w:highlight w:val="none"/>
                      <w:lang w:val="en-US" w:eastAsia="zh-CN"/>
                    </w:rPr>
                  </w:pPr>
                </w:p>
              </w:tc>
              <w:tc>
                <w:tcPr>
                  <w:tcW w:w="626" w:type="pct"/>
                  <w:vAlign w:val="center"/>
                </w:tcPr>
                <w:p w14:paraId="3150F3CE">
                  <w:pPr>
                    <w:widowControl/>
                    <w:spacing w:line="276" w:lineRule="auto"/>
                    <w:jc w:val="center"/>
                    <w:textAlignment w:val="center"/>
                    <w:rPr>
                      <w:rFonts w:ascii="Times New Roman" w:hAnsi="Times New Roman" w:eastAsia="宋体" w:cs="Times New Roman"/>
                      <w:color w:val="auto"/>
                      <w:kern w:val="0"/>
                      <w:szCs w:val="21"/>
                    </w:rPr>
                  </w:pPr>
                </w:p>
              </w:tc>
            </w:tr>
          </w:tbl>
          <w:p w14:paraId="55080154">
            <w:pPr>
              <w:widowControl/>
              <w:spacing w:line="360" w:lineRule="auto"/>
              <w:ind w:firstLine="480" w:firstLineChars="200"/>
              <w:jc w:val="left"/>
              <w:rPr>
                <w:rFonts w:ascii="Times New Roman" w:hAnsi="Times New Roman" w:eastAsia="宋体" w:cs="Times New Roman"/>
                <w:b/>
                <w:color w:val="auto"/>
                <w:kern w:val="0"/>
                <w:szCs w:val="21"/>
              </w:rPr>
            </w:pPr>
            <w:r>
              <w:rPr>
                <w:rFonts w:hint="eastAsia" w:ascii="Times New Roman" w:hAnsi="Times New Roman" w:eastAsia="宋体" w:cs="Times New Roman"/>
                <w:color w:val="auto"/>
                <w:sz w:val="24"/>
                <w:szCs w:val="24"/>
              </w:rPr>
              <w:t>钻井液</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俗称泥浆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按分散介质（连续相）可分为水基钻井液、油基钻井液、气体型钻井流体</w:t>
            </w:r>
            <w:r>
              <w:rPr>
                <w:rFonts w:hint="eastAsia" w:ascii="Times New Roman" w:hAnsi="Times New Roman" w:eastAsia="宋体" w:cs="Times New Roman"/>
                <w:color w:val="auto"/>
                <w:sz w:val="24"/>
                <w:szCs w:val="24"/>
                <w:lang w:eastAsia="zh-CN"/>
              </w:rPr>
              <w:t>，本项目使用</w:t>
            </w:r>
            <w:r>
              <w:rPr>
                <w:rFonts w:hint="eastAsia" w:ascii="Times New Roman" w:hAnsi="Times New Roman" w:eastAsia="宋体" w:cs="Times New Roman"/>
                <w:color w:val="auto"/>
                <w:sz w:val="24"/>
                <w:szCs w:val="24"/>
              </w:rPr>
              <w:t>水基钻井液</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水基钻井液是一种以水为分散介质，以粘土（膨润土）、加重剂及各种化学处理剂为分散相的溶胶悬浮体混合体系。其主要组成是水、粘土、加重剂和各种化学处理剂等。</w:t>
            </w:r>
            <w:r>
              <w:rPr>
                <w:rFonts w:hint="eastAsia" w:ascii="Times New Roman" w:hAnsi="宋体" w:eastAsia="宋体" w:cs="Times New Roman"/>
                <w:color w:val="auto"/>
                <w:kern w:val="0"/>
                <w:sz w:val="24"/>
                <w:szCs w:val="24"/>
              </w:rPr>
              <w:t>本项目泥浆由粘土（膨润土）、纤维素、腐殖酸和水</w:t>
            </w:r>
            <w:r>
              <w:rPr>
                <w:rFonts w:hint="eastAsia" w:ascii="Times New Roman" w:hAnsi="宋体" w:eastAsia="宋体" w:cs="Times New Roman"/>
                <w:color w:val="auto"/>
                <w:kern w:val="0"/>
                <w:sz w:val="24"/>
                <w:szCs w:val="24"/>
                <w:lang w:eastAsia="zh-CN"/>
              </w:rPr>
              <w:t>通过人工</w:t>
            </w:r>
            <w:r>
              <w:rPr>
                <w:rFonts w:hint="eastAsia" w:ascii="Times New Roman" w:hAnsi="宋体" w:eastAsia="宋体" w:cs="Times New Roman"/>
                <w:color w:val="auto"/>
                <w:kern w:val="0"/>
                <w:sz w:val="24"/>
                <w:szCs w:val="24"/>
              </w:rPr>
              <w:t>调配而成。</w:t>
            </w:r>
          </w:p>
          <w:p w14:paraId="431892A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纤维素：项目使用的纤维素为木质素纤维，它是天然木材经过化学处理得到的有机纤维，外观为棉絮状，呈白色或灰白色。通过筛选、分裂、高温处理、漂白、化学处理、中和、筛分成不同长度和粗细度的纤维以适应不同应用材料的需要。由于处理温度</w:t>
            </w:r>
            <w:r>
              <w:rPr>
                <w:rFonts w:ascii="Times New Roman" w:hAnsi="Times New Roman" w:eastAsia="宋体" w:cs="Times New Roman"/>
                <w:color w:val="auto"/>
                <w:kern w:val="0"/>
                <w:sz w:val="24"/>
                <w:szCs w:val="24"/>
              </w:rPr>
              <w:t>高达250℃以</w:t>
            </w:r>
            <w:r>
              <w:rPr>
                <w:rFonts w:hint="eastAsia" w:ascii="Times New Roman" w:hAnsi="Times New Roman" w:eastAsia="宋体" w:cs="Times New Roman"/>
                <w:color w:val="auto"/>
                <w:kern w:val="0"/>
                <w:sz w:val="24"/>
                <w:szCs w:val="24"/>
              </w:rPr>
              <w:t>上，在通常条件下是化学上非常稳定的物质，不为一般的溶剂、酸、碱腐蚀，具有无毒、无味、无污染、无放射性的优良品质，不影响环境，对人体无害，属绿色环保产品，这是其它矿物质素纤维所不具备的。纤维微观结构是带状弯曲的，凹凸不平的，多孔的，交叉处是扁平的，有良好的韧性、分散性和化学稳定性，吸水能力强，有非常优秀的增稠抗裂性能。</w:t>
            </w:r>
          </w:p>
          <w:p w14:paraId="16B940F5">
            <w:pPr>
              <w:autoSpaceDE w:val="0"/>
              <w:autoSpaceDN w:val="0"/>
              <w:spacing w:line="360" w:lineRule="auto"/>
              <w:ind w:firstLine="480" w:firstLineChars="20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腐植酸钾：腐植酸钾是一种高效有机钾肥，化学式为C</w:t>
            </w:r>
            <w:r>
              <w:rPr>
                <w:rFonts w:hint="eastAsia" w:ascii="Times New Roman" w:hAnsi="Times New Roman" w:eastAsia="宋体" w:cs="Times New Roman"/>
                <w:color w:val="auto"/>
                <w:kern w:val="0"/>
                <w:sz w:val="24"/>
                <w:szCs w:val="24"/>
                <w:vertAlign w:val="subscript"/>
              </w:rPr>
              <w:t>9</w:t>
            </w:r>
            <w:r>
              <w:rPr>
                <w:rFonts w:hint="eastAsia" w:ascii="Times New Roman" w:hAnsi="Times New Roman" w:eastAsia="宋体" w:cs="Times New Roman"/>
                <w:color w:val="auto"/>
                <w:kern w:val="0"/>
                <w:sz w:val="24"/>
                <w:szCs w:val="24"/>
              </w:rPr>
              <w:t>H</w:t>
            </w:r>
            <w:r>
              <w:rPr>
                <w:rFonts w:hint="eastAsia" w:ascii="Times New Roman" w:hAnsi="Times New Roman" w:eastAsia="宋体" w:cs="Times New Roman"/>
                <w:color w:val="auto"/>
                <w:kern w:val="0"/>
                <w:sz w:val="24"/>
                <w:szCs w:val="24"/>
                <w:vertAlign w:val="subscript"/>
              </w:rPr>
              <w:t>8</w:t>
            </w:r>
            <w:r>
              <w:rPr>
                <w:rFonts w:hint="eastAsia" w:ascii="Times New Roman" w:hAnsi="Times New Roman" w:eastAsia="宋体" w:cs="Times New Roman"/>
                <w:color w:val="auto"/>
                <w:kern w:val="0"/>
                <w:sz w:val="24"/>
                <w:szCs w:val="24"/>
              </w:rPr>
              <w:t>K</w:t>
            </w:r>
            <w:r>
              <w:rPr>
                <w:rFonts w:hint="eastAsia" w:ascii="Times New Roman" w:hAnsi="Times New Roman" w:eastAsia="宋体" w:cs="Times New Roman"/>
                <w:color w:val="auto"/>
                <w:kern w:val="0"/>
                <w:sz w:val="24"/>
                <w:szCs w:val="24"/>
                <w:vertAlign w:val="subscript"/>
              </w:rPr>
              <w:t>2</w:t>
            </w:r>
            <w:r>
              <w:rPr>
                <w:rFonts w:hint="eastAsia" w:ascii="Times New Roman" w:hAnsi="Times New Roman" w:eastAsia="宋体" w:cs="Times New Roman"/>
                <w:color w:val="auto"/>
                <w:kern w:val="0"/>
                <w:sz w:val="24"/>
                <w:szCs w:val="24"/>
              </w:rPr>
              <w:t>O</w:t>
            </w:r>
            <w:r>
              <w:rPr>
                <w:rFonts w:hint="eastAsia" w:ascii="Times New Roman" w:hAnsi="Times New Roman" w:eastAsia="宋体" w:cs="Times New Roman"/>
                <w:color w:val="auto"/>
                <w:kern w:val="0"/>
                <w:sz w:val="24"/>
                <w:szCs w:val="24"/>
                <w:vertAlign w:val="subscript"/>
              </w:rPr>
              <w:t>4</w:t>
            </w:r>
            <w:r>
              <w:rPr>
                <w:rFonts w:hint="eastAsia" w:ascii="Times New Roman" w:hAnsi="Times New Roman" w:eastAsia="宋体" w:cs="Times New Roman"/>
                <w:color w:val="auto"/>
                <w:kern w:val="0"/>
                <w:sz w:val="24"/>
                <w:szCs w:val="24"/>
              </w:rPr>
              <w:t>，外观为黑色粉末，易溶于水，水溶液呈酱色。其含有的腐植酸是一种生物活性制剂，可提高土壤速效钾含量，减少钾的损失和固定，增加作物对钾的吸收和利用率，也具有改良土壤、促进作物生长、提高作物抗逆能力、改善作物品质、保护农业生态环境等功能；它与尿素、磷肥、钾肥、微量元素等混合后，可制成高效多功能复混肥料；此外，腐植酸钾还可用作石油钻井液的处理剂，主要起防止井壁坍塌的作用。</w:t>
            </w:r>
          </w:p>
          <w:p w14:paraId="65E8048F">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润滑油：淡黄色粘稠液体，相对密度（水=1）为934.8kg/m</w:t>
            </w:r>
            <w:r>
              <w:rPr>
                <w:rFonts w:hint="default" w:ascii="Times New Roman" w:hAnsi="Times New Roman" w:eastAsia="宋体" w:cs="Times New Roman"/>
                <w:kern w:val="0"/>
                <w:sz w:val="24"/>
                <w:szCs w:val="24"/>
                <w:highlight w:val="none"/>
                <w:vertAlign w:val="superscript"/>
              </w:rPr>
              <w:t>3</w:t>
            </w:r>
            <w:r>
              <w:rPr>
                <w:rFonts w:hint="default" w:ascii="Times New Roman" w:hAnsi="Times New Roman" w:eastAsia="宋体" w:cs="Times New Roman"/>
                <w:kern w:val="0"/>
                <w:sz w:val="24"/>
                <w:szCs w:val="24"/>
                <w:highlight w:val="none"/>
              </w:rPr>
              <w:t>，可溶于苯、乙醇、乙醚、氯仿、丙酮等多数有机溶剂，润滑油是用在各种类型汽车、机械设备上以减少摩擦，保护机械及加工件的液体或半固体润滑剂，主要起润滑、辅助冷却、防锈、清洁、密封和缓冲等作用。</w:t>
            </w:r>
          </w:p>
          <w:p w14:paraId="3C5CFC9D">
            <w:pPr>
              <w:spacing w:line="360" w:lineRule="auto"/>
              <w:jc w:val="both"/>
              <w:rPr>
                <w:rFonts w:hint="eastAsia" w:ascii="Times New Roman" w:hAnsi="黑体" w:eastAsia="宋体" w:cs="Times New Roman"/>
                <w:color w:val="auto"/>
                <w:sz w:val="24"/>
                <w:szCs w:val="24"/>
                <w:lang w:val="en-US" w:eastAsia="zh-CN"/>
              </w:rPr>
            </w:pPr>
            <w:r>
              <w:rPr>
                <w:rFonts w:hint="eastAsia" w:ascii="Times New Roman" w:hAnsi="宋体" w:eastAsia="宋体" w:cs="Times New Roman"/>
                <w:b/>
                <w:color w:val="auto"/>
                <w:kern w:val="0"/>
                <w:sz w:val="24"/>
                <w:szCs w:val="24"/>
                <w:lang w:val="en-US" w:eastAsia="zh-CN"/>
              </w:rPr>
              <w:t>4</w:t>
            </w:r>
            <w:r>
              <w:rPr>
                <w:rFonts w:hint="eastAsia" w:ascii="Times New Roman" w:hAnsi="宋体" w:eastAsia="宋体" w:cs="Times New Roman"/>
                <w:b/>
                <w:color w:val="auto"/>
                <w:kern w:val="0"/>
                <w:sz w:val="24"/>
                <w:szCs w:val="24"/>
              </w:rPr>
              <w:t>、项目主要</w:t>
            </w:r>
            <w:r>
              <w:rPr>
                <w:rFonts w:hint="eastAsia" w:ascii="Times New Roman" w:hAnsi="宋体" w:eastAsia="宋体" w:cs="Times New Roman"/>
                <w:b/>
                <w:color w:val="auto"/>
                <w:kern w:val="0"/>
                <w:sz w:val="24"/>
                <w:szCs w:val="24"/>
                <w:lang w:val="en-US" w:eastAsia="zh-CN"/>
              </w:rPr>
              <w:t>施工设备</w:t>
            </w:r>
          </w:p>
          <w:p w14:paraId="4E3ABD5D">
            <w:pPr>
              <w:pStyle w:val="97"/>
              <w:numPr>
                <w:ilvl w:val="1"/>
                <w:numId w:val="2"/>
              </w:numPr>
              <w:tabs>
                <w:tab w:val="left" w:pos="2100"/>
                <w:tab w:val="clear" w:pos="1440"/>
              </w:tabs>
              <w:spacing w:line="240" w:lineRule="auto"/>
              <w:ind w:left="3300" w:leftChars="0" w:hanging="1200" w:firstLineChars="0"/>
              <w:jc w:val="both"/>
              <w:rPr>
                <w:rFonts w:hint="eastAsia" w:ascii="宋体" w:hAnsi="宋体" w:eastAsia="宋体" w:cs="宋体"/>
                <w:color w:val="auto"/>
                <w:sz w:val="24"/>
                <w:szCs w:val="20"/>
                <w:lang w:eastAsia="zh-CN"/>
              </w:rPr>
            </w:pPr>
            <w:r>
              <w:rPr>
                <w:rFonts w:hint="eastAsia" w:ascii="宋体" w:hAnsi="宋体" w:eastAsia="宋体" w:cs="宋体"/>
                <w:color w:val="auto"/>
                <w:sz w:val="24"/>
                <w:szCs w:val="20"/>
                <w:lang w:eastAsia="zh-CN"/>
              </w:rPr>
              <w:t>项目施工主要设备一览</w:t>
            </w:r>
            <w:r>
              <w:rPr>
                <w:rFonts w:ascii="Times New Roman" w:hAnsi="黑体" w:eastAsia="黑体" w:cs="Times New Roman"/>
                <w:color w:val="auto"/>
                <w:sz w:val="24"/>
                <w:szCs w:val="24"/>
              </w:rPr>
              <w:t>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353"/>
              <w:gridCol w:w="3658"/>
              <w:gridCol w:w="895"/>
              <w:gridCol w:w="1511"/>
            </w:tblGrid>
            <w:tr w14:paraId="44D8B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00" w:type="pct"/>
                  <w:noWrap/>
                  <w:vAlign w:val="center"/>
                </w:tcPr>
                <w:p w14:paraId="6796AE5E">
                  <w:pPr>
                    <w:widowControl/>
                    <w:spacing w:line="276" w:lineRule="auto"/>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序号</w:t>
                  </w:r>
                </w:p>
              </w:tc>
              <w:tc>
                <w:tcPr>
                  <w:tcW w:w="839" w:type="pct"/>
                  <w:noWrap/>
                  <w:vAlign w:val="center"/>
                </w:tcPr>
                <w:p w14:paraId="13C1DB0F">
                  <w:pPr>
                    <w:widowControl/>
                    <w:spacing w:line="276" w:lineRule="auto"/>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名称</w:t>
                  </w:r>
                </w:p>
              </w:tc>
              <w:tc>
                <w:tcPr>
                  <w:tcW w:w="2268" w:type="pct"/>
                  <w:noWrap/>
                  <w:vAlign w:val="center"/>
                </w:tcPr>
                <w:p w14:paraId="2E61E224">
                  <w:pPr>
                    <w:widowControl/>
                    <w:spacing w:line="276" w:lineRule="auto"/>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型号</w:t>
                  </w:r>
                </w:p>
              </w:tc>
              <w:tc>
                <w:tcPr>
                  <w:tcW w:w="555" w:type="pct"/>
                  <w:noWrap/>
                  <w:vAlign w:val="center"/>
                </w:tcPr>
                <w:p w14:paraId="2F7155E5">
                  <w:pPr>
                    <w:widowControl/>
                    <w:spacing w:line="276" w:lineRule="auto"/>
                    <w:jc w:val="center"/>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数量</w:t>
                  </w:r>
                </w:p>
              </w:tc>
              <w:tc>
                <w:tcPr>
                  <w:tcW w:w="937" w:type="pct"/>
                  <w:noWrap/>
                  <w:vAlign w:val="center"/>
                </w:tcPr>
                <w:p w14:paraId="08FAE4A1">
                  <w:pPr>
                    <w:widowControl/>
                    <w:spacing w:line="276" w:lineRule="auto"/>
                    <w:jc w:val="center"/>
                    <w:rPr>
                      <w:rFonts w:hint="eastAsia" w:ascii="Times New Roman" w:hAnsi="Times New Roman" w:eastAsia="宋体" w:cs="Times New Roman"/>
                      <w:b/>
                      <w:color w:val="auto"/>
                      <w:kern w:val="0"/>
                      <w:szCs w:val="21"/>
                      <w:lang w:eastAsia="zh-CN"/>
                    </w:rPr>
                  </w:pPr>
                  <w:r>
                    <w:rPr>
                      <w:rFonts w:hint="eastAsia" w:ascii="Times New Roman" w:hAnsi="Times New Roman" w:eastAsia="宋体" w:cs="Times New Roman"/>
                      <w:b/>
                      <w:color w:val="auto"/>
                      <w:kern w:val="0"/>
                      <w:szCs w:val="21"/>
                      <w:lang w:eastAsia="zh-CN"/>
                    </w:rPr>
                    <w:t>备注</w:t>
                  </w:r>
                </w:p>
              </w:tc>
            </w:tr>
            <w:tr w14:paraId="20D9F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400" w:type="pct"/>
                  <w:noWrap/>
                  <w:vAlign w:val="center"/>
                </w:tcPr>
                <w:p w14:paraId="1C98AEFD">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839" w:type="pct"/>
                  <w:noWrap/>
                  <w:vAlign w:val="center"/>
                </w:tcPr>
                <w:p w14:paraId="53BEC722">
                  <w:pPr>
                    <w:widowControl/>
                    <w:spacing w:line="276" w:lineRule="auto"/>
                    <w:jc w:val="center"/>
                    <w:rPr>
                      <w:rFonts w:hint="default" w:ascii="Times New Roman" w:hAnsi="Times New Roman" w:cs="Times New Roman"/>
                      <w:highlight w:val="none"/>
                    </w:rPr>
                  </w:pPr>
                  <w:r>
                    <w:rPr>
                      <w:rFonts w:hint="default" w:ascii="Times New Roman" w:hAnsi="Times New Roman" w:cs="Times New Roman"/>
                      <w:highlight w:val="none"/>
                    </w:rPr>
                    <w:t>钻塔</w:t>
                  </w:r>
                </w:p>
              </w:tc>
              <w:tc>
                <w:tcPr>
                  <w:tcW w:w="2268" w:type="pct"/>
                  <w:noWrap/>
                  <w:vAlign w:val="center"/>
                </w:tcPr>
                <w:p w14:paraId="2F4B0E68">
                  <w:pPr>
                    <w:widowControl/>
                    <w:spacing w:line="276" w:lineRule="auto"/>
                    <w:jc w:val="center"/>
                    <w:rPr>
                      <w:rFonts w:hint="eastAsia" w:ascii="Times New Roman" w:hAnsi="Times New Roman" w:cs="Times New Roman"/>
                      <w:highlight w:val="none"/>
                      <w:lang w:eastAsia="zh-CN"/>
                    </w:rPr>
                  </w:pPr>
                  <w:r>
                    <w:rPr>
                      <w:rFonts w:hint="default" w:ascii="Times New Roman" w:hAnsi="Times New Roman" w:cs="Times New Roman"/>
                      <w:highlight w:val="none"/>
                    </w:rPr>
                    <w:t>HS24-75四角加强型钻塔</w:t>
                  </w:r>
                </w:p>
              </w:tc>
              <w:tc>
                <w:tcPr>
                  <w:tcW w:w="555" w:type="pct"/>
                  <w:noWrap/>
                  <w:vAlign w:val="center"/>
                </w:tcPr>
                <w:p w14:paraId="2C3F68FF">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副</w:t>
                  </w:r>
                </w:p>
              </w:tc>
              <w:tc>
                <w:tcPr>
                  <w:tcW w:w="937" w:type="pct"/>
                  <w:noWrap/>
                  <w:vAlign w:val="center"/>
                </w:tcPr>
                <w:p w14:paraId="64AEECD0">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每个场地</w:t>
                  </w:r>
                  <w:r>
                    <w:rPr>
                      <w:rFonts w:hint="eastAsia" w:ascii="Times New Roman" w:hAnsi="Times New Roman" w:eastAsia="宋体" w:cs="Times New Roman"/>
                      <w:color w:val="auto"/>
                      <w:kern w:val="0"/>
                      <w:szCs w:val="21"/>
                      <w:lang w:val="en-US" w:eastAsia="zh-CN"/>
                    </w:rPr>
                    <w:t>1副</w:t>
                  </w:r>
                </w:p>
              </w:tc>
            </w:tr>
            <w:tr w14:paraId="5D0C7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00" w:type="pct"/>
                  <w:vMerge w:val="restart"/>
                  <w:noWrap/>
                  <w:vAlign w:val="center"/>
                </w:tcPr>
                <w:p w14:paraId="15EE1D89">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w:t>
                  </w:r>
                </w:p>
              </w:tc>
              <w:tc>
                <w:tcPr>
                  <w:tcW w:w="839" w:type="pct"/>
                  <w:vMerge w:val="restart"/>
                  <w:noWrap/>
                  <w:vAlign w:val="center"/>
                </w:tcPr>
                <w:p w14:paraId="50FA4370">
                  <w:pPr>
                    <w:widowControl/>
                    <w:spacing w:line="276" w:lineRule="auto"/>
                    <w:jc w:val="center"/>
                    <w:rPr>
                      <w:rFonts w:hint="default" w:ascii="Times New Roman" w:hAnsi="Times New Roman" w:cs="Times New Roman"/>
                      <w:highlight w:val="none"/>
                    </w:rPr>
                  </w:pPr>
                  <w:r>
                    <w:rPr>
                      <w:rFonts w:hint="default" w:ascii="Times New Roman" w:hAnsi="Times New Roman" w:cs="Times New Roman"/>
                      <w:highlight w:val="none"/>
                    </w:rPr>
                    <w:t>钻机</w:t>
                  </w:r>
                </w:p>
              </w:tc>
              <w:tc>
                <w:tcPr>
                  <w:tcW w:w="2268" w:type="pct"/>
                  <w:noWrap/>
                  <w:vAlign w:val="center"/>
                </w:tcPr>
                <w:p w14:paraId="2F6591DC">
                  <w:pPr>
                    <w:widowControl/>
                    <w:spacing w:line="276" w:lineRule="auto"/>
                    <w:jc w:val="center"/>
                    <w:rPr>
                      <w:rFonts w:hint="default" w:ascii="Times New Roman" w:hAnsi="Times New Roman" w:cs="Times New Roman"/>
                      <w:highlight w:val="none"/>
                    </w:rPr>
                  </w:pPr>
                  <w:r>
                    <w:rPr>
                      <w:rFonts w:hint="eastAsia" w:ascii="Times New Roman" w:hAnsi="Times New Roman" w:cs="Times New Roman"/>
                      <w:highlight w:val="none"/>
                    </w:rPr>
                    <w:t xml:space="preserve"> TSJ-2000钻机                </w:t>
                  </w:r>
                </w:p>
              </w:tc>
              <w:tc>
                <w:tcPr>
                  <w:tcW w:w="555" w:type="pct"/>
                  <w:noWrap/>
                  <w:vAlign w:val="center"/>
                </w:tcPr>
                <w:p w14:paraId="258141E5">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w:t>
                  </w:r>
                  <w:r>
                    <w:rPr>
                      <w:rFonts w:ascii="Times New Roman" w:hAnsi="Times New Roman" w:eastAsia="宋体" w:cs="Times New Roman"/>
                      <w:color w:val="auto"/>
                      <w:kern w:val="0"/>
                      <w:szCs w:val="21"/>
                    </w:rPr>
                    <w:t>台</w:t>
                  </w:r>
                </w:p>
              </w:tc>
              <w:tc>
                <w:tcPr>
                  <w:tcW w:w="937" w:type="pct"/>
                  <w:vMerge w:val="restart"/>
                  <w:noWrap/>
                  <w:vAlign w:val="center"/>
                </w:tcPr>
                <w:p w14:paraId="4C6C2741">
                  <w:pPr>
                    <w:widowControl/>
                    <w:spacing w:line="276" w:lineRule="auto"/>
                    <w:jc w:val="center"/>
                    <w:rPr>
                      <w:rFonts w:hint="default" w:ascii="Times New Roman" w:hAnsi="Times New Roman" w:eastAsia="宋体" w:cs="Times New Roman"/>
                      <w:color w:val="auto"/>
                      <w:kern w:val="0"/>
                      <w:szCs w:val="21"/>
                      <w:lang w:val="en-US"/>
                    </w:rPr>
                  </w:pPr>
                </w:p>
              </w:tc>
            </w:tr>
            <w:tr w14:paraId="143AF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00" w:type="pct"/>
                  <w:vMerge w:val="continue"/>
                  <w:noWrap/>
                  <w:vAlign w:val="center"/>
                </w:tcPr>
                <w:p w14:paraId="17656192">
                  <w:pPr>
                    <w:widowControl/>
                    <w:spacing w:line="276" w:lineRule="auto"/>
                    <w:jc w:val="center"/>
                    <w:rPr>
                      <w:color w:val="auto"/>
                    </w:rPr>
                  </w:pPr>
                </w:p>
              </w:tc>
              <w:tc>
                <w:tcPr>
                  <w:tcW w:w="839" w:type="pct"/>
                  <w:vMerge w:val="continue"/>
                  <w:noWrap/>
                  <w:vAlign w:val="center"/>
                </w:tcPr>
                <w:p w14:paraId="658C5E95">
                  <w:pPr>
                    <w:widowControl/>
                    <w:spacing w:line="276" w:lineRule="auto"/>
                    <w:jc w:val="center"/>
                    <w:rPr>
                      <w:rFonts w:hint="default" w:ascii="Times New Roman" w:hAnsi="Times New Roman" w:cs="Times New Roman"/>
                      <w:highlight w:val="none"/>
                    </w:rPr>
                  </w:pPr>
                </w:p>
              </w:tc>
              <w:tc>
                <w:tcPr>
                  <w:tcW w:w="2268" w:type="pct"/>
                  <w:noWrap/>
                  <w:vAlign w:val="center"/>
                </w:tcPr>
                <w:p w14:paraId="0D91D2FE">
                  <w:pPr>
                    <w:widowControl/>
                    <w:spacing w:line="276" w:lineRule="auto"/>
                    <w:jc w:val="center"/>
                    <w:rPr>
                      <w:rFonts w:hint="eastAsia" w:ascii="Times New Roman" w:hAnsi="Times New Roman" w:cs="Times New Roman"/>
                      <w:highlight w:val="none"/>
                    </w:rPr>
                  </w:pPr>
                  <w:r>
                    <w:rPr>
                      <w:rFonts w:hint="eastAsia" w:ascii="Times New Roman" w:hAnsi="Times New Roman" w:cs="Times New Roman"/>
                      <w:highlight w:val="none"/>
                    </w:rPr>
                    <w:t>TSJ-</w:t>
                  </w:r>
                  <w:r>
                    <w:rPr>
                      <w:rFonts w:hint="eastAsia" w:ascii="Times New Roman" w:hAnsi="Times New Roman" w:cs="Times New Roman"/>
                      <w:highlight w:val="none"/>
                      <w:lang w:val="en-US" w:eastAsia="zh-CN"/>
                    </w:rPr>
                    <w:t>26</w:t>
                  </w:r>
                  <w:r>
                    <w:rPr>
                      <w:rFonts w:hint="eastAsia" w:ascii="Times New Roman" w:hAnsi="Times New Roman" w:cs="Times New Roman"/>
                      <w:highlight w:val="none"/>
                    </w:rPr>
                    <w:t>00钻机</w:t>
                  </w:r>
                </w:p>
              </w:tc>
              <w:tc>
                <w:tcPr>
                  <w:tcW w:w="555" w:type="pct"/>
                  <w:noWrap/>
                  <w:vAlign w:val="center"/>
                </w:tcPr>
                <w:p w14:paraId="09BE8883">
                  <w:pPr>
                    <w:widowControl/>
                    <w:spacing w:line="276" w:lineRule="auto"/>
                    <w:jc w:val="center"/>
                    <w:rPr>
                      <w:rFonts w:hint="eastAsia"/>
                      <w:color w:val="auto"/>
                      <w:kern w:val="44"/>
                      <w:highlight w:val="none"/>
                    </w:rPr>
                  </w:pPr>
                  <w:r>
                    <w:rPr>
                      <w:rFonts w:hint="eastAsia" w:ascii="Times New Roman" w:hAnsi="Times New Roman" w:eastAsia="宋体" w:cs="Times New Roman"/>
                      <w:color w:val="auto"/>
                      <w:kern w:val="0"/>
                      <w:szCs w:val="21"/>
                      <w:lang w:val="en-US" w:eastAsia="zh-CN"/>
                    </w:rPr>
                    <w:t>1</w:t>
                  </w:r>
                  <w:r>
                    <w:rPr>
                      <w:rFonts w:ascii="Times New Roman" w:hAnsi="Times New Roman" w:eastAsia="宋体" w:cs="Times New Roman"/>
                      <w:color w:val="auto"/>
                      <w:kern w:val="0"/>
                      <w:szCs w:val="21"/>
                    </w:rPr>
                    <w:t>台</w:t>
                  </w:r>
                </w:p>
              </w:tc>
              <w:tc>
                <w:tcPr>
                  <w:tcW w:w="937" w:type="pct"/>
                  <w:vMerge w:val="continue"/>
                  <w:noWrap/>
                  <w:vAlign w:val="center"/>
                </w:tcPr>
                <w:p w14:paraId="025A87CD">
                  <w:pPr>
                    <w:widowControl/>
                    <w:spacing w:line="276" w:lineRule="auto"/>
                    <w:jc w:val="center"/>
                    <w:rPr>
                      <w:rFonts w:hint="eastAsia"/>
                      <w:color w:val="auto"/>
                      <w:kern w:val="44"/>
                      <w:highlight w:val="none"/>
                    </w:rPr>
                  </w:pPr>
                </w:p>
              </w:tc>
            </w:tr>
            <w:tr w14:paraId="682D9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00" w:type="pct"/>
                  <w:noWrap/>
                  <w:vAlign w:val="center"/>
                </w:tcPr>
                <w:p w14:paraId="4AD7532B">
                  <w:pPr>
                    <w:widowControl/>
                    <w:spacing w:line="276" w:lineRule="auto"/>
                    <w:jc w:val="center"/>
                    <w:rPr>
                      <w:color w:val="auto"/>
                    </w:rPr>
                  </w:pPr>
                </w:p>
              </w:tc>
              <w:tc>
                <w:tcPr>
                  <w:tcW w:w="839" w:type="pct"/>
                  <w:noWrap/>
                  <w:vAlign w:val="center"/>
                </w:tcPr>
                <w:p w14:paraId="4F5E684F">
                  <w:pPr>
                    <w:widowControl/>
                    <w:spacing w:line="276" w:lineRule="auto"/>
                    <w:jc w:val="center"/>
                    <w:rPr>
                      <w:rFonts w:hint="default" w:ascii="Times New Roman" w:hAnsi="Times New Roman" w:cs="Times New Roman"/>
                      <w:highlight w:val="none"/>
                    </w:rPr>
                  </w:pPr>
                </w:p>
              </w:tc>
              <w:tc>
                <w:tcPr>
                  <w:tcW w:w="2268" w:type="pct"/>
                  <w:noWrap/>
                  <w:vAlign w:val="center"/>
                </w:tcPr>
                <w:p w14:paraId="25ADE3DC">
                  <w:pPr>
                    <w:widowControl/>
                    <w:spacing w:line="276" w:lineRule="auto"/>
                    <w:jc w:val="center"/>
                    <w:rPr>
                      <w:rFonts w:hint="eastAsia" w:ascii="Times New Roman" w:hAnsi="Times New Roman" w:cs="Times New Roman"/>
                      <w:highlight w:val="none"/>
                    </w:rPr>
                  </w:pPr>
                  <w:r>
                    <w:rPr>
                      <w:rFonts w:hint="eastAsia" w:ascii="Times New Roman" w:hAnsi="Times New Roman" w:cs="Times New Roman"/>
                      <w:highlight w:val="none"/>
                    </w:rPr>
                    <w:t>TSJ-</w:t>
                  </w:r>
                  <w:r>
                    <w:rPr>
                      <w:rFonts w:hint="eastAsia" w:ascii="Times New Roman" w:hAnsi="Times New Roman" w:cs="Times New Roman"/>
                      <w:highlight w:val="none"/>
                      <w:lang w:val="en-US" w:eastAsia="zh-CN"/>
                    </w:rPr>
                    <w:t>3000</w:t>
                  </w:r>
                  <w:r>
                    <w:rPr>
                      <w:rFonts w:hint="eastAsia" w:ascii="Times New Roman" w:hAnsi="Times New Roman" w:cs="Times New Roman"/>
                      <w:highlight w:val="none"/>
                    </w:rPr>
                    <w:t>钻机</w:t>
                  </w:r>
                </w:p>
              </w:tc>
              <w:tc>
                <w:tcPr>
                  <w:tcW w:w="555" w:type="pct"/>
                  <w:noWrap/>
                  <w:vAlign w:val="center"/>
                </w:tcPr>
                <w:p w14:paraId="1F5F22EA">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w:t>
                  </w:r>
                  <w:r>
                    <w:rPr>
                      <w:rFonts w:ascii="Times New Roman" w:hAnsi="Times New Roman" w:eastAsia="宋体" w:cs="Times New Roman"/>
                      <w:color w:val="auto"/>
                      <w:kern w:val="0"/>
                      <w:szCs w:val="21"/>
                    </w:rPr>
                    <w:t>台</w:t>
                  </w:r>
                </w:p>
              </w:tc>
              <w:tc>
                <w:tcPr>
                  <w:tcW w:w="937" w:type="pct"/>
                  <w:noWrap/>
                  <w:vAlign w:val="center"/>
                </w:tcPr>
                <w:p w14:paraId="59B56D73">
                  <w:pPr>
                    <w:widowControl/>
                    <w:spacing w:line="276" w:lineRule="auto"/>
                    <w:jc w:val="center"/>
                    <w:rPr>
                      <w:rFonts w:hint="eastAsia"/>
                      <w:color w:val="auto"/>
                      <w:kern w:val="44"/>
                      <w:highlight w:val="none"/>
                    </w:rPr>
                  </w:pPr>
                </w:p>
              </w:tc>
            </w:tr>
            <w:tr w14:paraId="3C4DE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00" w:type="pct"/>
                  <w:noWrap/>
                  <w:vAlign w:val="center"/>
                </w:tcPr>
                <w:p w14:paraId="1162F27C">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p>
              </w:tc>
              <w:tc>
                <w:tcPr>
                  <w:tcW w:w="839" w:type="pct"/>
                  <w:noWrap/>
                  <w:vAlign w:val="center"/>
                </w:tcPr>
                <w:p w14:paraId="05138EB1">
                  <w:pPr>
                    <w:widowControl/>
                    <w:spacing w:line="276" w:lineRule="auto"/>
                    <w:jc w:val="center"/>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钻</w:t>
                  </w:r>
                  <w:r>
                    <w:rPr>
                      <w:rFonts w:hint="eastAsia" w:ascii="Times New Roman" w:hAnsi="Times New Roman" w:eastAsia="宋体" w:cs="Times New Roman"/>
                      <w:color w:val="auto"/>
                      <w:kern w:val="0"/>
                      <w:szCs w:val="21"/>
                      <w:lang w:eastAsia="zh-CN"/>
                    </w:rPr>
                    <w:t>具</w:t>
                  </w:r>
                </w:p>
              </w:tc>
              <w:tc>
                <w:tcPr>
                  <w:tcW w:w="2268" w:type="pct"/>
                  <w:noWrap/>
                  <w:vAlign w:val="center"/>
                </w:tcPr>
                <w:p w14:paraId="5C4D7677">
                  <w:pPr>
                    <w:widowControl/>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组合钻具</w:t>
                  </w:r>
                </w:p>
              </w:tc>
              <w:tc>
                <w:tcPr>
                  <w:tcW w:w="555" w:type="pct"/>
                  <w:noWrap/>
                  <w:vAlign w:val="center"/>
                </w:tcPr>
                <w:p w14:paraId="4903744E">
                  <w:pPr>
                    <w:widowControl/>
                    <w:spacing w:line="276"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数个</w:t>
                  </w:r>
                </w:p>
              </w:tc>
              <w:tc>
                <w:tcPr>
                  <w:tcW w:w="937" w:type="pct"/>
                  <w:noWrap/>
                  <w:vAlign w:val="center"/>
                </w:tcPr>
                <w:p w14:paraId="69A29EFC">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r>
            <w:tr w14:paraId="70B7F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00" w:type="pct"/>
                  <w:vMerge w:val="restart"/>
                  <w:noWrap/>
                  <w:vAlign w:val="center"/>
                </w:tcPr>
                <w:p w14:paraId="1A16ED41">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839" w:type="pct"/>
                  <w:vMerge w:val="restart"/>
                  <w:noWrap/>
                  <w:vAlign w:val="center"/>
                </w:tcPr>
                <w:p w14:paraId="5FCB1222">
                  <w:pPr>
                    <w:widowControl/>
                    <w:spacing w:line="276"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泥浆泵</w:t>
                  </w:r>
                </w:p>
              </w:tc>
              <w:tc>
                <w:tcPr>
                  <w:tcW w:w="2268" w:type="pct"/>
                  <w:noWrap/>
                  <w:vAlign w:val="center"/>
                </w:tcPr>
                <w:p w14:paraId="5C9992FF">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 xml:space="preserve">NBB-390                                 </w:t>
                  </w:r>
                </w:p>
              </w:tc>
              <w:tc>
                <w:tcPr>
                  <w:tcW w:w="555" w:type="pct"/>
                  <w:noWrap/>
                  <w:vAlign w:val="center"/>
                </w:tcPr>
                <w:p w14:paraId="66A436EE">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台</w:t>
                  </w:r>
                </w:p>
              </w:tc>
              <w:tc>
                <w:tcPr>
                  <w:tcW w:w="937" w:type="pct"/>
                  <w:vMerge w:val="restart"/>
                  <w:noWrap/>
                  <w:vAlign w:val="center"/>
                </w:tcPr>
                <w:p w14:paraId="73EEE4FB">
                  <w:pPr>
                    <w:widowControl/>
                    <w:spacing w:line="276"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每个场地</w:t>
                  </w:r>
                  <w:r>
                    <w:rPr>
                      <w:rFonts w:hint="eastAsia" w:ascii="Times New Roman" w:hAnsi="Times New Roman" w:eastAsia="宋体" w:cs="Times New Roman"/>
                      <w:color w:val="auto"/>
                      <w:kern w:val="0"/>
                      <w:szCs w:val="21"/>
                      <w:lang w:val="en-US" w:eastAsia="zh-CN"/>
                    </w:rPr>
                    <w:t>2台,1用1备</w:t>
                  </w:r>
                </w:p>
              </w:tc>
            </w:tr>
            <w:tr w14:paraId="3983A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00" w:type="pct"/>
                  <w:vMerge w:val="continue"/>
                  <w:noWrap/>
                  <w:vAlign w:val="center"/>
                </w:tcPr>
                <w:p w14:paraId="3430EE3B">
                  <w:pPr>
                    <w:widowControl/>
                    <w:spacing w:line="276" w:lineRule="auto"/>
                    <w:jc w:val="center"/>
                    <w:rPr>
                      <w:color w:val="auto"/>
                    </w:rPr>
                  </w:pPr>
                </w:p>
              </w:tc>
              <w:tc>
                <w:tcPr>
                  <w:tcW w:w="839" w:type="pct"/>
                  <w:vMerge w:val="continue"/>
                  <w:noWrap/>
                  <w:vAlign w:val="center"/>
                </w:tcPr>
                <w:p w14:paraId="2F253783">
                  <w:pPr>
                    <w:widowControl/>
                    <w:spacing w:line="276" w:lineRule="auto"/>
                    <w:jc w:val="center"/>
                    <w:rPr>
                      <w:color w:val="auto"/>
                    </w:rPr>
                  </w:pPr>
                </w:p>
              </w:tc>
              <w:tc>
                <w:tcPr>
                  <w:tcW w:w="2268" w:type="pct"/>
                  <w:noWrap/>
                  <w:vAlign w:val="center"/>
                </w:tcPr>
                <w:p w14:paraId="3736C219">
                  <w:pPr>
                    <w:widowControl/>
                    <w:spacing w:line="276"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3NB-260</w:t>
                  </w:r>
                </w:p>
              </w:tc>
              <w:tc>
                <w:tcPr>
                  <w:tcW w:w="555" w:type="pct"/>
                  <w:noWrap/>
                  <w:vAlign w:val="center"/>
                </w:tcPr>
                <w:p w14:paraId="4C399A80">
                  <w:pPr>
                    <w:widowControl/>
                    <w:spacing w:line="276"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台</w:t>
                  </w:r>
                </w:p>
              </w:tc>
              <w:tc>
                <w:tcPr>
                  <w:tcW w:w="937" w:type="pct"/>
                  <w:vMerge w:val="continue"/>
                  <w:noWrap/>
                  <w:vAlign w:val="center"/>
                </w:tcPr>
                <w:p w14:paraId="1455CADB">
                  <w:pPr>
                    <w:widowControl/>
                    <w:spacing w:line="276" w:lineRule="auto"/>
                    <w:jc w:val="center"/>
                    <w:rPr>
                      <w:rFonts w:hint="eastAsia" w:ascii="Times New Roman" w:hAnsi="Times New Roman" w:eastAsia="宋体" w:cs="Times New Roman"/>
                      <w:color w:val="auto"/>
                      <w:kern w:val="0"/>
                      <w:szCs w:val="21"/>
                    </w:rPr>
                  </w:pPr>
                </w:p>
              </w:tc>
            </w:tr>
            <w:tr w14:paraId="53A6C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0" w:type="pct"/>
                  <w:noWrap/>
                  <w:vAlign w:val="center"/>
                </w:tcPr>
                <w:p w14:paraId="72D2E5F2">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839" w:type="pct"/>
                  <w:noWrap/>
                  <w:vAlign w:val="top"/>
                </w:tcPr>
                <w:p w14:paraId="4B2CE1DE">
                  <w:pPr>
                    <w:widowControl/>
                    <w:spacing w:line="276" w:lineRule="auto"/>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固控系统</w:t>
                  </w:r>
                </w:p>
              </w:tc>
              <w:tc>
                <w:tcPr>
                  <w:tcW w:w="2268" w:type="pct"/>
                  <w:noWrap/>
                  <w:vAlign w:val="top"/>
                </w:tcPr>
                <w:p w14:paraId="42C1499F">
                  <w:pPr>
                    <w:widowControl/>
                    <w:spacing w:line="276"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555" w:type="pct"/>
                  <w:noWrap/>
                  <w:vAlign w:val="center"/>
                </w:tcPr>
                <w:p w14:paraId="54F1FF42">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3套</w:t>
                  </w:r>
                </w:p>
              </w:tc>
              <w:tc>
                <w:tcPr>
                  <w:tcW w:w="937" w:type="pct"/>
                  <w:noWrap/>
                  <w:vAlign w:val="center"/>
                </w:tcPr>
                <w:p w14:paraId="50EE076F">
                  <w:pPr>
                    <w:widowControl/>
                    <w:spacing w:line="276" w:lineRule="auto"/>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每个场地</w:t>
                  </w:r>
                  <w:r>
                    <w:rPr>
                      <w:rFonts w:hint="eastAsia" w:ascii="Times New Roman" w:hAnsi="Times New Roman" w:eastAsia="宋体" w:cs="Times New Roman"/>
                      <w:color w:val="auto"/>
                      <w:kern w:val="0"/>
                      <w:szCs w:val="21"/>
                      <w:highlight w:val="none"/>
                      <w:lang w:val="en-US" w:eastAsia="zh-CN"/>
                    </w:rPr>
                    <w:t>1套</w:t>
                  </w:r>
                </w:p>
              </w:tc>
            </w:tr>
            <w:tr w14:paraId="0D6BB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00" w:type="pct"/>
                  <w:noWrap/>
                  <w:vAlign w:val="center"/>
                </w:tcPr>
                <w:p w14:paraId="44B462E3">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839" w:type="pct"/>
                  <w:shd w:val="clear" w:color="auto" w:fill="auto"/>
                  <w:noWrap/>
                  <w:vAlign w:val="top"/>
                </w:tcPr>
                <w:p w14:paraId="3839CA99">
                  <w:pPr>
                    <w:widowControl/>
                    <w:spacing w:line="276"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rPr>
                    <w:t>综合录井仪</w:t>
                  </w:r>
                </w:p>
              </w:tc>
              <w:tc>
                <w:tcPr>
                  <w:tcW w:w="2268" w:type="pct"/>
                  <w:shd w:val="clear" w:color="auto" w:fill="auto"/>
                  <w:noWrap/>
                  <w:vAlign w:val="top"/>
                </w:tcPr>
                <w:p w14:paraId="2B5FFE77">
                  <w:pPr>
                    <w:widowControl/>
                    <w:spacing w:line="276"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rPr>
                    <w:t>SK-2000G</w:t>
                  </w:r>
                </w:p>
              </w:tc>
              <w:tc>
                <w:tcPr>
                  <w:tcW w:w="555" w:type="pct"/>
                  <w:shd w:val="clear" w:color="auto" w:fill="auto"/>
                  <w:noWrap/>
                  <w:vAlign w:val="top"/>
                </w:tcPr>
                <w:p w14:paraId="5032D1AD">
                  <w:pPr>
                    <w:widowControl/>
                    <w:spacing w:line="276"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3</w:t>
                  </w:r>
                  <w:r>
                    <w:rPr>
                      <w:rFonts w:ascii="Times New Roman" w:hAnsi="Times New Roman" w:eastAsia="宋体" w:cs="Times New Roman"/>
                      <w:color w:val="auto"/>
                      <w:kern w:val="0"/>
                      <w:szCs w:val="21"/>
                      <w:highlight w:val="none"/>
                    </w:rPr>
                    <w:t>台</w:t>
                  </w:r>
                </w:p>
              </w:tc>
              <w:tc>
                <w:tcPr>
                  <w:tcW w:w="937" w:type="pct"/>
                  <w:noWrap/>
                  <w:vAlign w:val="center"/>
                </w:tcPr>
                <w:p w14:paraId="66DD1103">
                  <w:pPr>
                    <w:widowControl/>
                    <w:spacing w:line="276" w:lineRule="auto"/>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每个场地</w:t>
                  </w:r>
                  <w:r>
                    <w:rPr>
                      <w:rFonts w:hint="eastAsia" w:ascii="Times New Roman" w:hAnsi="Times New Roman" w:eastAsia="宋体" w:cs="Times New Roman"/>
                      <w:color w:val="auto"/>
                      <w:kern w:val="0"/>
                      <w:szCs w:val="21"/>
                      <w:highlight w:val="none"/>
                      <w:lang w:val="en-US" w:eastAsia="zh-CN"/>
                    </w:rPr>
                    <w:t>1台</w:t>
                  </w:r>
                </w:p>
              </w:tc>
            </w:tr>
            <w:tr w14:paraId="4B02B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400" w:type="pct"/>
                  <w:noWrap/>
                  <w:vAlign w:val="center"/>
                </w:tcPr>
                <w:p w14:paraId="69CB4BBE">
                  <w:pPr>
                    <w:widowControl/>
                    <w:spacing w:line="276"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839" w:type="pct"/>
                  <w:shd w:val="clear" w:color="auto" w:fill="auto"/>
                  <w:noWrap/>
                  <w:vAlign w:val="top"/>
                </w:tcPr>
                <w:p w14:paraId="38AFCAE8">
                  <w:pPr>
                    <w:widowControl/>
                    <w:spacing w:line="276"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rPr>
                    <w:t>潜水泵</w:t>
                  </w:r>
                </w:p>
              </w:tc>
              <w:tc>
                <w:tcPr>
                  <w:tcW w:w="2268" w:type="pct"/>
                  <w:shd w:val="clear" w:color="auto" w:fill="auto"/>
                  <w:noWrap/>
                  <w:vAlign w:val="top"/>
                </w:tcPr>
                <w:p w14:paraId="1366DA56">
                  <w:pPr>
                    <w:widowControl/>
                    <w:spacing w:line="276" w:lineRule="auto"/>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Cs w:val="21"/>
                      <w:highlight w:val="none"/>
                    </w:rPr>
                    <w:t>100QJ15-82/24</w:t>
                  </w:r>
                </w:p>
              </w:tc>
              <w:tc>
                <w:tcPr>
                  <w:tcW w:w="555" w:type="pct"/>
                  <w:shd w:val="clear" w:color="auto" w:fill="auto"/>
                  <w:noWrap/>
                  <w:vAlign w:val="top"/>
                </w:tcPr>
                <w:p w14:paraId="1B0C8C84">
                  <w:pPr>
                    <w:widowControl/>
                    <w:spacing w:line="276"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3</w:t>
                  </w:r>
                  <w:r>
                    <w:rPr>
                      <w:rFonts w:ascii="Times New Roman" w:hAnsi="Times New Roman" w:eastAsia="宋体" w:cs="Times New Roman"/>
                      <w:color w:val="auto"/>
                      <w:kern w:val="0"/>
                      <w:szCs w:val="21"/>
                      <w:highlight w:val="none"/>
                    </w:rPr>
                    <w:t>台</w:t>
                  </w:r>
                </w:p>
              </w:tc>
              <w:tc>
                <w:tcPr>
                  <w:tcW w:w="937" w:type="pct"/>
                  <w:noWrap/>
                  <w:vAlign w:val="top"/>
                </w:tcPr>
                <w:p w14:paraId="1339A323">
                  <w:pPr>
                    <w:widowControl/>
                    <w:spacing w:line="276" w:lineRule="auto"/>
                    <w:jc w:val="center"/>
                    <w:rPr>
                      <w:rFonts w:ascii="Times New Roman" w:hAnsi="Times New Roman" w:eastAsia="宋体" w:cs="Times New Roman"/>
                      <w:color w:val="auto"/>
                      <w:kern w:val="0"/>
                      <w:szCs w:val="21"/>
                      <w:highlight w:val="none"/>
                    </w:rPr>
                  </w:pPr>
                </w:p>
              </w:tc>
            </w:tr>
          </w:tbl>
          <w:p w14:paraId="7BD1DF4B">
            <w:pPr>
              <w:spacing w:line="360" w:lineRule="auto"/>
              <w:rPr>
                <w:rFonts w:ascii="宋体" w:hAnsi="宋体" w:eastAsia="宋体" w:cs="宋体"/>
                <w:color w:val="auto"/>
                <w:kern w:val="0"/>
                <w:szCs w:val="21"/>
              </w:rPr>
            </w:pPr>
          </w:p>
        </w:tc>
      </w:tr>
    </w:tbl>
    <w:p w14:paraId="6D3B30B4">
      <w:pPr>
        <w:widowControl/>
        <w:spacing w:before="100" w:beforeAutospacing="1" w:after="100" w:afterAutospacing="1"/>
        <w:jc w:val="center"/>
        <w:outlineLvl w:val="0"/>
        <w:rPr>
          <w:rFonts w:ascii="宋体" w:hAnsi="宋体" w:eastAsia="仿宋_GB2312" w:cs="Times New Roman"/>
          <w:b/>
          <w:bCs/>
          <w:color w:val="auto"/>
          <w:kern w:val="0"/>
          <w:sz w:val="24"/>
          <w:szCs w:val="20"/>
        </w:rPr>
        <w:sectPr>
          <w:pgSz w:w="11906" w:h="16838"/>
          <w:pgMar w:top="1440" w:right="1911" w:bottom="1440" w:left="1797" w:header="851" w:footer="1077" w:gutter="0"/>
          <w:cols w:space="425" w:num="1"/>
          <w:docGrid w:type="lines" w:linePitch="312" w:charSpace="0"/>
        </w:sectPr>
      </w:pP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72"/>
      </w:tblGrid>
      <w:tr w14:paraId="329CA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262" w:type="pct"/>
            <w:vAlign w:val="center"/>
          </w:tcPr>
          <w:p w14:paraId="38797FA1">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项目组成及规模</w:t>
            </w:r>
          </w:p>
        </w:tc>
        <w:tc>
          <w:tcPr>
            <w:tcW w:w="4737" w:type="pct"/>
            <w:vAlign w:val="center"/>
          </w:tcPr>
          <w:p w14:paraId="78EF83A1">
            <w:pPr>
              <w:spacing w:line="360" w:lineRule="auto"/>
              <w:ind w:firstLine="482" w:firstLineChars="200"/>
              <w:rPr>
                <w:rFonts w:ascii="Times New Roman" w:hAnsi="宋体" w:eastAsia="宋体" w:cs="Times New Roman"/>
                <w:b/>
                <w:color w:val="auto"/>
                <w:sz w:val="24"/>
                <w:szCs w:val="24"/>
              </w:rPr>
            </w:pPr>
            <w:r>
              <w:rPr>
                <w:rFonts w:hint="eastAsia" w:ascii="Times New Roman" w:hAnsi="宋体" w:eastAsia="宋体" w:cs="Times New Roman"/>
                <w:b/>
                <w:color w:val="auto"/>
                <w:sz w:val="24"/>
                <w:szCs w:val="24"/>
                <w:lang w:val="en-US" w:eastAsia="zh-CN"/>
              </w:rPr>
              <w:t>5</w:t>
            </w:r>
            <w:r>
              <w:rPr>
                <w:rFonts w:hint="eastAsia" w:ascii="Times New Roman" w:hAnsi="宋体" w:eastAsia="宋体" w:cs="Times New Roman"/>
                <w:b/>
                <w:color w:val="auto"/>
                <w:sz w:val="24"/>
                <w:szCs w:val="24"/>
              </w:rPr>
              <w:t>、工程占地</w:t>
            </w:r>
          </w:p>
          <w:p w14:paraId="181929BA">
            <w:pPr>
              <w:spacing w:line="360" w:lineRule="auto"/>
              <w:ind w:firstLine="480" w:firstLineChars="200"/>
              <w:rPr>
                <w:rFonts w:hint="default"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rPr>
              <w:t>本项目</w:t>
            </w:r>
            <w:r>
              <w:rPr>
                <w:rFonts w:hint="eastAsia" w:ascii="Times New Roman" w:hAnsi="宋体" w:eastAsia="宋体" w:cs="Times New Roman"/>
                <w:color w:val="auto"/>
                <w:sz w:val="24"/>
                <w:szCs w:val="24"/>
                <w:lang w:eastAsia="zh-CN"/>
              </w:rPr>
              <w:t>施工</w:t>
            </w:r>
            <w:r>
              <w:rPr>
                <w:rFonts w:hint="eastAsia" w:ascii="Times New Roman" w:hAnsi="宋体" w:eastAsia="宋体" w:cs="Times New Roman"/>
                <w:color w:val="auto"/>
                <w:sz w:val="24"/>
                <w:szCs w:val="24"/>
                <w:lang w:val="en-US" w:eastAsia="zh-CN"/>
              </w:rPr>
              <w:t>临时</w:t>
            </w:r>
            <w:r>
              <w:rPr>
                <w:rFonts w:hint="eastAsia" w:ascii="Times New Roman" w:hAnsi="宋体" w:eastAsia="宋体" w:cs="Times New Roman"/>
                <w:color w:val="auto"/>
                <w:sz w:val="24"/>
                <w:szCs w:val="24"/>
                <w:lang w:eastAsia="zh-CN"/>
              </w:rPr>
              <w:t>总占地面积</w:t>
            </w:r>
            <w:r>
              <w:rPr>
                <w:rFonts w:hint="eastAsia" w:ascii="Times New Roman" w:hAnsi="宋体" w:eastAsia="宋体" w:cs="Times New Roman"/>
                <w:color w:val="auto"/>
                <w:sz w:val="24"/>
                <w:szCs w:val="24"/>
                <w:lang w:val="en-US" w:eastAsia="zh-CN"/>
              </w:rPr>
              <w:t>15107平方，为潘集镇小圩村集体土地，用地性质为农用地，现状种植有当季农作物。</w:t>
            </w:r>
            <w:r>
              <w:rPr>
                <w:rFonts w:hint="eastAsia" w:ascii="Times New Roman" w:hAnsi="宋体" w:eastAsia="宋体" w:cs="Times New Roman"/>
                <w:color w:val="auto"/>
                <w:sz w:val="24"/>
                <w:szCs w:val="24"/>
                <w:lang w:eastAsia="zh-CN"/>
              </w:rPr>
              <w:t>项目用地已</w:t>
            </w:r>
            <w:r>
              <w:rPr>
                <w:rFonts w:hint="eastAsia" w:ascii="Times New Roman" w:hAnsi="宋体" w:eastAsia="宋体" w:cs="Times New Roman"/>
                <w:color w:val="auto"/>
                <w:sz w:val="24"/>
                <w:szCs w:val="24"/>
              </w:rPr>
              <w:t>取得了</w:t>
            </w:r>
            <w:r>
              <w:rPr>
                <w:rFonts w:hint="eastAsia" w:ascii="Times New Roman" w:hAnsi="宋体" w:eastAsia="宋体" w:cs="Times New Roman"/>
                <w:color w:val="auto"/>
                <w:sz w:val="24"/>
                <w:szCs w:val="24"/>
                <w:lang w:eastAsia="zh-CN"/>
              </w:rPr>
              <w:t>淮南市</w:t>
            </w:r>
            <w:r>
              <w:rPr>
                <w:rFonts w:hint="eastAsia" w:ascii="Times New Roman" w:hAnsi="宋体" w:eastAsia="宋体" w:cs="Times New Roman"/>
                <w:color w:val="auto"/>
                <w:sz w:val="24"/>
                <w:szCs w:val="24"/>
              </w:rPr>
              <w:t>自然资源和规划局出具的项目临时用地批复，临时用地期限为2年。</w:t>
            </w:r>
            <w:r>
              <w:rPr>
                <w:rFonts w:hint="eastAsia" w:ascii="Times New Roman" w:hAnsi="宋体" w:eastAsia="宋体" w:cs="Times New Roman"/>
                <w:color w:val="auto"/>
                <w:sz w:val="24"/>
                <w:szCs w:val="24"/>
                <w:lang w:eastAsia="zh-CN"/>
              </w:rPr>
              <w:t>工程占地情况见下表</w:t>
            </w:r>
            <w:r>
              <w:rPr>
                <w:rFonts w:hint="eastAsia" w:ascii="Times New Roman" w:hAnsi="宋体" w:eastAsia="宋体" w:cs="Times New Roman"/>
                <w:color w:val="auto"/>
                <w:sz w:val="24"/>
                <w:szCs w:val="24"/>
                <w:lang w:val="en-US" w:eastAsia="zh-CN"/>
              </w:rPr>
              <w:t>.</w:t>
            </w:r>
          </w:p>
          <w:p w14:paraId="71466033">
            <w:pPr>
              <w:pStyle w:val="97"/>
              <w:numPr>
                <w:ilvl w:val="1"/>
                <w:numId w:val="2"/>
              </w:numPr>
              <w:tabs>
                <w:tab w:val="left" w:pos="2100"/>
                <w:tab w:val="clear" w:pos="1440"/>
              </w:tabs>
              <w:spacing w:line="240" w:lineRule="auto"/>
              <w:ind w:left="3300" w:leftChars="0" w:hanging="1200" w:firstLineChars="0"/>
              <w:jc w:val="both"/>
              <w:rPr>
                <w:rFonts w:ascii="Times New Roman" w:hAnsi="黑体" w:eastAsia="黑体" w:cs="Times New Roman"/>
                <w:color w:val="auto"/>
                <w:sz w:val="24"/>
                <w:szCs w:val="24"/>
              </w:rPr>
            </w:pPr>
            <w:r>
              <w:rPr>
                <w:rFonts w:hint="eastAsia" w:ascii="宋体" w:hAnsi="宋体" w:eastAsia="宋体" w:cs="宋体"/>
                <w:color w:val="auto"/>
                <w:sz w:val="24"/>
                <w:szCs w:val="20"/>
                <w:lang w:eastAsia="zh-CN"/>
              </w:rPr>
              <w:t>临时</w:t>
            </w:r>
            <w:r>
              <w:rPr>
                <w:rFonts w:hint="eastAsia" w:ascii="宋体" w:eastAsia="宋体" w:cs="宋体"/>
                <w:color w:val="auto"/>
                <w:sz w:val="24"/>
                <w:szCs w:val="20"/>
                <w:lang w:eastAsia="zh-CN"/>
              </w:rPr>
              <w:t>占用</w:t>
            </w:r>
            <w:r>
              <w:rPr>
                <w:rFonts w:hint="eastAsia" w:ascii="Times New Roman" w:hAnsi="宋体" w:eastAsia="宋体" w:cs="Times New Roman"/>
                <w:color w:val="auto"/>
                <w:sz w:val="24"/>
                <w:szCs w:val="24"/>
                <w:lang w:val="en-US" w:eastAsia="zh-CN"/>
              </w:rPr>
              <w:t>集体土地</w:t>
            </w:r>
            <w:r>
              <w:rPr>
                <w:rFonts w:hint="eastAsia" w:ascii="宋体" w:hAnsi="宋体" w:eastAsia="宋体" w:cs="宋体"/>
                <w:color w:val="auto"/>
                <w:sz w:val="24"/>
                <w:szCs w:val="20"/>
                <w:lang w:eastAsia="zh-CN"/>
              </w:rPr>
              <w:t>情况</w:t>
            </w:r>
          </w:p>
          <w:tbl>
            <w:tblPr>
              <w:tblStyle w:val="26"/>
              <w:tblW w:w="78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8"/>
              <w:gridCol w:w="610"/>
              <w:gridCol w:w="1692"/>
              <w:gridCol w:w="1898"/>
              <w:gridCol w:w="1764"/>
              <w:gridCol w:w="1321"/>
            </w:tblGrid>
            <w:tr w14:paraId="020CB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750" w:type="pct"/>
                  <w:gridSpan w:val="2"/>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14:paraId="3B3555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土地性质</w:t>
                  </w:r>
                </w:p>
              </w:tc>
              <w:tc>
                <w:tcPr>
                  <w:tcW w:w="1077" w:type="pct"/>
                  <w:vMerge w:val="restart"/>
                  <w:tcBorders>
                    <w:top w:val="single" w:color="000000" w:sz="4" w:space="0"/>
                    <w:left w:val="single" w:color="000000" w:sz="4" w:space="0"/>
                    <w:right w:val="single" w:color="000000" w:sz="4" w:space="0"/>
                  </w:tcBorders>
                  <w:noWrap/>
                  <w:vAlign w:val="center"/>
                </w:tcPr>
                <w:p w14:paraId="4F0B1B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被用地单位</w:t>
                  </w:r>
                </w:p>
              </w:tc>
              <w:tc>
                <w:tcPr>
                  <w:tcW w:w="1208" w:type="pct"/>
                  <w:tcBorders>
                    <w:top w:val="single" w:color="000000" w:sz="4" w:space="0"/>
                    <w:left w:val="single" w:color="000000" w:sz="4" w:space="0"/>
                    <w:bottom w:val="single" w:color="000000" w:sz="4" w:space="0"/>
                    <w:right w:val="single" w:color="000000" w:sz="4" w:space="0"/>
                  </w:tcBorders>
                  <w:noWrap/>
                  <w:vAlign w:val="center"/>
                </w:tcPr>
                <w:p w14:paraId="7C8290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耕地（公顷）</w:t>
                  </w:r>
                </w:p>
              </w:tc>
              <w:tc>
                <w:tcPr>
                  <w:tcW w:w="1963" w:type="pct"/>
                  <w:gridSpan w:val="2"/>
                  <w:tcBorders>
                    <w:top w:val="single" w:color="000000" w:sz="4" w:space="0"/>
                    <w:left w:val="single" w:color="000000" w:sz="4" w:space="0"/>
                    <w:bottom w:val="single" w:color="000000" w:sz="4" w:space="0"/>
                    <w:right w:val="single" w:color="000000" w:sz="4" w:space="0"/>
                  </w:tcBorders>
                  <w:noWrap/>
                  <w:vAlign w:val="center"/>
                </w:tcPr>
                <w:p w14:paraId="3674646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其他农用地</w:t>
                  </w:r>
                </w:p>
              </w:tc>
            </w:tr>
            <w:tr w14:paraId="540F4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750" w:type="pct"/>
                  <w:gridSpan w:val="2"/>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BF62368">
                  <w:pPr>
                    <w:jc w:val="center"/>
                    <w:rPr>
                      <w:rFonts w:hint="default" w:ascii="Times New Roman" w:hAnsi="Times New Roman" w:eastAsia="宋体" w:cs="Times New Roman"/>
                      <w:i w:val="0"/>
                      <w:iCs w:val="0"/>
                      <w:color w:val="auto"/>
                      <w:sz w:val="21"/>
                      <w:szCs w:val="21"/>
                      <w:u w:val="none"/>
                    </w:rPr>
                  </w:pPr>
                </w:p>
              </w:tc>
              <w:tc>
                <w:tcPr>
                  <w:tcW w:w="1077" w:type="pct"/>
                  <w:vMerge w:val="continue"/>
                  <w:tcBorders>
                    <w:left w:val="single" w:color="000000" w:sz="4" w:space="0"/>
                    <w:right w:val="single" w:color="000000" w:sz="4" w:space="0"/>
                  </w:tcBorders>
                  <w:noWrap w:val="0"/>
                  <w:textDirection w:val="tbRlV"/>
                  <w:vAlign w:val="center"/>
                </w:tcPr>
                <w:p w14:paraId="29CCCE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208" w:type="pct"/>
                  <w:tcBorders>
                    <w:top w:val="single" w:color="000000" w:sz="4" w:space="0"/>
                    <w:left w:val="single" w:color="000000" w:sz="4" w:space="0"/>
                    <w:bottom w:val="single" w:color="000000" w:sz="4" w:space="0"/>
                    <w:right w:val="single" w:color="000000" w:sz="4" w:space="0"/>
                  </w:tcBorders>
                  <w:noWrap w:val="0"/>
                  <w:vAlign w:val="center"/>
                </w:tcPr>
                <w:p w14:paraId="399AC3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eastAsia="zh-CN"/>
                    </w:rPr>
                    <w:t>水田</w:t>
                  </w:r>
                </w:p>
              </w:tc>
              <w:tc>
                <w:tcPr>
                  <w:tcW w:w="1123" w:type="pct"/>
                  <w:tcBorders>
                    <w:top w:val="single" w:color="000000" w:sz="4" w:space="0"/>
                    <w:left w:val="single" w:color="000000" w:sz="4" w:space="0"/>
                    <w:bottom w:val="single" w:color="000000" w:sz="4" w:space="0"/>
                    <w:right w:val="single" w:color="000000" w:sz="4" w:space="0"/>
                  </w:tcBorders>
                  <w:noWrap w:val="0"/>
                  <w:vAlign w:val="center"/>
                </w:tcPr>
                <w:p w14:paraId="44EC0DDD">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农村道路</w:t>
                  </w:r>
                </w:p>
              </w:tc>
              <w:tc>
                <w:tcPr>
                  <w:tcW w:w="840" w:type="pct"/>
                  <w:tcBorders>
                    <w:top w:val="single" w:color="000000" w:sz="4" w:space="0"/>
                    <w:left w:val="single" w:color="000000" w:sz="4" w:space="0"/>
                    <w:bottom w:val="single" w:color="000000" w:sz="4" w:space="0"/>
                    <w:right w:val="single" w:color="000000" w:sz="4" w:space="0"/>
                  </w:tcBorders>
                  <w:noWrap w:val="0"/>
                  <w:vAlign w:val="center"/>
                </w:tcPr>
                <w:p w14:paraId="6FAA4AE3">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沟渠</w:t>
                  </w:r>
                </w:p>
              </w:tc>
            </w:tr>
            <w:tr w14:paraId="4CCB0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362" w:type="pct"/>
                  <w:vMerge w:val="restart"/>
                  <w:tcBorders>
                    <w:top w:val="single" w:color="auto" w:sz="4" w:space="0"/>
                    <w:left w:val="single" w:color="auto" w:sz="4" w:space="0"/>
                    <w:bottom w:val="single" w:color="auto" w:sz="4" w:space="0"/>
                    <w:right w:val="single" w:color="auto" w:sz="4" w:space="0"/>
                  </w:tcBorders>
                  <w:noWrap w:val="0"/>
                  <w:vAlign w:val="center"/>
                </w:tcPr>
                <w:p w14:paraId="41356418">
                  <w:pPr>
                    <w:keepNext w:val="0"/>
                    <w:keepLines w:val="0"/>
                    <w:widowControl/>
                    <w:suppressLineNumbers w:val="0"/>
                    <w:jc w:val="center"/>
                    <w:textAlignment w:val="center"/>
                    <w:rPr>
                      <w:rFonts w:hint="eastAsia" w:eastAsiaTheme="minorEastAsia"/>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集体</w:t>
                  </w:r>
                </w:p>
              </w:tc>
              <w:tc>
                <w:tcPr>
                  <w:tcW w:w="388" w:type="pct"/>
                  <w:vMerge w:val="restart"/>
                  <w:tcBorders>
                    <w:top w:val="single" w:color="auto" w:sz="4" w:space="0"/>
                    <w:left w:val="single" w:color="auto" w:sz="4" w:space="0"/>
                    <w:bottom w:val="single" w:color="auto" w:sz="4" w:space="0"/>
                    <w:right w:val="single" w:color="auto" w:sz="4" w:space="0"/>
                  </w:tcBorders>
                  <w:noWrap w:val="0"/>
                  <w:vAlign w:val="center"/>
                </w:tcPr>
                <w:p w14:paraId="762DEF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宋体" w:eastAsia="宋体" w:cs="Times New Roman"/>
                      <w:color w:val="auto"/>
                      <w:sz w:val="24"/>
                      <w:szCs w:val="24"/>
                      <w:lang w:val="en-US" w:eastAsia="zh-CN"/>
                    </w:rPr>
                    <w:t>潘集镇</w:t>
                  </w:r>
                </w:p>
              </w:tc>
              <w:tc>
                <w:tcPr>
                  <w:tcW w:w="1077" w:type="pct"/>
                  <w:vMerge w:val="restart"/>
                  <w:tcBorders>
                    <w:top w:val="single" w:color="000000" w:sz="4" w:space="0"/>
                    <w:left w:val="single" w:color="auto" w:sz="4" w:space="0"/>
                    <w:right w:val="single" w:color="000000" w:sz="4" w:space="0"/>
                  </w:tcBorders>
                  <w:noWrap w:val="0"/>
                  <w:vAlign w:val="center"/>
                </w:tcPr>
                <w:p w14:paraId="2D940E2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宋体" w:eastAsia="宋体" w:cs="Times New Roman"/>
                      <w:color w:val="auto"/>
                      <w:sz w:val="24"/>
                      <w:szCs w:val="24"/>
                      <w:lang w:val="en-US" w:eastAsia="zh-CN"/>
                    </w:rPr>
                    <w:t>小圩村</w:t>
                  </w:r>
                </w:p>
              </w:tc>
              <w:tc>
                <w:tcPr>
                  <w:tcW w:w="1208" w:type="pct"/>
                  <w:vMerge w:val="restart"/>
                  <w:tcBorders>
                    <w:top w:val="single" w:color="000000" w:sz="4" w:space="0"/>
                    <w:left w:val="single" w:color="000000" w:sz="4" w:space="0"/>
                    <w:right w:val="single" w:color="000000" w:sz="4" w:space="0"/>
                  </w:tcBorders>
                  <w:noWrap w:val="0"/>
                  <w:vAlign w:val="center"/>
                </w:tcPr>
                <w:p w14:paraId="605F69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sz w:val="21"/>
                      <w:szCs w:val="21"/>
                      <w:u w:val="none"/>
                      <w:lang w:val="en-US" w:eastAsia="zh-CN"/>
                    </w:rPr>
                    <w:t>1.4373</w:t>
                  </w:r>
                </w:p>
              </w:tc>
              <w:tc>
                <w:tcPr>
                  <w:tcW w:w="1123" w:type="pct"/>
                  <w:tcBorders>
                    <w:top w:val="single" w:color="000000" w:sz="4" w:space="0"/>
                    <w:left w:val="single" w:color="000000" w:sz="4" w:space="0"/>
                    <w:bottom w:val="single" w:color="000000" w:sz="4" w:space="0"/>
                    <w:right w:val="single" w:color="000000" w:sz="4" w:space="0"/>
                  </w:tcBorders>
                  <w:noWrap w:val="0"/>
                  <w:vAlign w:val="center"/>
                </w:tcPr>
                <w:p w14:paraId="3C1284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0.0104</w:t>
                  </w:r>
                </w:p>
              </w:tc>
              <w:tc>
                <w:tcPr>
                  <w:tcW w:w="840" w:type="pct"/>
                  <w:tcBorders>
                    <w:top w:val="single" w:color="000000" w:sz="4" w:space="0"/>
                    <w:left w:val="single" w:color="000000" w:sz="4" w:space="0"/>
                    <w:bottom w:val="single" w:color="000000" w:sz="4" w:space="0"/>
                    <w:right w:val="single" w:color="000000" w:sz="4" w:space="0"/>
                  </w:tcBorders>
                  <w:noWrap w:val="0"/>
                  <w:vAlign w:val="center"/>
                </w:tcPr>
                <w:p w14:paraId="014ED1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0.0630</w:t>
                  </w:r>
                </w:p>
              </w:tc>
            </w:tr>
            <w:tr w14:paraId="09C90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62" w:type="pct"/>
                  <w:vMerge w:val="continue"/>
                  <w:tcBorders>
                    <w:top w:val="single" w:color="auto" w:sz="4" w:space="0"/>
                    <w:left w:val="single" w:color="auto" w:sz="4" w:space="0"/>
                    <w:bottom w:val="single" w:color="auto" w:sz="4" w:space="0"/>
                    <w:right w:val="single" w:color="auto" w:sz="4" w:space="0"/>
                  </w:tcBorders>
                  <w:noWrap w:val="0"/>
                  <w:vAlign w:val="center"/>
                </w:tcPr>
                <w:p w14:paraId="0C2633D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388" w:type="pct"/>
                  <w:vMerge w:val="continue"/>
                  <w:tcBorders>
                    <w:top w:val="single" w:color="auto" w:sz="4" w:space="0"/>
                    <w:left w:val="single" w:color="auto" w:sz="4" w:space="0"/>
                    <w:bottom w:val="single" w:color="auto" w:sz="4" w:space="0"/>
                    <w:right w:val="single" w:color="auto" w:sz="4" w:space="0"/>
                  </w:tcBorders>
                  <w:noWrap w:val="0"/>
                  <w:vAlign w:val="center"/>
                </w:tcPr>
                <w:p w14:paraId="2E29B1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1077" w:type="pct"/>
                  <w:vMerge w:val="continue"/>
                  <w:tcBorders>
                    <w:left w:val="single" w:color="auto" w:sz="4" w:space="0"/>
                    <w:bottom w:val="single" w:color="000000" w:sz="4" w:space="0"/>
                    <w:right w:val="single" w:color="000000" w:sz="4" w:space="0"/>
                  </w:tcBorders>
                  <w:shd w:val="clear" w:color="auto" w:fill="auto"/>
                  <w:noWrap w:val="0"/>
                  <w:vAlign w:val="center"/>
                </w:tcPr>
                <w:p w14:paraId="0F5A1DF1">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p>
              </w:tc>
              <w:tc>
                <w:tcPr>
                  <w:tcW w:w="1208" w:type="pct"/>
                  <w:vMerge w:val="continue"/>
                  <w:tcBorders>
                    <w:left w:val="single" w:color="000000" w:sz="4" w:space="0"/>
                    <w:bottom w:val="single" w:color="000000" w:sz="4" w:space="0"/>
                    <w:right w:val="single" w:color="000000" w:sz="4" w:space="0"/>
                  </w:tcBorders>
                  <w:shd w:val="clear" w:color="auto" w:fill="auto"/>
                  <w:noWrap w:val="0"/>
                  <w:vAlign w:val="center"/>
                </w:tcPr>
                <w:p w14:paraId="7D3743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1963"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86D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小计：0.0734</w:t>
                  </w:r>
                </w:p>
              </w:tc>
            </w:tr>
            <w:tr w14:paraId="72092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14:paraId="3EE756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388" w:type="pct"/>
                  <w:tcBorders>
                    <w:top w:val="single" w:color="auto" w:sz="4" w:space="0"/>
                    <w:left w:val="single" w:color="auto" w:sz="4" w:space="0"/>
                    <w:bottom w:val="single" w:color="auto" w:sz="4" w:space="0"/>
                    <w:right w:val="single" w:color="auto" w:sz="4" w:space="0"/>
                  </w:tcBorders>
                  <w:noWrap w:val="0"/>
                  <w:vAlign w:val="center"/>
                </w:tcPr>
                <w:p w14:paraId="713834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1077"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21EFD4FF">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合计</w:t>
                  </w:r>
                </w:p>
              </w:tc>
              <w:tc>
                <w:tcPr>
                  <w:tcW w:w="3172"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336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1.5107</w:t>
                  </w:r>
                </w:p>
              </w:tc>
            </w:tr>
          </w:tbl>
          <w:p w14:paraId="61A63B40">
            <w:pPr>
              <w:spacing w:line="360" w:lineRule="auto"/>
              <w:ind w:firstLine="482" w:firstLineChars="200"/>
              <w:rPr>
                <w:rFonts w:ascii="Times New Roman" w:hAnsi="宋体" w:eastAsia="宋体" w:cs="Times New Roman"/>
                <w:b/>
                <w:color w:val="auto"/>
                <w:sz w:val="24"/>
                <w:szCs w:val="24"/>
              </w:rPr>
            </w:pPr>
            <w:r>
              <w:rPr>
                <w:rFonts w:hint="eastAsia" w:ascii="Times New Roman" w:hAnsi="宋体" w:eastAsia="宋体" w:cs="Times New Roman"/>
                <w:b/>
                <w:color w:val="auto"/>
                <w:sz w:val="24"/>
                <w:szCs w:val="24"/>
              </w:rPr>
              <w:t>5、公用工程</w:t>
            </w:r>
          </w:p>
          <w:p w14:paraId="248EA3E4">
            <w:pPr>
              <w:spacing w:line="360" w:lineRule="auto"/>
              <w:ind w:firstLine="482" w:firstLineChars="200"/>
              <w:rPr>
                <w:rFonts w:ascii="Times New Roman" w:hAnsi="宋体" w:eastAsia="宋体" w:cs="Times New Roman"/>
                <w:b/>
                <w:color w:val="auto"/>
                <w:sz w:val="24"/>
                <w:szCs w:val="24"/>
              </w:rPr>
            </w:pPr>
            <w:r>
              <w:rPr>
                <w:rFonts w:hint="eastAsia" w:ascii="Times New Roman" w:hAnsi="宋体" w:eastAsia="宋体" w:cs="Times New Roman"/>
                <w:b/>
                <w:color w:val="auto"/>
                <w:sz w:val="24"/>
                <w:szCs w:val="24"/>
              </w:rPr>
              <w:t>（1）给</w:t>
            </w:r>
            <w:r>
              <w:rPr>
                <w:rFonts w:hint="eastAsia" w:ascii="Times New Roman" w:hAnsi="宋体" w:eastAsia="宋体" w:cs="Times New Roman"/>
                <w:b/>
                <w:color w:val="auto"/>
                <w:sz w:val="24"/>
                <w:szCs w:val="24"/>
                <w:lang w:eastAsia="zh-CN"/>
              </w:rPr>
              <w:t>排</w:t>
            </w:r>
            <w:r>
              <w:rPr>
                <w:rFonts w:hint="eastAsia" w:ascii="Times New Roman" w:hAnsi="宋体" w:eastAsia="宋体" w:cs="Times New Roman"/>
                <w:b/>
                <w:color w:val="auto"/>
                <w:sz w:val="24"/>
                <w:szCs w:val="24"/>
              </w:rPr>
              <w:t>水</w:t>
            </w:r>
          </w:p>
          <w:p w14:paraId="012720FF">
            <w:pPr>
              <w:spacing w:line="360" w:lineRule="auto"/>
              <w:ind w:firstLine="480" w:firstLineChars="200"/>
              <w:rPr>
                <w:rFonts w:hint="eastAsia" w:ascii="Times New Roman" w:hAnsi="宋体" w:eastAsia="宋体" w:cs="Times New Roman"/>
                <w:color w:val="auto"/>
                <w:sz w:val="24"/>
                <w:szCs w:val="24"/>
              </w:rPr>
            </w:pPr>
            <w:r>
              <w:rPr>
                <w:rFonts w:hint="eastAsia" w:ascii="Times New Roman" w:hAnsi="宋体" w:eastAsia="宋体" w:cs="Times New Roman"/>
                <w:color w:val="auto"/>
                <w:sz w:val="24"/>
                <w:szCs w:val="24"/>
              </w:rPr>
              <w:t>本项目</w:t>
            </w:r>
            <w:r>
              <w:rPr>
                <w:rFonts w:hint="eastAsia" w:ascii="Times New Roman" w:hAnsi="宋体" w:eastAsia="宋体" w:cs="Times New Roman"/>
                <w:color w:val="auto"/>
                <w:sz w:val="24"/>
                <w:szCs w:val="24"/>
                <w:lang w:eastAsia="zh-CN"/>
              </w:rPr>
              <w:t>施工期间用水</w:t>
            </w:r>
            <w:r>
              <w:rPr>
                <w:rFonts w:hint="eastAsia" w:ascii="Times New Roman" w:hAnsi="宋体" w:eastAsia="宋体" w:cs="Times New Roman"/>
                <w:color w:val="auto"/>
                <w:sz w:val="24"/>
                <w:szCs w:val="24"/>
              </w:rPr>
              <w:t>主要为钻井</w:t>
            </w:r>
            <w:r>
              <w:rPr>
                <w:rFonts w:hint="eastAsia" w:ascii="Times New Roman" w:hAnsi="宋体" w:eastAsia="宋体" w:cs="Times New Roman"/>
                <w:color w:val="auto"/>
                <w:sz w:val="24"/>
                <w:szCs w:val="24"/>
                <w:lang w:eastAsia="zh-CN"/>
              </w:rPr>
              <w:t>液配制</w:t>
            </w:r>
            <w:r>
              <w:rPr>
                <w:rFonts w:hint="eastAsia" w:ascii="Times New Roman" w:hAnsi="宋体" w:eastAsia="宋体" w:cs="Times New Roman"/>
                <w:color w:val="auto"/>
                <w:sz w:val="24"/>
                <w:szCs w:val="24"/>
              </w:rPr>
              <w:t>用水和</w:t>
            </w:r>
            <w:r>
              <w:rPr>
                <w:rFonts w:hint="eastAsia" w:ascii="Times New Roman" w:hAnsi="宋体" w:eastAsia="宋体" w:cs="Times New Roman"/>
                <w:color w:val="auto"/>
                <w:sz w:val="24"/>
                <w:szCs w:val="24"/>
                <w:lang w:eastAsia="zh-CN"/>
              </w:rPr>
              <w:t>施工人员</w:t>
            </w:r>
            <w:r>
              <w:rPr>
                <w:rFonts w:hint="eastAsia" w:ascii="Times New Roman" w:hAnsi="宋体" w:eastAsia="宋体" w:cs="Times New Roman"/>
                <w:color w:val="auto"/>
                <w:sz w:val="24"/>
                <w:szCs w:val="24"/>
              </w:rPr>
              <w:t>生活用水。钻井</w:t>
            </w:r>
            <w:r>
              <w:rPr>
                <w:rFonts w:hint="eastAsia" w:ascii="Times New Roman" w:hAnsi="宋体" w:eastAsia="宋体" w:cs="Times New Roman"/>
                <w:color w:val="auto"/>
                <w:sz w:val="24"/>
                <w:szCs w:val="24"/>
                <w:lang w:eastAsia="zh-CN"/>
              </w:rPr>
              <w:t>液配制用水</w:t>
            </w:r>
            <w:r>
              <w:rPr>
                <w:rFonts w:hint="eastAsia" w:ascii="Times New Roman" w:hAnsi="宋体" w:eastAsia="宋体" w:cs="Times New Roman"/>
                <w:color w:val="auto"/>
                <w:sz w:val="24"/>
                <w:szCs w:val="24"/>
              </w:rPr>
              <w:t>依托周边塌陷区塘</w:t>
            </w:r>
            <w:r>
              <w:rPr>
                <w:rFonts w:hint="eastAsia" w:ascii="Times New Roman" w:hAnsi="宋体" w:eastAsia="宋体" w:cs="Times New Roman"/>
                <w:color w:val="auto"/>
                <w:sz w:val="24"/>
                <w:szCs w:val="24"/>
                <w:lang w:eastAsia="zh-CN"/>
              </w:rPr>
              <w:t>内</w:t>
            </w:r>
            <w:r>
              <w:rPr>
                <w:rFonts w:hint="eastAsia" w:ascii="Times New Roman" w:hAnsi="宋体" w:eastAsia="宋体" w:cs="Times New Roman"/>
                <w:color w:val="auto"/>
                <w:sz w:val="24"/>
                <w:szCs w:val="24"/>
              </w:rPr>
              <w:t>水供给，施工人员</w:t>
            </w:r>
            <w:r>
              <w:rPr>
                <w:rFonts w:hint="eastAsia" w:ascii="Times New Roman" w:hAnsi="宋体" w:eastAsia="宋体" w:cs="Times New Roman"/>
                <w:color w:val="auto"/>
                <w:sz w:val="24"/>
                <w:szCs w:val="24"/>
                <w:lang w:eastAsia="zh-CN"/>
              </w:rPr>
              <w:t>生活</w:t>
            </w:r>
            <w:r>
              <w:rPr>
                <w:rFonts w:hint="eastAsia" w:ascii="Times New Roman" w:hAnsi="宋体" w:eastAsia="宋体" w:cs="Times New Roman"/>
                <w:color w:val="auto"/>
                <w:sz w:val="24"/>
                <w:szCs w:val="24"/>
              </w:rPr>
              <w:t>用水</w:t>
            </w:r>
            <w:r>
              <w:rPr>
                <w:rFonts w:hint="eastAsia" w:ascii="Times New Roman" w:hAnsi="宋体" w:eastAsia="宋体" w:cs="Times New Roman"/>
                <w:color w:val="auto"/>
                <w:sz w:val="24"/>
                <w:szCs w:val="24"/>
                <w:lang w:eastAsia="zh-CN"/>
              </w:rPr>
              <w:t>购买桶装水使用</w:t>
            </w:r>
            <w:r>
              <w:rPr>
                <w:rFonts w:hint="eastAsia" w:ascii="Times New Roman" w:hAnsi="宋体" w:eastAsia="宋体" w:cs="Times New Roman"/>
                <w:color w:val="auto"/>
                <w:sz w:val="24"/>
                <w:szCs w:val="24"/>
              </w:rPr>
              <w:t>。</w:t>
            </w:r>
          </w:p>
          <w:p w14:paraId="43971874">
            <w:pPr>
              <w:tabs>
                <w:tab w:val="left" w:pos="1755"/>
              </w:tabs>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宋体" w:eastAsia="宋体" w:cs="Times New Roman"/>
                <w:color w:val="auto"/>
                <w:sz w:val="24"/>
                <w:szCs w:val="24"/>
                <w:lang w:eastAsia="zh-CN"/>
              </w:rPr>
              <w:t>①钻井液配制用水：本项目钻井液使用水基钻井液，根据建设单位施工经验，</w:t>
            </w:r>
            <w:r>
              <w:rPr>
                <w:rFonts w:hint="eastAsia" w:ascii="Times New Roman" w:hAnsi="宋体" w:eastAsia="宋体" w:cs="Times New Roman"/>
                <w:color w:val="auto"/>
                <w:sz w:val="24"/>
                <w:szCs w:val="24"/>
                <w:highlight w:val="none"/>
                <w:lang w:eastAsia="zh-CN"/>
              </w:rPr>
              <w:t>每个钻孔总用水约为</w:t>
            </w:r>
            <w:r>
              <w:rPr>
                <w:rFonts w:hint="eastAsia" w:ascii="Times New Roman" w:hAnsi="宋体" w:eastAsia="宋体" w:cs="Times New Roman"/>
                <w:color w:val="auto"/>
                <w:sz w:val="24"/>
                <w:szCs w:val="24"/>
                <w:highlight w:val="none"/>
                <w:lang w:val="en-US" w:eastAsia="zh-CN"/>
              </w:rPr>
              <w:t>30</w:t>
            </w:r>
            <w:r>
              <w:rPr>
                <w:rFonts w:hint="eastAsia" w:ascii="Times New Roman" w:hAnsi="宋体" w:eastAsia="宋体" w:cs="Times New Roman"/>
                <w:color w:val="auto"/>
                <w:sz w:val="24"/>
                <w:szCs w:val="24"/>
                <w:highlight w:val="none"/>
                <w:lang w:eastAsia="zh-CN"/>
              </w:rPr>
              <w:t>m³，共</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个钻孔，钻井总用水量</w:t>
            </w:r>
            <w:r>
              <w:rPr>
                <w:rFonts w:hint="eastAsia" w:ascii="Times New Roman" w:hAnsi="Times New Roman" w:eastAsia="宋体" w:cs="Times New Roman"/>
                <w:color w:val="auto"/>
                <w:sz w:val="24"/>
                <w:szCs w:val="24"/>
                <w:highlight w:val="none"/>
                <w:lang w:val="en-US" w:eastAsia="zh-CN"/>
              </w:rPr>
              <w:t>150</w:t>
            </w:r>
            <w:r>
              <w:rPr>
                <w:rFonts w:ascii="Times New Roman" w:hAnsi="Times New Roman" w:eastAsia="宋体" w:cs="Times New Roman"/>
                <w:color w:val="auto"/>
                <w:sz w:val="24"/>
                <w:szCs w:val="24"/>
                <w:highlight w:val="none"/>
              </w:rPr>
              <w:t>m³</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项目钻孔</w:t>
            </w:r>
            <w:r>
              <w:rPr>
                <w:rFonts w:hint="eastAsia" w:ascii="Times New Roman" w:hAnsi="Times New Roman" w:eastAsia="宋体" w:cs="Times New Roman"/>
                <w:color w:val="auto"/>
                <w:sz w:val="24"/>
                <w:szCs w:val="24"/>
                <w:highlight w:val="none"/>
                <w:lang w:eastAsia="zh-CN"/>
              </w:rPr>
              <w:t>预计</w:t>
            </w:r>
            <w:r>
              <w:rPr>
                <w:rFonts w:ascii="Times New Roman" w:hAnsi="Times New Roman" w:eastAsia="宋体" w:cs="Times New Roman"/>
                <w:color w:val="auto"/>
                <w:sz w:val="24"/>
                <w:szCs w:val="24"/>
                <w:highlight w:val="none"/>
              </w:rPr>
              <w:t>施工</w:t>
            </w:r>
            <w:r>
              <w:rPr>
                <w:rFonts w:hint="eastAsia" w:ascii="Times New Roman" w:hAnsi="Times New Roman" w:eastAsia="宋体" w:cs="Times New Roman"/>
                <w:color w:val="auto"/>
                <w:sz w:val="24"/>
                <w:szCs w:val="24"/>
                <w:highlight w:val="none"/>
                <w:lang w:val="en-US" w:eastAsia="zh-CN"/>
              </w:rPr>
              <w:t>时间10个月即300天，</w:t>
            </w:r>
            <w:r>
              <w:rPr>
                <w:rFonts w:ascii="Times New Roman" w:hAnsi="Times New Roman" w:eastAsia="宋体" w:cs="Times New Roman"/>
                <w:color w:val="auto"/>
                <w:sz w:val="24"/>
                <w:szCs w:val="24"/>
                <w:highlight w:val="none"/>
              </w:rPr>
              <w:t>每天</w:t>
            </w:r>
            <w:r>
              <w:rPr>
                <w:rFonts w:hint="eastAsia" w:ascii="Times New Roman" w:hAnsi="宋体" w:eastAsia="宋体" w:cs="Times New Roman"/>
                <w:color w:val="auto"/>
                <w:sz w:val="24"/>
                <w:szCs w:val="24"/>
                <w:highlight w:val="none"/>
                <w:lang w:eastAsia="zh-CN"/>
              </w:rPr>
              <w:t>钻井液</w:t>
            </w:r>
            <w:r>
              <w:rPr>
                <w:rFonts w:ascii="Times New Roman" w:hAnsi="Times New Roman" w:eastAsia="宋体" w:cs="Times New Roman"/>
                <w:color w:val="auto"/>
                <w:sz w:val="24"/>
                <w:szCs w:val="24"/>
                <w:highlight w:val="none"/>
              </w:rPr>
              <w:t>用水</w:t>
            </w:r>
            <w:r>
              <w:rPr>
                <w:rFonts w:hint="eastAsia" w:ascii="Times New Roman" w:hAnsi="Times New Roman" w:eastAsia="宋体" w:cs="Times New Roman"/>
                <w:color w:val="auto"/>
                <w:sz w:val="24"/>
                <w:szCs w:val="24"/>
                <w:highlight w:val="none"/>
                <w:lang w:val="en-US" w:eastAsia="zh-CN"/>
              </w:rPr>
              <w:t>0.5</w:t>
            </w:r>
            <w:r>
              <w:rPr>
                <w:rFonts w:ascii="Times New Roman" w:hAnsi="Times New Roman" w:eastAsia="宋体" w:cs="Times New Roman"/>
                <w:color w:val="auto"/>
                <w:sz w:val="24"/>
                <w:szCs w:val="24"/>
                <w:highlight w:val="none"/>
              </w:rPr>
              <w:t>m³</w:t>
            </w:r>
            <w:r>
              <w:rPr>
                <w:rFonts w:hint="eastAsia" w:ascii="Times New Roman" w:hAnsi="Times New Roman" w:eastAsia="宋体" w:cs="Times New Roman"/>
                <w:color w:val="auto"/>
                <w:sz w:val="24"/>
                <w:szCs w:val="24"/>
                <w:highlight w:val="none"/>
                <w:lang w:eastAsia="zh-CN"/>
              </w:rPr>
              <w:t>，其中钻井消耗量约</w:t>
            </w:r>
            <w:bookmarkStart w:id="3" w:name="OLE_LINK6"/>
            <w:r>
              <w:rPr>
                <w:rFonts w:hint="eastAsia" w:ascii="Times New Roman" w:hAnsi="Times New Roman" w:eastAsia="宋体" w:cs="Times New Roman"/>
                <w:color w:val="auto"/>
                <w:sz w:val="24"/>
                <w:szCs w:val="24"/>
                <w:highlight w:val="none"/>
                <w:lang w:val="en-US" w:eastAsia="zh-CN"/>
              </w:rPr>
              <w:t>0.2</w:t>
            </w:r>
            <w:r>
              <w:rPr>
                <w:rFonts w:hint="eastAsia" w:ascii="Times New Roman" w:hAnsi="Times New Roman" w:eastAsia="宋体" w:cs="Times New Roman"/>
                <w:color w:val="auto"/>
                <w:sz w:val="24"/>
                <w:szCs w:val="24"/>
                <w:highlight w:val="none"/>
                <w:lang w:eastAsia="zh-CN"/>
              </w:rPr>
              <w:t>m</w:t>
            </w:r>
            <w:r>
              <w:rPr>
                <w:rFonts w:hint="eastAsia"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lang w:eastAsia="zh-CN"/>
              </w:rPr>
              <w:t>/d</w:t>
            </w:r>
            <w:bookmarkEnd w:id="3"/>
            <w:r>
              <w:rPr>
                <w:rFonts w:hint="eastAsia" w:ascii="Times New Roman" w:hAnsi="Times New Roman" w:eastAsia="宋体" w:cs="Times New Roman"/>
                <w:color w:val="auto"/>
                <w:sz w:val="24"/>
                <w:szCs w:val="24"/>
                <w:highlight w:val="none"/>
                <w:lang w:eastAsia="zh-CN"/>
              </w:rPr>
              <w:t>，循环水量约</w:t>
            </w:r>
            <w:r>
              <w:rPr>
                <w:rFonts w:hint="eastAsia" w:ascii="Times New Roman" w:hAnsi="Times New Roman" w:eastAsia="宋体" w:cs="Times New Roman"/>
                <w:color w:val="auto"/>
                <w:sz w:val="24"/>
                <w:szCs w:val="24"/>
                <w:highlight w:val="none"/>
                <w:lang w:val="en-US" w:eastAsia="zh-CN"/>
              </w:rPr>
              <w:t>0.3</w:t>
            </w:r>
            <w:r>
              <w:rPr>
                <w:rFonts w:hint="eastAsia" w:ascii="Times New Roman" w:hAnsi="Times New Roman" w:eastAsia="宋体" w:cs="Times New Roman"/>
                <w:color w:val="auto"/>
                <w:sz w:val="24"/>
                <w:szCs w:val="24"/>
                <w:highlight w:val="none"/>
                <w:lang w:eastAsia="zh-CN"/>
              </w:rPr>
              <w:t>m</w:t>
            </w:r>
            <w:r>
              <w:rPr>
                <w:rFonts w:hint="eastAsia"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lang w:eastAsia="zh-CN"/>
              </w:rPr>
              <w:t>/d。</w:t>
            </w:r>
            <w:r>
              <w:rPr>
                <w:rFonts w:hint="eastAsia" w:ascii="Times New Roman" w:hAnsi="宋体" w:eastAsia="宋体" w:cs="Times New Roman"/>
                <w:color w:val="auto"/>
                <w:sz w:val="24"/>
                <w:szCs w:val="24"/>
                <w:highlight w:val="none"/>
                <w:lang w:eastAsia="zh-CN"/>
              </w:rPr>
              <w:t>钻井液</w:t>
            </w:r>
            <w:r>
              <w:rPr>
                <w:rFonts w:ascii="Times New Roman" w:hAnsi="宋体" w:eastAsia="宋体" w:cs="Times New Roman"/>
                <w:color w:val="auto"/>
                <w:sz w:val="24"/>
                <w:szCs w:val="24"/>
                <w:highlight w:val="none"/>
              </w:rPr>
              <w:t>经泥浆池后回用于</w:t>
            </w:r>
            <w:r>
              <w:rPr>
                <w:rFonts w:hint="eastAsia" w:ascii="Times New Roman" w:hAnsi="宋体" w:eastAsia="宋体" w:cs="Times New Roman"/>
                <w:color w:val="auto"/>
                <w:sz w:val="24"/>
                <w:szCs w:val="24"/>
                <w:highlight w:val="none"/>
              </w:rPr>
              <w:t>钻井。</w:t>
            </w:r>
          </w:p>
          <w:p w14:paraId="522C0848">
            <w:pPr>
              <w:widowControl/>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w:t>
            </w:r>
            <w:r>
              <w:rPr>
                <w:rFonts w:ascii="Times New Roman" w:hAnsi="Times New Roman" w:eastAsia="宋体" w:cs="Times New Roman"/>
                <w:color w:val="auto"/>
                <w:sz w:val="24"/>
                <w:szCs w:val="24"/>
              </w:rPr>
              <w:t>生活</w:t>
            </w:r>
            <w:r>
              <w:rPr>
                <w:rFonts w:hint="eastAsia" w:ascii="Times New Roman" w:hAnsi="Times New Roman" w:eastAsia="宋体" w:cs="Times New Roman"/>
                <w:color w:val="auto"/>
                <w:sz w:val="24"/>
                <w:szCs w:val="24"/>
                <w:lang w:eastAsia="zh-CN"/>
              </w:rPr>
              <w:t>给排</w:t>
            </w:r>
            <w:r>
              <w:rPr>
                <w:rFonts w:ascii="Times New Roman" w:hAnsi="Times New Roman" w:eastAsia="宋体" w:cs="Times New Roman"/>
                <w:color w:val="auto"/>
                <w:sz w:val="24"/>
                <w:szCs w:val="24"/>
              </w:rPr>
              <w:t>水：本项目施工期</w:t>
            </w:r>
            <w:r>
              <w:rPr>
                <w:rFonts w:hint="eastAsia" w:ascii="Times New Roman" w:hAnsi="Times New Roman" w:eastAsia="宋体" w:cs="Times New Roman"/>
                <w:color w:val="auto"/>
                <w:sz w:val="24"/>
                <w:szCs w:val="24"/>
                <w:lang w:eastAsia="zh-CN"/>
              </w:rPr>
              <w:t>不提供食宿，</w:t>
            </w:r>
            <w:r>
              <w:rPr>
                <w:rFonts w:hint="default" w:ascii="Times New Roman" w:hAnsi="Times New Roman" w:eastAsia="宋体" w:cs="Times New Roman"/>
                <w:color w:val="auto"/>
                <w:sz w:val="24"/>
                <w:szCs w:val="24"/>
              </w:rPr>
              <w:t>根据《安徽省行业用水定额》（DB34/T 679-2019），</w:t>
            </w:r>
            <w:r>
              <w:rPr>
                <w:rFonts w:hint="eastAsia" w:ascii="Times New Roman" w:hAnsi="Times New Roman" w:eastAsia="宋体" w:cs="Times New Roman"/>
                <w:color w:val="auto"/>
                <w:sz w:val="24"/>
                <w:szCs w:val="24"/>
                <w:lang w:eastAsia="zh-CN"/>
              </w:rPr>
              <w:t>施工人员</w:t>
            </w:r>
            <w:r>
              <w:rPr>
                <w:rFonts w:hint="default" w:ascii="Times New Roman" w:hAnsi="Times New Roman" w:eastAsia="宋体" w:cs="Times New Roman"/>
                <w:color w:val="auto"/>
                <w:sz w:val="24"/>
                <w:szCs w:val="24"/>
              </w:rPr>
              <w:t>生活用水按60L/人·d计，本项目</w:t>
            </w:r>
            <w:r>
              <w:rPr>
                <w:rFonts w:hint="default" w:ascii="Times New Roman" w:hAnsi="Times New Roman" w:eastAsia="宋体" w:cs="Times New Roman"/>
                <w:color w:val="auto"/>
                <w:sz w:val="24"/>
                <w:szCs w:val="24"/>
                <w:lang w:eastAsia="zh-CN"/>
              </w:rPr>
              <w:t>每个施工场地配备</w:t>
            </w:r>
            <w:r>
              <w:rPr>
                <w:rFonts w:hint="default" w:ascii="Times New Roman" w:hAnsi="Times New Roman" w:eastAsia="宋体" w:cs="Times New Roman"/>
                <w:color w:val="auto"/>
                <w:sz w:val="24"/>
                <w:szCs w:val="24"/>
              </w:rPr>
              <w:t>员工</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eastAsia="zh-CN"/>
              </w:rPr>
              <w:t>共</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施工期</w:t>
            </w:r>
            <w:r>
              <w:rPr>
                <w:rFonts w:hint="default" w:ascii="Times New Roman" w:hAnsi="Times New Roman" w:eastAsia="宋体" w:cs="Times New Roman"/>
                <w:color w:val="auto"/>
                <w:sz w:val="24"/>
                <w:szCs w:val="24"/>
              </w:rPr>
              <w:t>用水量约为</w:t>
            </w:r>
            <w:r>
              <w:rPr>
                <w:rFonts w:hint="eastAsia"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。生活污水产生量按用水量的80%计，生活污水产生量为</w:t>
            </w:r>
            <w:r>
              <w:rPr>
                <w:rFonts w:hint="eastAsia" w:ascii="Times New Roman" w:hAnsi="Times New Roman" w:eastAsia="宋体" w:cs="Times New Roman"/>
                <w:color w:val="auto"/>
                <w:sz w:val="24"/>
                <w:szCs w:val="24"/>
                <w:lang w:val="en-US" w:eastAsia="zh-CN"/>
              </w:rPr>
              <w:t>1.08</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/d</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生活污水</w:t>
            </w:r>
            <w:r>
              <w:rPr>
                <w:rFonts w:hint="default"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场地建设的</w:t>
            </w:r>
            <w:r>
              <w:rPr>
                <w:rFonts w:hint="default" w:ascii="Times New Roman" w:hAnsi="Times New Roman" w:eastAsia="宋体" w:cs="Times New Roman"/>
                <w:color w:val="auto"/>
                <w:sz w:val="24"/>
                <w:szCs w:val="24"/>
              </w:rPr>
              <w:t>化粪池</w:t>
            </w:r>
            <w:r>
              <w:rPr>
                <w:rFonts w:hint="default" w:ascii="Times New Roman" w:hAnsi="Times New Roman" w:eastAsia="宋体" w:cs="Times New Roman"/>
                <w:color w:val="auto"/>
                <w:sz w:val="24"/>
                <w:szCs w:val="24"/>
                <w:lang w:eastAsia="zh-CN"/>
              </w:rPr>
              <w:t>预处理后</w:t>
            </w:r>
            <w:r>
              <w:rPr>
                <w:rFonts w:hint="default" w:ascii="Times New Roman" w:hAnsi="Times New Roman" w:eastAsia="宋体" w:cs="Times New Roman"/>
                <w:color w:val="auto"/>
                <w:sz w:val="24"/>
                <w:szCs w:val="24"/>
              </w:rPr>
              <w:t>，用作周边农田施肥，不外排。</w:t>
            </w:r>
          </w:p>
          <w:p w14:paraId="2852052D">
            <w:pPr>
              <w:pStyle w:val="2"/>
              <w:rPr>
                <w:rFonts w:hint="default"/>
              </w:rPr>
            </w:pPr>
            <w:r>
              <w:rPr>
                <w:rFonts w:hint="default"/>
              </w:rPr>
              <w:object>
                <v:shape id="_x0000_i1025" o:spt="75" type="#_x0000_t75" style="height:132.75pt;width:294.7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14B25CDF">
            <w:pPr>
              <w:numPr>
                <w:ilvl w:val="0"/>
                <w:numId w:val="3"/>
              </w:numPr>
              <w:spacing w:line="360" w:lineRule="auto"/>
              <w:ind w:left="0" w:leftChars="0" w:firstLine="560" w:firstLineChars="0"/>
              <w:jc w:val="center"/>
              <w:rPr>
                <w:rFonts w:hint="default" w:ascii="Times New Roman" w:hAnsi="宋体" w:eastAsia="黑体" w:cs="Times New Roman"/>
                <w:b/>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项目水平衡图</w:t>
            </w:r>
            <w:r>
              <w:rPr>
                <w:rFonts w:ascii="Times New Roman" w:hAnsi="黑体" w:eastAsia="黑体" w:cs="Times New Roman"/>
                <w:color w:val="auto"/>
                <w:sz w:val="24"/>
                <w:szCs w:val="24"/>
                <w:highlight w:val="none"/>
              </w:rPr>
              <w:t>图</w:t>
            </w:r>
            <w:r>
              <w:rPr>
                <w:rFonts w:hint="eastAsia" w:ascii="Times New Roman" w:hAnsi="黑体" w:eastAsia="黑体" w:cs="Times New Roman"/>
                <w:color w:val="auto"/>
                <w:sz w:val="24"/>
                <w:szCs w:val="24"/>
                <w:highlight w:val="none"/>
                <w:lang w:val="en-US" w:eastAsia="zh-CN"/>
              </w:rPr>
              <w:t xml:space="preserve">   单位</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/d</w:t>
            </w:r>
          </w:p>
          <w:p w14:paraId="6C394BFC">
            <w:pPr>
              <w:spacing w:line="360" w:lineRule="auto"/>
              <w:ind w:firstLine="482" w:firstLineChars="200"/>
              <w:rPr>
                <w:rFonts w:hint="eastAsia" w:ascii="Times New Roman" w:hAnsi="宋体" w:eastAsia="宋体" w:cs="Times New Roman"/>
                <w:b/>
                <w:color w:val="auto"/>
                <w:sz w:val="24"/>
                <w:szCs w:val="24"/>
              </w:rPr>
            </w:pPr>
            <w:r>
              <w:rPr>
                <w:rFonts w:hint="eastAsia" w:ascii="Times New Roman" w:hAnsi="宋体" w:eastAsia="宋体" w:cs="Times New Roman"/>
                <w:b/>
                <w:color w:val="auto"/>
                <w:sz w:val="24"/>
                <w:szCs w:val="24"/>
                <w:lang w:eastAsia="zh-CN"/>
              </w:rPr>
              <w:t>（</w:t>
            </w:r>
            <w:r>
              <w:rPr>
                <w:rFonts w:hint="eastAsia" w:ascii="Times New Roman" w:hAnsi="宋体" w:eastAsia="宋体" w:cs="Times New Roman"/>
                <w:b/>
                <w:color w:val="auto"/>
                <w:sz w:val="24"/>
                <w:szCs w:val="24"/>
                <w:lang w:val="en-US" w:eastAsia="zh-CN"/>
              </w:rPr>
              <w:t>2</w:t>
            </w:r>
            <w:r>
              <w:rPr>
                <w:rFonts w:hint="eastAsia" w:ascii="Times New Roman" w:hAnsi="宋体" w:eastAsia="宋体" w:cs="Times New Roman"/>
                <w:b/>
                <w:color w:val="auto"/>
                <w:sz w:val="24"/>
                <w:szCs w:val="24"/>
                <w:lang w:eastAsia="zh-CN"/>
              </w:rPr>
              <w:t>）</w:t>
            </w:r>
            <w:r>
              <w:rPr>
                <w:rFonts w:hint="eastAsia" w:ascii="Times New Roman" w:hAnsi="宋体" w:eastAsia="宋体" w:cs="Times New Roman"/>
                <w:b/>
                <w:color w:val="auto"/>
                <w:sz w:val="24"/>
                <w:szCs w:val="24"/>
              </w:rPr>
              <w:t>供电</w:t>
            </w:r>
          </w:p>
          <w:p w14:paraId="7A2DEC75">
            <w:pPr>
              <w:spacing w:line="360" w:lineRule="auto"/>
              <w:ind w:firstLine="480" w:firstLineChars="200"/>
              <w:rPr>
                <w:rFonts w:hint="eastAsia" w:ascii="Times New Roman" w:hAnsi="宋体" w:eastAsia="宋体" w:cs="Times New Roman"/>
                <w:color w:val="auto"/>
                <w:sz w:val="24"/>
                <w:szCs w:val="24"/>
                <w:lang w:eastAsia="zh-CN"/>
              </w:rPr>
            </w:pPr>
            <w:r>
              <w:rPr>
                <w:rFonts w:hint="eastAsia"/>
                <w:color w:val="auto"/>
                <w:sz w:val="24"/>
                <w:szCs w:val="24"/>
              </w:rPr>
              <w:t>本项目</w:t>
            </w:r>
            <w:r>
              <w:rPr>
                <w:rFonts w:hint="eastAsia"/>
                <w:color w:val="auto"/>
                <w:sz w:val="24"/>
                <w:szCs w:val="24"/>
                <w:lang w:eastAsia="zh-CN"/>
              </w:rPr>
              <w:t>施工用电由当地现有电网提供</w:t>
            </w:r>
            <w:r>
              <w:rPr>
                <w:rFonts w:hint="eastAsia"/>
                <w:color w:val="auto"/>
                <w:sz w:val="24"/>
                <w:szCs w:val="24"/>
                <w:highlight w:val="none"/>
              </w:rPr>
              <w:t>。</w:t>
            </w:r>
          </w:p>
          <w:p w14:paraId="06A5E924">
            <w:pPr>
              <w:spacing w:line="360" w:lineRule="auto"/>
              <w:ind w:firstLine="482" w:firstLineChars="200"/>
              <w:rPr>
                <w:rFonts w:hint="eastAsia" w:ascii="Times New Roman" w:hAnsi="宋体" w:eastAsia="宋体" w:cs="Times New Roman"/>
                <w:b/>
                <w:color w:val="auto"/>
                <w:sz w:val="24"/>
                <w:szCs w:val="24"/>
              </w:rPr>
            </w:pPr>
            <w:r>
              <w:rPr>
                <w:rFonts w:hint="eastAsia" w:ascii="Times New Roman" w:hAnsi="宋体" w:eastAsia="宋体" w:cs="Times New Roman"/>
                <w:b/>
                <w:color w:val="auto"/>
                <w:sz w:val="24"/>
                <w:szCs w:val="24"/>
                <w:lang w:val="en-US" w:eastAsia="zh-CN"/>
              </w:rPr>
              <w:t>6</w:t>
            </w:r>
            <w:r>
              <w:rPr>
                <w:rFonts w:hint="eastAsia" w:ascii="Times New Roman" w:hAnsi="宋体" w:eastAsia="宋体" w:cs="Times New Roman"/>
                <w:b/>
                <w:color w:val="auto"/>
                <w:sz w:val="24"/>
                <w:szCs w:val="24"/>
              </w:rPr>
              <w:t>、劳动定员及工作制度</w:t>
            </w:r>
          </w:p>
          <w:p w14:paraId="0CCDB71C">
            <w:pPr>
              <w:widowControl/>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olor w:val="auto"/>
                <w:sz w:val="24"/>
                <w:szCs w:val="24"/>
              </w:rPr>
              <w:t>本项目</w:t>
            </w:r>
            <w:r>
              <w:rPr>
                <w:rFonts w:hint="eastAsia"/>
                <w:color w:val="auto"/>
                <w:sz w:val="24"/>
                <w:szCs w:val="24"/>
                <w:lang w:eastAsia="zh-CN"/>
              </w:rPr>
              <w:t>每个</w:t>
            </w:r>
            <w:r>
              <w:rPr>
                <w:rFonts w:hint="eastAsia"/>
                <w:color w:val="auto"/>
                <w:sz w:val="24"/>
                <w:szCs w:val="24"/>
                <w:lang w:val="en-US" w:eastAsia="zh-CN"/>
              </w:rPr>
              <w:t>施工场地</w:t>
            </w:r>
            <w:r>
              <w:rPr>
                <w:rFonts w:hint="eastAsia"/>
                <w:color w:val="auto"/>
                <w:sz w:val="24"/>
                <w:szCs w:val="24"/>
              </w:rPr>
              <w:t>劳动定员</w:t>
            </w:r>
            <w:r>
              <w:rPr>
                <w:rFonts w:hint="eastAsia"/>
                <w:color w:val="auto"/>
                <w:sz w:val="24"/>
                <w:szCs w:val="24"/>
                <w:lang w:eastAsia="zh-CN"/>
              </w:rPr>
              <w:t>为</w:t>
            </w:r>
            <w:r>
              <w:rPr>
                <w:rFonts w:hint="eastAsia"/>
                <w:color w:val="auto"/>
                <w:sz w:val="24"/>
                <w:szCs w:val="24"/>
                <w:lang w:val="en-US" w:eastAsia="zh-CN"/>
              </w:rPr>
              <w:t>10</w:t>
            </w:r>
            <w:r>
              <w:rPr>
                <w:rFonts w:hint="eastAsia"/>
                <w:color w:val="auto"/>
                <w:sz w:val="24"/>
                <w:szCs w:val="24"/>
              </w:rPr>
              <w:t>人，</w:t>
            </w:r>
            <w:r>
              <w:rPr>
                <w:rFonts w:hint="eastAsia"/>
                <w:color w:val="auto"/>
                <w:sz w:val="24"/>
                <w:szCs w:val="24"/>
                <w:lang w:val="en-US" w:eastAsia="zh-CN"/>
              </w:rPr>
              <w:t>3个场地共计员工30人。项目施工</w:t>
            </w:r>
            <w:r>
              <w:rPr>
                <w:rFonts w:hint="eastAsia"/>
                <w:color w:val="auto"/>
                <w:sz w:val="24"/>
                <w:szCs w:val="24"/>
              </w:rPr>
              <w:t>实行3班制，每班工作8小时</w:t>
            </w:r>
            <w:r>
              <w:rPr>
                <w:rFonts w:hint="eastAsia"/>
                <w:color w:val="auto"/>
                <w:sz w:val="24"/>
                <w:szCs w:val="24"/>
                <w:lang w:eastAsia="zh-CN"/>
              </w:rPr>
              <w:t>，</w:t>
            </w:r>
            <w:r>
              <w:rPr>
                <w:rFonts w:hint="eastAsia"/>
                <w:color w:val="auto"/>
                <w:sz w:val="24"/>
                <w:szCs w:val="24"/>
                <w:lang w:val="en-US" w:eastAsia="zh-CN"/>
              </w:rPr>
              <w:t>3个井场同时施工，</w:t>
            </w:r>
            <w:r>
              <w:rPr>
                <w:rFonts w:hint="eastAsia" w:ascii="Times New Roman" w:hAnsi="Times New Roman" w:eastAsia="宋体" w:cs="Times New Roman"/>
                <w:color w:val="auto"/>
                <w:sz w:val="24"/>
                <w:szCs w:val="24"/>
                <w:highlight w:val="none"/>
                <w:lang w:val="en-US" w:eastAsia="zh-CN"/>
              </w:rPr>
              <w:t>工期约10</w:t>
            </w:r>
            <w:r>
              <w:rPr>
                <w:rFonts w:hint="default" w:ascii="Times New Roman" w:hAnsi="Times New Roman" w:eastAsia="宋体" w:cs="Times New Roman"/>
                <w:color w:val="auto"/>
                <w:sz w:val="24"/>
                <w:szCs w:val="24"/>
                <w:highlight w:val="none"/>
                <w:lang w:eastAsia="zh-CN"/>
              </w:rPr>
              <w:t>个月（</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val="en-US" w:eastAsia="zh-CN"/>
              </w:rPr>
              <w:t>天）</w:t>
            </w:r>
            <w:r>
              <w:rPr>
                <w:rFonts w:hint="eastAsia" w:ascii="Times New Roman" w:hAnsi="Times New Roman" w:eastAsia="宋体" w:cs="Times New Roman"/>
                <w:color w:val="auto"/>
                <w:sz w:val="24"/>
                <w:szCs w:val="24"/>
                <w:highlight w:val="none"/>
                <w:lang w:val="en-US" w:eastAsia="zh-CN"/>
              </w:rPr>
              <w:t>。</w:t>
            </w:r>
          </w:p>
        </w:tc>
      </w:tr>
      <w:tr w14:paraId="79B9E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262" w:type="pct"/>
            <w:vAlign w:val="center"/>
          </w:tcPr>
          <w:p w14:paraId="3F63C0C2">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总平面及现场布置</w:t>
            </w:r>
          </w:p>
        </w:tc>
        <w:tc>
          <w:tcPr>
            <w:tcW w:w="4737" w:type="pct"/>
            <w:vAlign w:val="center"/>
          </w:tcPr>
          <w:p w14:paraId="387759B2">
            <w:pPr>
              <w:spacing w:line="360" w:lineRule="auto"/>
              <w:ind w:firstLine="482" w:firstLineChars="200"/>
              <w:rPr>
                <w:rFonts w:ascii="Times New Roman" w:hAnsi="宋体" w:eastAsia="宋体" w:cs="Times New Roman"/>
                <w:b/>
                <w:color w:val="auto"/>
                <w:sz w:val="24"/>
                <w:szCs w:val="24"/>
              </w:rPr>
            </w:pPr>
            <w:r>
              <w:rPr>
                <w:rFonts w:hint="eastAsia" w:ascii="Times New Roman" w:hAnsi="宋体" w:eastAsia="宋体" w:cs="Times New Roman"/>
                <w:b/>
                <w:color w:val="auto"/>
                <w:sz w:val="24"/>
                <w:szCs w:val="24"/>
              </w:rPr>
              <w:t>1、项目布局情况</w:t>
            </w:r>
          </w:p>
          <w:p w14:paraId="20719050">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宋体" w:eastAsia="宋体" w:cs="Times New Roman"/>
                <w:color w:val="auto"/>
                <w:sz w:val="24"/>
                <w:szCs w:val="24"/>
                <w:lang w:eastAsia="zh-CN"/>
              </w:rPr>
              <w:t>朱集东煤矿1262（1）工作面地面钻井工程</w:t>
            </w:r>
            <w:r>
              <w:rPr>
                <w:rFonts w:hint="eastAsia" w:ascii="Times New Roman" w:hAnsi="Times New Roman" w:eastAsia="宋体" w:cs="Times New Roman"/>
                <w:color w:val="auto"/>
                <w:sz w:val="24"/>
                <w:szCs w:val="24"/>
                <w:lang w:eastAsia="zh-CN"/>
              </w:rPr>
              <w:t>共</w:t>
            </w:r>
            <w:r>
              <w:rPr>
                <w:rFonts w:hint="eastAsia" w:ascii="Times New Roman" w:hAnsi="宋体" w:eastAsia="宋体" w:cs="Times New Roman"/>
                <w:color w:val="auto"/>
                <w:sz w:val="24"/>
                <w:szCs w:val="24"/>
                <w:lang w:eastAsia="zh-CN"/>
              </w:rPr>
              <w:t>设计</w:t>
            </w:r>
            <w:r>
              <w:rPr>
                <w:rFonts w:hint="eastAsia" w:ascii="Times New Roman" w:hAnsi="宋体" w:eastAsia="宋体" w:cs="Times New Roman"/>
                <w:color w:val="auto"/>
                <w:sz w:val="24"/>
                <w:szCs w:val="24"/>
                <w:lang w:val="en-US" w:eastAsia="zh-CN"/>
              </w:rPr>
              <w:t>5口钻井</w:t>
            </w:r>
            <w:r>
              <w:rPr>
                <w:rFonts w:hint="eastAsia" w:ascii="Times New Roman" w:hAnsi="宋体" w:eastAsia="宋体" w:cs="Times New Roman"/>
                <w:color w:val="auto"/>
                <w:sz w:val="24"/>
                <w:szCs w:val="24"/>
                <w:lang w:eastAsia="zh-CN"/>
              </w:rPr>
              <w:t>，编号为</w:t>
            </w:r>
            <w:r>
              <w:rPr>
                <w:rFonts w:hint="eastAsia" w:ascii="Times New Roman" w:hAnsi="宋体" w:eastAsia="宋体" w:cs="Times New Roman"/>
                <w:color w:val="auto"/>
                <w:sz w:val="24"/>
                <w:szCs w:val="24"/>
                <w:lang w:val="en-US" w:eastAsia="zh-CN"/>
              </w:rPr>
              <w:t>1#、2#、6#、7#、8#，布置3个地面施工场地，分别为1#场地、2#场地、3#场地，1#场地施工1#钻孔，2#场地施工2#钻孔，3#场地施工6#、7#、8#钻孔。</w:t>
            </w:r>
          </w:p>
          <w:p w14:paraId="0DF0B871">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宋体" w:eastAsia="宋体" w:cs="Times New Roman"/>
                <w:color w:val="auto"/>
                <w:kern w:val="0"/>
                <w:sz w:val="24"/>
                <w:szCs w:val="24"/>
                <w:lang w:val="en-US" w:eastAsia="zh-CN"/>
              </w:rPr>
              <w:t>本项目每个施工场地不设置施工营地，仅布置与钻井相关的设施设备，施工现场临路布置，无需设置进场道路，</w:t>
            </w:r>
            <w:r>
              <w:rPr>
                <w:rFonts w:ascii="Times New Roman" w:hAnsi="Times New Roman" w:eastAsia="宋体" w:cs="Times New Roman"/>
                <w:color w:val="auto"/>
                <w:kern w:val="0"/>
                <w:sz w:val="24"/>
                <w:szCs w:val="20"/>
              </w:rPr>
              <w:t>施工现场出入口、场内道路、作业区等地面进行硬化，非作业</w:t>
            </w:r>
            <w:r>
              <w:rPr>
                <w:rFonts w:hint="eastAsia" w:ascii="Times New Roman" w:hAnsi="Times New Roman" w:eastAsia="宋体" w:cs="Times New Roman"/>
                <w:color w:val="auto"/>
                <w:kern w:val="0"/>
                <w:sz w:val="24"/>
                <w:szCs w:val="20"/>
                <w:lang w:eastAsia="zh-CN"/>
              </w:rPr>
              <w:t>区</w:t>
            </w:r>
            <w:r>
              <w:rPr>
                <w:rFonts w:ascii="Times New Roman" w:hAnsi="Times New Roman" w:eastAsia="宋体" w:cs="Times New Roman"/>
                <w:color w:val="auto"/>
                <w:kern w:val="0"/>
                <w:sz w:val="24"/>
                <w:szCs w:val="20"/>
              </w:rPr>
              <w:t>地面裸露的场地</w:t>
            </w:r>
            <w:r>
              <w:rPr>
                <w:rFonts w:hint="eastAsia" w:ascii="Times New Roman" w:hAnsi="Times New Roman" w:eastAsia="宋体" w:cs="Times New Roman"/>
                <w:color w:val="auto"/>
                <w:kern w:val="0"/>
                <w:sz w:val="24"/>
                <w:szCs w:val="20"/>
                <w:lang w:eastAsia="zh-CN"/>
              </w:rPr>
              <w:t>采取</w:t>
            </w:r>
            <w:r>
              <w:rPr>
                <w:rFonts w:ascii="Times New Roman" w:hAnsi="Times New Roman" w:eastAsia="宋体" w:cs="Times New Roman"/>
                <w:color w:val="auto"/>
                <w:kern w:val="0"/>
                <w:sz w:val="24"/>
                <w:szCs w:val="20"/>
              </w:rPr>
              <w:t>绿化或严密覆盖，</w:t>
            </w:r>
            <w:r>
              <w:rPr>
                <w:rFonts w:hint="eastAsia" w:ascii="Times New Roman" w:hAnsi="Times New Roman" w:eastAsia="宋体" w:cs="Times New Roman"/>
                <w:color w:val="auto"/>
                <w:kern w:val="0"/>
                <w:sz w:val="24"/>
                <w:szCs w:val="20"/>
                <w:lang w:eastAsia="zh-CN"/>
              </w:rPr>
              <w:t>场地表土进行剥离后堆存于</w:t>
            </w:r>
            <w:r>
              <w:rPr>
                <w:rFonts w:hint="eastAsia" w:ascii="Times New Roman" w:hAnsi="Times New Roman" w:eastAsia="宋体" w:cs="Times New Roman"/>
                <w:color w:val="auto"/>
                <w:sz w:val="24"/>
                <w:szCs w:val="24"/>
                <w:lang w:val="en-US" w:eastAsia="zh-CN"/>
              </w:rPr>
              <w:t>场地一角，方便管理，堆土区设置截、排水沟、苫盖等措施，施工完成后用于场地复垦。</w:t>
            </w:r>
          </w:p>
          <w:p w14:paraId="699016EA">
            <w:pPr>
              <w:spacing w:line="360" w:lineRule="auto"/>
              <w:ind w:firstLine="480" w:firstLineChars="200"/>
              <w:rPr>
                <w:rFonts w:hint="eastAsia" w:ascii="Times New Roman" w:hAnsi="宋体" w:eastAsia="宋体" w:cs="Times New Roman"/>
                <w:color w:val="auto"/>
                <w:kern w:val="0"/>
                <w:sz w:val="24"/>
                <w:szCs w:val="24"/>
                <w:lang w:val="en-US" w:eastAsia="zh-CN"/>
              </w:rPr>
            </w:pPr>
            <w:r>
              <w:rPr>
                <w:rFonts w:hint="eastAsia" w:ascii="Times New Roman" w:hAnsi="宋体" w:eastAsia="宋体" w:cs="Times New Roman"/>
                <w:color w:val="auto"/>
                <w:kern w:val="0"/>
                <w:sz w:val="24"/>
                <w:szCs w:val="24"/>
                <w:lang w:val="en-US" w:eastAsia="zh-CN"/>
              </w:rPr>
              <w:t>井场施工布置根</w:t>
            </w:r>
            <w:r>
              <w:rPr>
                <w:rFonts w:hint="eastAsia" w:ascii="Times New Roman" w:hAnsi="Times New Roman" w:eastAsia="宋体" w:cs="Times New Roman"/>
                <w:color w:val="auto"/>
                <w:sz w:val="24"/>
                <w:szCs w:val="24"/>
                <w:lang w:val="en-US" w:eastAsia="zh-CN"/>
              </w:rPr>
              <w:t>据项目施工工序，遵循紧凑有序、节约用地、布局合理的原则，以孔口为中心，布置钻井作业区、泥浆处理作业区、材料库房、发电机房等辅助设施，布置符合施工流程要求，现场布置合理。详细现场布置见附图。</w:t>
            </w:r>
          </w:p>
        </w:tc>
      </w:tr>
      <w:tr w14:paraId="6B570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262" w:type="pct"/>
            <w:vAlign w:val="center"/>
          </w:tcPr>
          <w:p w14:paraId="4A2CCB40">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施工方案</w:t>
            </w:r>
          </w:p>
        </w:tc>
        <w:tc>
          <w:tcPr>
            <w:tcW w:w="4737" w:type="pct"/>
            <w:vAlign w:val="center"/>
          </w:tcPr>
          <w:p w14:paraId="5AF85A60">
            <w:pPr>
              <w:spacing w:line="360" w:lineRule="auto"/>
              <w:ind w:firstLine="480" w:firstLineChars="200"/>
              <w:rPr>
                <w:rFonts w:hint="eastAsia" w:ascii="Times New Roman" w:hAnsi="Times New Roman" w:eastAsia="宋体" w:cs="Times New Roman"/>
                <w:color w:val="auto"/>
                <w:sz w:val="24"/>
                <w:szCs w:val="24"/>
                <w:lang w:val="en-US" w:eastAsia="zh-CN"/>
              </w:rPr>
            </w:pPr>
            <w:r>
              <w:rPr>
                <w:rFonts w:ascii="Times New Roman" w:hAnsi="宋体" w:eastAsia="宋体" w:cs="Times New Roman"/>
                <w:color w:val="auto"/>
                <w:kern w:val="0"/>
                <w:sz w:val="24"/>
                <w:szCs w:val="24"/>
                <w:highlight w:val="none"/>
              </w:rPr>
              <w:t>本项目</w:t>
            </w:r>
            <w:r>
              <w:rPr>
                <w:rFonts w:hint="eastAsia" w:ascii="Times New Roman" w:hAnsi="Times New Roman" w:eastAsia="宋体" w:cs="Times New Roman"/>
                <w:color w:val="auto"/>
                <w:sz w:val="24"/>
                <w:szCs w:val="24"/>
                <w:highlight w:val="none"/>
                <w:lang w:val="en-US" w:eastAsia="zh-CN"/>
              </w:rPr>
              <w:t>为煤矿</w:t>
            </w:r>
            <w:r>
              <w:rPr>
                <w:rFonts w:hint="eastAsia" w:ascii="Times New Roman" w:hAnsi="Times New Roman" w:eastAsia="宋体" w:cs="Times New Roman"/>
                <w:color w:val="auto"/>
                <w:sz w:val="24"/>
                <w:szCs w:val="24"/>
                <w:lang w:val="en-US" w:eastAsia="zh-CN"/>
              </w:rPr>
              <w:t>开采瓦斯治理辅助钻井工程，设置3个地面施工场地，共建设5口钻井，为矿井生产接替提供安全保障措施。项目施工方案分为钻前工程、和钻井工程。</w:t>
            </w:r>
          </w:p>
          <w:p w14:paraId="7D101015">
            <w:pPr>
              <w:pStyle w:val="14"/>
              <w:tabs>
                <w:tab w:val="left" w:pos="0"/>
              </w:tabs>
              <w:spacing w:line="360" w:lineRule="auto"/>
              <w:ind w:firstLine="480" w:firstLineChars="200"/>
              <w:contextualSpacing/>
              <w:rPr>
                <w:rFonts w:ascii="Times New Roman" w:hAnsi="Times New Roman"/>
                <w:bCs/>
                <w:color w:val="auto"/>
                <w:sz w:val="24"/>
                <w:lang w:val="en-US" w:eastAsia="zh-CN"/>
              </w:rPr>
            </w:pPr>
            <w:r>
              <w:rPr>
                <w:rFonts w:hint="eastAsia" w:ascii="Times New Roman" w:hAnsi="Times New Roman"/>
                <w:bCs/>
                <w:color w:val="auto"/>
                <w:sz w:val="24"/>
                <w:lang w:val="en-US" w:eastAsia="zh-CN"/>
              </w:rPr>
              <w:t>1、</w:t>
            </w:r>
            <w:r>
              <w:rPr>
                <w:rFonts w:ascii="Times New Roman" w:hAnsi="Times New Roman"/>
                <w:bCs/>
                <w:color w:val="auto"/>
                <w:sz w:val="24"/>
                <w:lang w:val="en-US" w:eastAsia="zh-CN"/>
              </w:rPr>
              <w:t>钻前工程</w:t>
            </w:r>
          </w:p>
          <w:p w14:paraId="5478219D">
            <w:pPr>
              <w:pStyle w:val="14"/>
              <w:tabs>
                <w:tab w:val="left" w:pos="0"/>
              </w:tabs>
              <w:spacing w:line="360" w:lineRule="auto"/>
              <w:ind w:firstLine="480" w:firstLineChars="200"/>
              <w:contextualSpacing/>
              <w:rPr>
                <w:rFonts w:ascii="Times New Roman" w:hAnsi="Times New Roman"/>
                <w:bCs/>
                <w:color w:val="auto"/>
                <w:sz w:val="24"/>
                <w:lang w:val="en-US" w:eastAsia="zh-CN"/>
              </w:rPr>
            </w:pPr>
            <w:r>
              <w:rPr>
                <w:rFonts w:ascii="Times New Roman" w:hAnsi="Times New Roman"/>
                <w:bCs/>
                <w:color w:val="auto"/>
                <w:sz w:val="24"/>
                <w:lang w:val="en-US" w:eastAsia="zh-CN"/>
              </w:rPr>
              <w:t>项目钻前工程是为钻井工程进行前期的基础设施建设，主要包括场地建设和整平、安装钻</w:t>
            </w:r>
            <w:r>
              <w:rPr>
                <w:rFonts w:hint="eastAsia" w:ascii="Times New Roman" w:hAnsi="Times New Roman"/>
                <w:bCs/>
                <w:color w:val="auto"/>
                <w:sz w:val="24"/>
                <w:lang w:val="en-US" w:eastAsia="zh-CN"/>
              </w:rPr>
              <w:t>井</w:t>
            </w:r>
            <w:r>
              <w:rPr>
                <w:rFonts w:ascii="Times New Roman" w:hAnsi="Times New Roman"/>
                <w:bCs/>
                <w:color w:val="auto"/>
                <w:sz w:val="24"/>
                <w:lang w:val="en-US" w:eastAsia="zh-CN"/>
              </w:rPr>
              <w:t>设备、搭设临时建筑物以及相关附属设施建设等。钻前工程工艺流程见下图。</w:t>
            </w:r>
          </w:p>
          <w:p w14:paraId="39E8F3D5">
            <w:pPr>
              <w:pStyle w:val="9"/>
              <w:jc w:val="center"/>
              <w:rPr>
                <w:rFonts w:ascii="Times New Roman" w:hAnsi="Times New Roman"/>
                <w:color w:val="auto"/>
              </w:rPr>
            </w:pPr>
            <w:r>
              <w:rPr>
                <w:rFonts w:ascii="Times New Roman" w:hAnsi="Times New Roman"/>
                <w:color w:val="auto"/>
              </w:rPr>
              <w:drawing>
                <wp:inline distT="0" distB="0" distL="114300" distR="114300">
                  <wp:extent cx="4244340" cy="1308100"/>
                  <wp:effectExtent l="0" t="0" r="3810" b="6350"/>
                  <wp:docPr id="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1"/>
                          </pic:cNvPicPr>
                        </pic:nvPicPr>
                        <pic:blipFill>
                          <a:blip r:embed="rId15"/>
                          <a:stretch>
                            <a:fillRect/>
                          </a:stretch>
                        </pic:blipFill>
                        <pic:spPr>
                          <a:xfrm>
                            <a:off x="0" y="0"/>
                            <a:ext cx="4244340" cy="1308100"/>
                          </a:xfrm>
                          <a:prstGeom prst="rect">
                            <a:avLst/>
                          </a:prstGeom>
                          <a:noFill/>
                          <a:ln>
                            <a:noFill/>
                          </a:ln>
                        </pic:spPr>
                      </pic:pic>
                    </a:graphicData>
                  </a:graphic>
                </wp:inline>
              </w:drawing>
            </w:r>
          </w:p>
          <w:p w14:paraId="27626661">
            <w:pPr>
              <w:numPr>
                <w:ilvl w:val="0"/>
                <w:numId w:val="3"/>
              </w:numPr>
              <w:spacing w:line="360" w:lineRule="auto"/>
              <w:ind w:left="0" w:leftChars="0" w:firstLine="560" w:firstLineChars="0"/>
              <w:jc w:val="center"/>
              <w:rPr>
                <w:rFonts w:ascii="Times New Roman" w:hAnsi="Times New Roman"/>
                <w:b/>
                <w:color w:val="auto"/>
                <w:sz w:val="24"/>
                <w:szCs w:val="24"/>
              </w:rPr>
            </w:pPr>
            <w:r>
              <w:rPr>
                <w:rFonts w:hint="eastAsia"/>
                <w:b/>
                <w:color w:val="auto"/>
                <w:lang w:val="en-US" w:eastAsia="zh-CN"/>
              </w:rPr>
              <w:t xml:space="preserve">  </w:t>
            </w:r>
            <w:r>
              <w:rPr>
                <w:rFonts w:ascii="Times New Roman" w:hAnsi="Times New Roman"/>
                <w:b/>
                <w:color w:val="auto"/>
              </w:rPr>
              <w:t xml:space="preserve"> </w:t>
            </w:r>
            <w:r>
              <w:rPr>
                <w:rFonts w:ascii="Times New Roman" w:hAnsi="Times New Roman"/>
                <w:b/>
                <w:color w:val="auto"/>
                <w:sz w:val="24"/>
                <w:szCs w:val="24"/>
              </w:rPr>
              <w:t>钻前工程工艺流程</w:t>
            </w:r>
          </w:p>
          <w:p w14:paraId="6A158ACF">
            <w:pPr>
              <w:spacing w:line="360" w:lineRule="auto"/>
              <w:ind w:firstLine="480" w:firstLineChars="200"/>
              <w:rPr>
                <w:rFonts w:ascii="Times New Roman" w:hAnsi="Times New Roman"/>
                <w:color w:val="auto"/>
                <w:sz w:val="24"/>
              </w:rPr>
            </w:pPr>
            <w:r>
              <w:rPr>
                <w:rFonts w:ascii="Times New Roman" w:hAnsi="Times New Roman"/>
                <w:color w:val="auto"/>
                <w:sz w:val="24"/>
              </w:rPr>
              <w:t>工艺流程：</w:t>
            </w:r>
          </w:p>
          <w:p w14:paraId="0D38D5F7">
            <w:pPr>
              <w:spacing w:line="360" w:lineRule="auto"/>
              <w:ind w:firstLine="480" w:firstLineChars="200"/>
              <w:rPr>
                <w:rFonts w:hint="eastAsia" w:eastAsia="宋体"/>
                <w:color w:val="auto"/>
                <w:sz w:val="24"/>
                <w:lang w:val="en-US" w:eastAsia="zh-CN"/>
              </w:rPr>
            </w:pPr>
            <w:r>
              <w:rPr>
                <w:rFonts w:ascii="Times New Roman" w:hAnsi="Times New Roman"/>
                <w:color w:val="auto"/>
                <w:sz w:val="24"/>
              </w:rPr>
              <w:t>钻前</w:t>
            </w:r>
            <w:r>
              <w:rPr>
                <w:rFonts w:hint="eastAsia"/>
                <w:color w:val="auto"/>
                <w:sz w:val="24"/>
                <w:lang w:val="en-US" w:eastAsia="zh-CN"/>
              </w:rPr>
              <w:t>工程</w:t>
            </w:r>
            <w:r>
              <w:rPr>
                <w:rFonts w:ascii="Times New Roman" w:hAnsi="Times New Roman"/>
                <w:color w:val="auto"/>
                <w:sz w:val="24"/>
              </w:rPr>
              <w:t>包括</w:t>
            </w:r>
            <w:r>
              <w:rPr>
                <w:rFonts w:hint="eastAsia"/>
                <w:color w:val="auto"/>
                <w:sz w:val="24"/>
                <w:lang w:val="en-US" w:eastAsia="zh-CN"/>
              </w:rPr>
              <w:t>场地表土剥离，平整场地</w:t>
            </w:r>
            <w:r>
              <w:rPr>
                <w:rFonts w:ascii="Times New Roman" w:hAnsi="Times New Roman"/>
                <w:color w:val="auto"/>
                <w:sz w:val="24"/>
              </w:rPr>
              <w:t>、</w:t>
            </w:r>
            <w:r>
              <w:rPr>
                <w:rFonts w:hint="eastAsia" w:ascii="Times New Roman" w:hAnsi="Times New Roman"/>
                <w:color w:val="auto"/>
                <w:sz w:val="24"/>
              </w:rPr>
              <w:t>四周进行围挡</w:t>
            </w:r>
            <w:r>
              <w:rPr>
                <w:rFonts w:hint="eastAsia" w:ascii="Times New Roman" w:hAnsi="Times New Roman"/>
                <w:color w:val="auto"/>
                <w:sz w:val="24"/>
                <w:lang w:eastAsia="zh-CN"/>
              </w:rPr>
              <w:t>，</w:t>
            </w:r>
            <w:r>
              <w:rPr>
                <w:rFonts w:hint="eastAsia"/>
                <w:color w:val="auto"/>
                <w:sz w:val="24"/>
                <w:lang w:val="en-US" w:eastAsia="zh-CN"/>
              </w:rPr>
              <w:t>放线定钻孔位置</w:t>
            </w:r>
            <w:r>
              <w:rPr>
                <w:rFonts w:ascii="Times New Roman" w:hAnsi="Times New Roman"/>
                <w:color w:val="auto"/>
                <w:sz w:val="24"/>
              </w:rPr>
              <w:t>、</w:t>
            </w:r>
            <w:r>
              <w:rPr>
                <w:rFonts w:hint="eastAsia"/>
                <w:color w:val="auto"/>
                <w:sz w:val="24"/>
                <w:lang w:val="en-US" w:eastAsia="zh-CN"/>
              </w:rPr>
              <w:t>安装</w:t>
            </w:r>
            <w:r>
              <w:rPr>
                <w:rFonts w:ascii="Times New Roman" w:hAnsi="Times New Roman"/>
                <w:color w:val="auto"/>
                <w:sz w:val="24"/>
              </w:rPr>
              <w:t>钻塔、</w:t>
            </w:r>
            <w:r>
              <w:rPr>
                <w:rFonts w:hint="eastAsia"/>
                <w:color w:val="auto"/>
                <w:sz w:val="24"/>
                <w:lang w:val="en-US" w:eastAsia="zh-CN"/>
              </w:rPr>
              <w:t>钻机、</w:t>
            </w:r>
            <w:r>
              <w:rPr>
                <w:rFonts w:ascii="Times New Roman" w:hAnsi="Times New Roman"/>
                <w:color w:val="auto"/>
                <w:sz w:val="24"/>
              </w:rPr>
              <w:t>泥浆泵</w:t>
            </w:r>
            <w:r>
              <w:rPr>
                <w:rFonts w:hint="eastAsia" w:ascii="Times New Roman" w:hAnsi="Times New Roman"/>
                <w:color w:val="auto"/>
                <w:sz w:val="24"/>
                <w:lang w:val="en-US" w:eastAsia="zh-CN"/>
              </w:rPr>
              <w:t>等</w:t>
            </w:r>
            <w:r>
              <w:rPr>
                <w:rFonts w:hint="eastAsia"/>
                <w:color w:val="auto"/>
                <w:sz w:val="24"/>
                <w:lang w:val="en-US" w:eastAsia="zh-CN"/>
              </w:rPr>
              <w:t>，开挖泥浆池、防汛水沟等钻井过程所需的附属设施，</w:t>
            </w:r>
            <w:r>
              <w:rPr>
                <w:rFonts w:ascii="Times New Roman" w:hAnsi="Times New Roman" w:eastAsia="宋体" w:cs="Times New Roman"/>
                <w:color w:val="auto"/>
                <w:sz w:val="24"/>
                <w:szCs w:val="24"/>
              </w:rPr>
              <w:t>备足钻井所需要的各种工具、材料等</w:t>
            </w:r>
            <w:r>
              <w:rPr>
                <w:rFonts w:hint="eastAsia" w:ascii="Times New Roman" w:hAnsi="Times New Roman" w:eastAsia="宋体" w:cs="Times New Roman"/>
                <w:color w:val="auto"/>
                <w:sz w:val="24"/>
                <w:szCs w:val="24"/>
                <w:lang w:eastAsia="zh-CN"/>
              </w:rPr>
              <w:t>。</w:t>
            </w:r>
          </w:p>
          <w:p w14:paraId="21881489">
            <w:pPr>
              <w:spacing w:line="360" w:lineRule="auto"/>
              <w:ind w:firstLine="480" w:firstLineChars="200"/>
              <w:rPr>
                <w:rFonts w:ascii="Times New Roman" w:hAnsi="Times New Roman"/>
                <w:color w:val="auto"/>
                <w:sz w:val="24"/>
              </w:rPr>
            </w:pPr>
            <w:r>
              <w:rPr>
                <w:rFonts w:hint="eastAsia"/>
                <w:color w:val="auto"/>
                <w:sz w:val="24"/>
                <w:lang w:val="en-US" w:eastAsia="zh-CN"/>
              </w:rPr>
              <w:t>钻前工程施工过程中会产生少量施工扬尘、</w:t>
            </w:r>
            <w:r>
              <w:rPr>
                <w:rFonts w:ascii="Times New Roman" w:hAnsi="Times New Roman"/>
                <w:color w:val="auto"/>
                <w:sz w:val="24"/>
              </w:rPr>
              <w:t>固废</w:t>
            </w:r>
            <w:r>
              <w:rPr>
                <w:rFonts w:hint="eastAsia" w:ascii="Times New Roman" w:hAnsi="Times New Roman"/>
                <w:color w:val="auto"/>
                <w:sz w:val="24"/>
                <w:lang w:val="en-US" w:eastAsia="zh-CN"/>
              </w:rPr>
              <w:t>和施工设备</w:t>
            </w:r>
            <w:r>
              <w:rPr>
                <w:rFonts w:hint="eastAsia"/>
                <w:color w:val="auto"/>
                <w:sz w:val="24"/>
                <w:lang w:val="en-US" w:eastAsia="zh-CN"/>
              </w:rPr>
              <w:t>噪声</w:t>
            </w:r>
            <w:r>
              <w:rPr>
                <w:rFonts w:ascii="Times New Roman" w:hAnsi="Times New Roman"/>
                <w:color w:val="auto"/>
                <w:sz w:val="24"/>
              </w:rPr>
              <w:t>。</w:t>
            </w:r>
          </w:p>
          <w:p w14:paraId="172A6787">
            <w:pPr>
              <w:numPr>
                <w:ilvl w:val="0"/>
                <w:numId w:val="5"/>
              </w:numPr>
              <w:spacing w:line="360" w:lineRule="auto"/>
              <w:ind w:firstLine="480" w:firstLineChars="200"/>
              <w:rPr>
                <w:rFonts w:ascii="Times New Roman" w:hAnsi="宋体" w:eastAsia="宋体" w:cs="Times New Roman"/>
                <w:color w:val="auto"/>
                <w:kern w:val="0"/>
                <w:sz w:val="24"/>
                <w:szCs w:val="24"/>
              </w:rPr>
            </w:pPr>
            <w:r>
              <w:rPr>
                <w:rFonts w:ascii="Times New Roman" w:hAnsi="宋体" w:eastAsia="宋体" w:cs="Times New Roman"/>
                <w:color w:val="auto"/>
                <w:kern w:val="0"/>
                <w:sz w:val="24"/>
                <w:szCs w:val="24"/>
              </w:rPr>
              <w:t>钻井工程</w:t>
            </w:r>
          </w:p>
          <w:p w14:paraId="7B618B04">
            <w:pPr>
              <w:spacing w:line="360" w:lineRule="auto"/>
              <w:ind w:firstLine="480" w:firstLineChars="200"/>
              <w:rPr>
                <w:rFonts w:hint="default"/>
                <w:color w:val="auto"/>
                <w:sz w:val="24"/>
                <w:lang w:val="en-US" w:eastAsia="zh-CN"/>
              </w:rPr>
            </w:pPr>
            <w:r>
              <w:rPr>
                <w:rFonts w:hint="eastAsia"/>
                <w:color w:val="auto"/>
                <w:sz w:val="24"/>
                <w:lang w:val="en-US" w:eastAsia="zh-CN"/>
              </w:rPr>
              <w:t>1）钻孔结构</w:t>
            </w:r>
          </w:p>
          <w:p w14:paraId="7ACC7CCE">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本工程施工5口钻井，间距146～197m，受邻近工作面回采塌陷影响，1262（1）工作面存在大面积积水区，采用垂直钻井难以施工，因此，本方案拟采取造斜、定向钻进等工艺施工。1#、2#采用大孔径钻井结构，6#、7#采用Ⅲ型钻井结构；8#为试验井，为L型水平采动卸压井。1#、2#钻井沿26°方位进行造斜施工，井口与目标层位置平距40m；6#钻井沿338°方位进行定向钻进施工，井口与目标层位置平距140m；7#钻井沿67°方位进行定向钻进施工，井口与目标层位置平距124m；8#钻井采用L型水平井施工工艺</w:t>
            </w:r>
            <w:r>
              <w:rPr>
                <w:rFonts w:hint="eastAsia" w:asciiTheme="minorHAnsi" w:hAnsiTheme="minorHAnsi" w:cstheme="minorBidi"/>
                <w:color w:val="auto"/>
                <w:kern w:val="2"/>
                <w:sz w:val="24"/>
                <w:szCs w:val="22"/>
                <w:lang w:val="en-US" w:eastAsia="zh-CN" w:bidi="ar-SA"/>
              </w:rPr>
              <w:t>。</w:t>
            </w:r>
          </w:p>
          <w:p w14:paraId="1AE9CB25">
            <w:pPr>
              <w:spacing w:line="360" w:lineRule="auto"/>
              <w:ind w:firstLine="420" w:firstLineChars="200"/>
            </w:pPr>
            <w:r>
              <w:drawing>
                <wp:inline distT="0" distB="0" distL="114300" distR="114300">
                  <wp:extent cx="4480560" cy="8387715"/>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rcRect l="22513" t="1796" r="49724" b="3115"/>
                          <a:stretch>
                            <a:fillRect/>
                          </a:stretch>
                        </pic:blipFill>
                        <pic:spPr>
                          <a:xfrm>
                            <a:off x="0" y="0"/>
                            <a:ext cx="4480560" cy="8387715"/>
                          </a:xfrm>
                          <a:prstGeom prst="rect">
                            <a:avLst/>
                          </a:prstGeom>
                          <a:noFill/>
                          <a:ln>
                            <a:noFill/>
                          </a:ln>
                        </pic:spPr>
                      </pic:pic>
                    </a:graphicData>
                  </a:graphic>
                </wp:inline>
              </w:drawing>
            </w:r>
          </w:p>
          <w:p w14:paraId="4162C4CF">
            <w:pPr>
              <w:numPr>
                <w:ilvl w:val="0"/>
                <w:numId w:val="3"/>
              </w:numPr>
              <w:spacing w:line="360" w:lineRule="auto"/>
              <w:ind w:left="0" w:leftChars="0" w:firstLine="560" w:firstLineChars="0"/>
              <w:jc w:val="center"/>
              <w:rPr>
                <w:rFonts w:hint="eastAsia"/>
              </w:rPr>
            </w:pPr>
            <w:r>
              <w:rPr>
                <w:rFonts w:hint="eastAsia"/>
                <w:szCs w:val="30"/>
                <w:lang w:val="en-US" w:eastAsia="zh-CN"/>
              </w:rPr>
              <w:t xml:space="preserve">   </w:t>
            </w:r>
            <w:r>
              <w:rPr>
                <w:rFonts w:hint="eastAsia" w:ascii="Times New Roman" w:hAnsi="Times New Roman"/>
                <w:b/>
                <w:color w:val="auto"/>
              </w:rPr>
              <w:t>大孔径”钻井结构示意图</w:t>
            </w:r>
          </w:p>
          <w:p w14:paraId="7FF5D897">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cstheme="minorBidi"/>
                <w:color w:val="auto"/>
                <w:kern w:val="2"/>
                <w:sz w:val="24"/>
                <w:szCs w:val="22"/>
                <w:lang w:val="en-US" w:eastAsia="zh-CN" w:bidi="ar-SA"/>
              </w:rPr>
              <w:t>“</w:t>
            </w:r>
            <w:r>
              <w:rPr>
                <w:rFonts w:hint="eastAsia" w:asciiTheme="minorHAnsi" w:hAnsiTheme="minorHAnsi" w:eastAsiaTheme="minorEastAsia" w:cstheme="minorBidi"/>
                <w:color w:val="auto"/>
                <w:kern w:val="2"/>
                <w:sz w:val="24"/>
                <w:szCs w:val="22"/>
                <w:lang w:val="en-US" w:eastAsia="zh-CN" w:bidi="ar-SA"/>
              </w:rPr>
              <w:t>大孔径</w:t>
            </w:r>
            <w:r>
              <w:rPr>
                <w:rFonts w:hint="eastAsia" w:asciiTheme="minorHAnsi" w:hAnsiTheme="minorHAnsi" w:cstheme="minorBidi"/>
                <w:color w:val="auto"/>
                <w:kern w:val="2"/>
                <w:sz w:val="24"/>
                <w:szCs w:val="22"/>
                <w:lang w:val="en-US" w:eastAsia="zh-CN" w:bidi="ar-SA"/>
              </w:rPr>
              <w:t>”</w:t>
            </w:r>
            <w:r>
              <w:rPr>
                <w:rFonts w:hint="eastAsia" w:asciiTheme="minorHAnsi" w:hAnsiTheme="minorHAnsi" w:eastAsiaTheme="minorEastAsia" w:cstheme="minorBidi"/>
                <w:color w:val="auto"/>
                <w:kern w:val="2"/>
                <w:sz w:val="24"/>
                <w:szCs w:val="22"/>
                <w:lang w:val="en-US" w:eastAsia="zh-CN" w:bidi="ar-SA"/>
              </w:rPr>
              <w:t>钻井结构概述：</w:t>
            </w:r>
          </w:p>
          <w:p w14:paraId="12DF0CDB">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一开：地面～基岩面以下30m，采用D550mm孔径钻探，下入Φ426×12mm无缝钢管（20#钢）。</w:t>
            </w:r>
          </w:p>
          <w:p w14:paraId="59855FB7">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二开：基岩面以下30m～13-1煤顶板以上50m，采用D393.7mm孔径钻探，下入Φ339.7×12.19mmP110石油套管。</w:t>
            </w:r>
          </w:p>
          <w:p w14:paraId="3509DE32">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一开、二开钻孔的两路套管外环均采用石油固井技术进行全封闭，固管所用水泥分别为普通水泥、石油G级水泥。</w:t>
            </w:r>
          </w:p>
          <w:p w14:paraId="39016608">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三开：13-1煤顶板以上50m～11-2煤顶板以上7m，采用D311.1mm孔径钻探。13-1煤层顶板～11-2煤顶板以上12m段“掏穴”扩孔为D500mm。下入Φ244.5×13.84mmP110石油套管，其中13-1煤顶板以上50m～11-2煤顶板以上7m段为P110石油花管。三开不固井，采用止水橡胶，用于扶正与隔水。</w:t>
            </w:r>
          </w:p>
          <w:p w14:paraId="04403C73">
            <w:pPr>
              <w:numPr>
                <w:ilvl w:val="0"/>
                <w:numId w:val="3"/>
              </w:numPr>
              <w:spacing w:line="360" w:lineRule="auto"/>
              <w:ind w:left="0" w:leftChars="0" w:firstLine="560" w:firstLineChars="0"/>
              <w:jc w:val="center"/>
              <w:rPr>
                <w:rFonts w:hint="eastAsia"/>
              </w:rPr>
            </w:pPr>
            <w:r>
              <w:drawing>
                <wp:anchor distT="0" distB="0" distL="114300" distR="114300" simplePos="0" relativeHeight="251659264" behindDoc="0" locked="0" layoutInCell="1" allowOverlap="1">
                  <wp:simplePos x="0" y="0"/>
                  <wp:positionH relativeFrom="column">
                    <wp:posOffset>656590</wp:posOffset>
                  </wp:positionH>
                  <wp:positionV relativeFrom="paragraph">
                    <wp:posOffset>64135</wp:posOffset>
                  </wp:positionV>
                  <wp:extent cx="3780155" cy="8352155"/>
                  <wp:effectExtent l="0" t="0" r="0" b="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rcRect l="36951" t="16078" r="42599" b="1263"/>
                          <a:stretch>
                            <a:fillRect/>
                          </a:stretch>
                        </pic:blipFill>
                        <pic:spPr>
                          <a:xfrm>
                            <a:off x="0" y="0"/>
                            <a:ext cx="3780155" cy="8352155"/>
                          </a:xfrm>
                          <a:prstGeom prst="rect">
                            <a:avLst/>
                          </a:prstGeom>
                          <a:noFill/>
                          <a:ln>
                            <a:noFill/>
                          </a:ln>
                        </pic:spPr>
                      </pic:pic>
                    </a:graphicData>
                  </a:graphic>
                </wp:anchor>
              </w:drawing>
            </w:r>
            <w:r>
              <w:rPr>
                <w:rFonts w:hint="eastAsia" w:ascii="Times New Roman" w:hAnsi="Times New Roman"/>
                <w:b/>
                <w:color w:val="auto"/>
                <w:lang w:val="en-US" w:eastAsia="zh-CN"/>
              </w:rPr>
              <w:t xml:space="preserve">  </w:t>
            </w:r>
            <w:r>
              <w:rPr>
                <w:rFonts w:hint="eastAsia" w:ascii="Times New Roman" w:hAnsi="Times New Roman"/>
                <w:b/>
                <w:color w:val="auto"/>
              </w:rPr>
              <w:t>Ⅲ型钻井结构示意图</w:t>
            </w:r>
          </w:p>
          <w:p w14:paraId="0412CA60">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“Ⅲ型”钻井结构概述：</w:t>
            </w:r>
          </w:p>
          <w:p w14:paraId="738ECD10">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一开：地面～13-1煤顶板，采用D350mm孔径钻探，其中地面～13-1煤顶板以上50m段，下入Φ273×10.16mmN80石油套管。</w:t>
            </w:r>
          </w:p>
          <w:p w14:paraId="5BAC2982">
            <w:pPr>
              <w:pStyle w:val="98"/>
              <w:ind w:firstLine="640"/>
              <w:rPr>
                <w:rFonts w:hint="eastAsia" w:ascii="Times New Roman" w:hAnsi="Times New Roman"/>
                <w:b/>
                <w:color w:val="auto"/>
                <w:lang w:val="en-US" w:eastAsia="zh-CN"/>
              </w:rPr>
            </w:pPr>
            <w:r>
              <w:rPr>
                <w:rFonts w:hint="eastAsia" w:asciiTheme="minorHAnsi" w:hAnsiTheme="minorHAnsi" w:eastAsiaTheme="minorEastAsia" w:cstheme="minorBidi"/>
                <w:color w:val="auto"/>
                <w:kern w:val="2"/>
                <w:sz w:val="24"/>
                <w:szCs w:val="22"/>
                <w:lang w:val="en-US" w:eastAsia="zh-CN" w:bidi="ar-SA"/>
              </w:rPr>
              <w:t>二开：13-1煤顶板～11-2煤顶板以上7m，采用D245mm孔径钻探，13-1煤顶板～11-2煤顶板以上20m段“掏穴”扩孔至D500mm。其中，地面～13-1煤顶板以上60m段，下入Φ177.8×9.19mmN80石油套管，套管底口连接8mΦ219×10.16mmN80石油套管；13-1煤顶板以上52m～11-2煤顶板以上7m段，下入Φ177.8×13.72mmN80石油花管，花管上口连接7.5mΦ177.8×13.72mmN80石油套管，与Φ219×10.16mmN80石油套管重叠。</w:t>
            </w:r>
          </w:p>
          <w:p w14:paraId="171EB499">
            <w:pPr>
              <w:numPr>
                <w:ilvl w:val="0"/>
                <w:numId w:val="3"/>
              </w:numPr>
              <w:spacing w:line="360" w:lineRule="auto"/>
              <w:ind w:left="0" w:leftChars="0" w:firstLine="560" w:firstLineChars="0"/>
              <w:jc w:val="center"/>
              <w:rPr>
                <w:rFonts w:hint="eastAsia"/>
                <w:color w:val="auto"/>
                <w:sz w:val="24"/>
                <w:highlight w:val="yellow"/>
                <w:lang w:val="en-US" w:eastAsia="zh-CN"/>
              </w:rPr>
            </w:pPr>
            <w:r>
              <w:rPr>
                <w:rFonts w:hint="eastAsia" w:ascii="Times New Roman" w:hAnsi="Times New Roman"/>
                <w:b/>
                <w:color w:val="auto"/>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76200</wp:posOffset>
                  </wp:positionV>
                  <wp:extent cx="4893945" cy="3006725"/>
                  <wp:effectExtent l="0" t="0" r="1905" b="3175"/>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rcRect l="553" t="2023"/>
                          <a:stretch>
                            <a:fillRect/>
                          </a:stretch>
                        </pic:blipFill>
                        <pic:spPr>
                          <a:xfrm>
                            <a:off x="0" y="0"/>
                            <a:ext cx="4893945" cy="3006725"/>
                          </a:xfrm>
                          <a:prstGeom prst="rect">
                            <a:avLst/>
                          </a:prstGeom>
                          <a:noFill/>
                          <a:ln>
                            <a:noFill/>
                          </a:ln>
                        </pic:spPr>
                      </pic:pic>
                    </a:graphicData>
                  </a:graphic>
                </wp:anchor>
              </w:drawing>
            </w:r>
            <w:r>
              <w:rPr>
                <w:rFonts w:hint="eastAsia" w:ascii="Times New Roman" w:hAnsi="Times New Roman"/>
                <w:b/>
                <w:color w:val="auto"/>
                <w:lang w:val="en-US" w:eastAsia="zh-CN"/>
              </w:rPr>
              <w:t xml:space="preserve">  L</w:t>
            </w:r>
            <w:r>
              <w:rPr>
                <w:rFonts w:hint="eastAsia" w:ascii="Times New Roman" w:hAnsi="Times New Roman"/>
                <w:b/>
                <w:color w:val="auto"/>
              </w:rPr>
              <w:t>型水平采动卸压井结构示意图</w:t>
            </w:r>
          </w:p>
          <w:p w14:paraId="034E3E2C">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“L型水平采动卸压井”钻井结构概述：</w:t>
            </w:r>
          </w:p>
          <w:p w14:paraId="1CAF9585">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一开：选用Φ444.5mm钻头，钻至基岩面以下不少于20m，一开套管Φ339.7×9.65mm，封第四系表土层。注水泥固井，水泥返至地面，使套管与地层充分固结。</w:t>
            </w:r>
          </w:p>
          <w:p w14:paraId="6588B5C2">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二开：选用Φ311.15mm钻头，钻至设计的着陆点A点（13-1煤底板以下5m），二开套管Φ244.5×8.94mm。注水泥固井，水泥返至地面。</w:t>
            </w:r>
          </w:p>
          <w:p w14:paraId="16CB07E9">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三开：选用使用随钻导向仪器、Φ215.9mm钻头沿13-1煤底板以下5～20m进行水平段钻进至B点，再钻至设计停钻位置C点（11-2煤顶板以上15m）。地面～着陆点A点，下入Φ139.7×9.17mm三开套管，固井，水泥返至地面；水平段A点～B点，Φ139.7×9.17mm三开花管；B点～C点，裸孔</w:t>
            </w:r>
            <w:r>
              <w:rPr>
                <w:rFonts w:hint="eastAsia" w:asciiTheme="minorHAnsi" w:hAnsiTheme="minorHAnsi" w:cstheme="minorBidi"/>
                <w:color w:val="auto"/>
                <w:kern w:val="2"/>
                <w:sz w:val="24"/>
                <w:szCs w:val="22"/>
                <w:lang w:val="en-US" w:eastAsia="zh-CN" w:bidi="ar-SA"/>
              </w:rPr>
              <w:t>。</w:t>
            </w:r>
          </w:p>
          <w:p w14:paraId="4522AD44">
            <w:pPr>
              <w:pStyle w:val="2"/>
              <w:jc w:val="center"/>
              <w:rPr>
                <w:rFonts w:hint="eastAsia"/>
                <w:lang w:val="en-US" w:eastAsia="zh-CN"/>
              </w:rPr>
            </w:pPr>
            <w:r>
              <w:rPr>
                <w:rFonts w:hint="eastAsia"/>
                <w:lang w:val="en-US" w:eastAsia="zh-CN"/>
              </w:rPr>
              <w:object>
                <v:shape id="_x0000_i1026" o:spt="75" type="#_x0000_t75" style="height:363.75pt;width:276.75pt;" o:ole="t" filled="f" o:preferrelative="t" stroked="f" coordsize="21600,21600">
                  <v:path/>
                  <v:fill on="f" focussize="0,0"/>
                  <v:stroke on="f"/>
                  <v:imagedata r:id="rId20" o:title=""/>
                  <o:lock v:ext="edit" aspectratio="f"/>
                  <w10:wrap type="none"/>
                  <w10:anchorlock/>
                </v:shape>
                <o:OLEObject Type="Embed" ProgID="Visio.Drawing.11" ShapeID="_x0000_i1026" DrawAspect="Content" ObjectID="_1468075726" r:id="rId19">
                  <o:LockedField>false</o:LockedField>
                </o:OLEObject>
              </w:object>
            </w:r>
          </w:p>
          <w:p w14:paraId="023303D2">
            <w:pPr>
              <w:numPr>
                <w:ilvl w:val="0"/>
                <w:numId w:val="3"/>
              </w:numPr>
              <w:spacing w:line="360" w:lineRule="auto"/>
              <w:ind w:left="0" w:leftChars="0" w:firstLine="560" w:firstLineChars="0"/>
              <w:jc w:val="center"/>
              <w:rPr>
                <w:rFonts w:hint="eastAsia" w:eastAsiaTheme="minorEastAsia"/>
                <w:color w:val="auto"/>
                <w:sz w:val="24"/>
                <w:lang w:val="en-US" w:eastAsia="zh-CN"/>
              </w:rPr>
            </w:pPr>
            <w:r>
              <w:rPr>
                <w:rFonts w:hint="eastAsia"/>
                <w:color w:val="auto"/>
                <w:sz w:val="24"/>
                <w:lang w:val="en-US" w:eastAsia="zh-CN"/>
              </w:rPr>
              <w:t xml:space="preserve">  施工工艺流程图</w:t>
            </w:r>
          </w:p>
          <w:p w14:paraId="3068C425">
            <w:pPr>
              <w:spacing w:line="360" w:lineRule="auto"/>
              <w:ind w:firstLine="480" w:firstLineChars="200"/>
              <w:rPr>
                <w:rFonts w:hint="eastAsia"/>
                <w:color w:val="auto"/>
                <w:sz w:val="24"/>
                <w:lang w:val="en-US" w:eastAsia="zh-CN"/>
              </w:rPr>
            </w:pPr>
            <w:r>
              <w:rPr>
                <w:rFonts w:hint="eastAsia"/>
                <w:color w:val="auto"/>
                <w:sz w:val="24"/>
                <w:lang w:val="en-US" w:eastAsia="zh-CN"/>
              </w:rPr>
              <w:t xml:space="preserve">3）钻井施工过程中的技术要求： </w:t>
            </w:r>
          </w:p>
          <w:p w14:paraId="510B98F7">
            <w:pPr>
              <w:pStyle w:val="100"/>
              <w:ind w:firstLine="643"/>
              <w:rPr>
                <w:rFonts w:hint="eastAsia" w:asciiTheme="minorHAnsi" w:hAnsiTheme="minorHAnsi" w:eastAsiaTheme="minorEastAsia" w:cstheme="minorBidi"/>
                <w:b w:val="0"/>
                <w:color w:val="auto"/>
                <w:kern w:val="2"/>
                <w:sz w:val="24"/>
                <w:szCs w:val="22"/>
                <w:lang w:val="en-US" w:eastAsia="zh-CN" w:bidi="ar-SA"/>
              </w:rPr>
            </w:pPr>
            <w:r>
              <w:rPr>
                <w:rFonts w:hint="eastAsia" w:asciiTheme="minorHAnsi" w:hAnsiTheme="minorHAnsi" w:eastAsiaTheme="minorEastAsia" w:cstheme="minorBidi"/>
                <w:b w:val="0"/>
                <w:color w:val="auto"/>
                <w:kern w:val="2"/>
                <w:sz w:val="24"/>
                <w:szCs w:val="22"/>
                <w:lang w:val="en-US" w:eastAsia="zh-CN" w:bidi="ar-SA"/>
              </w:rPr>
              <w:t>①、测井</w:t>
            </w:r>
          </w:p>
          <w:p w14:paraId="6A227997">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13-1、11-2煤层位置根据矿方提供资料进行预计，施工单位在施工过程中应进行测井，确定新地层及基岩段岩性，准确掌握13-1、11-2煤层的位置及厚度，以便决定钻井石油套管生根位置，同时便于调整一开、二开、三开钻进施工深度。</w:t>
            </w:r>
          </w:p>
          <w:p w14:paraId="69408C24">
            <w:pPr>
              <w:pStyle w:val="100"/>
              <w:ind w:firstLine="643"/>
              <w:rPr>
                <w:rFonts w:hint="eastAsia" w:asciiTheme="minorHAnsi" w:hAnsiTheme="minorHAnsi" w:eastAsiaTheme="minorEastAsia" w:cstheme="minorBidi"/>
                <w:b w:val="0"/>
                <w:bCs/>
                <w:color w:val="auto"/>
                <w:kern w:val="2"/>
                <w:sz w:val="24"/>
                <w:szCs w:val="22"/>
                <w:lang w:val="en-US" w:eastAsia="zh-CN" w:bidi="ar-SA"/>
              </w:rPr>
            </w:pPr>
            <w:r>
              <w:rPr>
                <w:rFonts w:hint="eastAsia" w:asciiTheme="minorHAnsi" w:hAnsiTheme="minorHAnsi" w:eastAsiaTheme="minorEastAsia" w:cstheme="minorBidi"/>
                <w:b w:val="0"/>
                <w:bCs/>
                <w:color w:val="auto"/>
                <w:kern w:val="2"/>
                <w:sz w:val="24"/>
                <w:szCs w:val="22"/>
                <w:lang w:val="en-US" w:eastAsia="zh-CN" w:bidi="ar-SA"/>
              </w:rPr>
              <w:t>②、套管及筛管</w:t>
            </w:r>
          </w:p>
          <w:p w14:paraId="35C453E1">
            <w:pPr>
              <w:pStyle w:val="98"/>
              <w:ind w:firstLine="640"/>
              <w:rPr>
                <w:rFonts w:hint="eastAsia" w:asciiTheme="minorHAnsi" w:hAnsiTheme="minorHAnsi" w:eastAsiaTheme="minorEastAsia" w:cstheme="minorBidi"/>
                <w:b w:val="0"/>
                <w:bCs/>
                <w:color w:val="auto"/>
                <w:kern w:val="2"/>
                <w:sz w:val="24"/>
                <w:szCs w:val="22"/>
                <w:lang w:val="en-US" w:eastAsia="zh-CN" w:bidi="ar-SA"/>
              </w:rPr>
            </w:pPr>
            <w:r>
              <w:rPr>
                <w:rFonts w:hint="eastAsia" w:asciiTheme="minorHAnsi" w:hAnsiTheme="minorHAnsi" w:eastAsiaTheme="minorEastAsia" w:cstheme="minorBidi"/>
                <w:b w:val="0"/>
                <w:bCs/>
                <w:color w:val="auto"/>
                <w:kern w:val="2"/>
                <w:sz w:val="24"/>
                <w:szCs w:val="22"/>
                <w:lang w:val="en-US" w:eastAsia="zh-CN" w:bidi="ar-SA"/>
              </w:rPr>
              <w:t>根据钻井结构在设计位置分别下入相应管径的N80（P110）石油套管等。石油花管眼径为Φ16～18mm。</w:t>
            </w:r>
          </w:p>
          <w:p w14:paraId="2A7F384A">
            <w:pPr>
              <w:pStyle w:val="100"/>
              <w:ind w:firstLine="643"/>
              <w:rPr>
                <w:rFonts w:hint="eastAsia" w:asciiTheme="minorHAnsi" w:hAnsiTheme="minorHAnsi" w:eastAsiaTheme="minorEastAsia" w:cstheme="minorBidi"/>
                <w:b w:val="0"/>
                <w:bCs/>
                <w:color w:val="auto"/>
                <w:kern w:val="2"/>
                <w:sz w:val="24"/>
                <w:szCs w:val="22"/>
                <w:lang w:val="en-US" w:eastAsia="zh-CN" w:bidi="ar-SA"/>
              </w:rPr>
            </w:pPr>
            <w:r>
              <w:rPr>
                <w:rFonts w:hint="eastAsia" w:asciiTheme="minorHAnsi" w:hAnsiTheme="minorHAnsi" w:eastAsiaTheme="minorEastAsia" w:cstheme="minorBidi"/>
                <w:b w:val="0"/>
                <w:bCs/>
                <w:color w:val="auto"/>
                <w:kern w:val="2"/>
                <w:sz w:val="24"/>
                <w:szCs w:val="22"/>
                <w:lang w:val="en-US" w:eastAsia="zh-CN" w:bidi="ar-SA"/>
              </w:rPr>
              <w:t>③、固井</w:t>
            </w:r>
          </w:p>
          <w:p w14:paraId="75226839">
            <w:pPr>
              <w:pStyle w:val="98"/>
              <w:ind w:firstLine="640"/>
              <w:rPr>
                <w:rFonts w:hint="eastAsia" w:asciiTheme="minorHAnsi" w:hAnsiTheme="minorHAnsi" w:eastAsiaTheme="minorEastAsia" w:cstheme="minorBidi"/>
                <w:b w:val="0"/>
                <w:bCs/>
                <w:color w:val="auto"/>
                <w:kern w:val="2"/>
                <w:sz w:val="24"/>
                <w:szCs w:val="22"/>
                <w:lang w:val="en-US" w:eastAsia="zh-CN" w:bidi="ar-SA"/>
              </w:rPr>
            </w:pPr>
            <w:r>
              <w:rPr>
                <w:rFonts w:hint="eastAsia" w:asciiTheme="minorHAnsi" w:hAnsiTheme="minorHAnsi" w:eastAsiaTheme="minorEastAsia" w:cstheme="minorBidi"/>
                <w:b w:val="0"/>
                <w:bCs/>
                <w:color w:val="auto"/>
                <w:kern w:val="2"/>
                <w:sz w:val="24"/>
                <w:szCs w:val="22"/>
                <w:lang w:val="en-US" w:eastAsia="zh-CN" w:bidi="ar-SA"/>
              </w:rPr>
              <w:t>一开、二开套管外环固井采用石油系统固井技术进行固井，其水泥按要求分别采用普通水泥、石油G级水泥。固井时需采用扶正器，其间距为30m。</w:t>
            </w:r>
          </w:p>
          <w:p w14:paraId="4F7A8B16">
            <w:pPr>
              <w:pStyle w:val="98"/>
              <w:ind w:firstLine="640"/>
              <w:rPr>
                <w:rFonts w:hint="eastAsia" w:asciiTheme="minorHAnsi" w:hAnsiTheme="minorHAnsi" w:eastAsiaTheme="minorEastAsia" w:cstheme="minorBidi"/>
                <w:b w:val="0"/>
                <w:bCs/>
                <w:color w:val="auto"/>
                <w:kern w:val="2"/>
                <w:sz w:val="24"/>
                <w:szCs w:val="22"/>
                <w:lang w:val="en-US" w:eastAsia="zh-CN" w:bidi="ar-SA"/>
              </w:rPr>
            </w:pPr>
            <w:r>
              <w:rPr>
                <w:rFonts w:hint="eastAsia" w:asciiTheme="minorHAnsi" w:hAnsiTheme="minorHAnsi" w:eastAsiaTheme="minorEastAsia" w:cstheme="minorBidi"/>
                <w:b w:val="0"/>
                <w:bCs/>
                <w:color w:val="auto"/>
                <w:kern w:val="2"/>
                <w:sz w:val="24"/>
                <w:szCs w:val="22"/>
                <w:lang w:val="en-US" w:eastAsia="zh-CN" w:bidi="ar-SA"/>
              </w:rPr>
              <w:t>“大孔径”钻井三开不固井，采用止水橡胶用于扶正与隔水。</w:t>
            </w:r>
          </w:p>
          <w:p w14:paraId="6AE76AA3">
            <w:pPr>
              <w:pStyle w:val="100"/>
              <w:ind w:firstLine="643"/>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b w:val="0"/>
                <w:bCs/>
                <w:color w:val="auto"/>
                <w:kern w:val="2"/>
                <w:sz w:val="24"/>
                <w:szCs w:val="22"/>
                <w:lang w:val="en-US" w:eastAsia="zh-CN" w:bidi="ar-SA"/>
              </w:rPr>
              <w:t>④、完井</w:t>
            </w:r>
          </w:p>
          <w:p w14:paraId="28C95D3C">
            <w:pPr>
              <w:pStyle w:val="98"/>
              <w:ind w:firstLine="640"/>
              <w:rPr>
                <w:rFonts w:hint="eastAsia" w:asciiTheme="minorHAnsi" w:hAnsiTheme="minorHAnsi" w:eastAsiaTheme="minorEastAsia" w:cstheme="minorBidi"/>
                <w:color w:val="auto"/>
                <w:kern w:val="2"/>
                <w:sz w:val="24"/>
                <w:szCs w:val="22"/>
                <w:lang w:val="en-US" w:eastAsia="zh-CN" w:bidi="ar-SA"/>
              </w:rPr>
            </w:pPr>
            <w:r>
              <w:rPr>
                <w:rFonts w:hint="eastAsia" w:asciiTheme="minorHAnsi" w:hAnsiTheme="minorHAnsi" w:eastAsiaTheme="minorEastAsia" w:cstheme="minorBidi"/>
                <w:color w:val="auto"/>
                <w:kern w:val="2"/>
                <w:sz w:val="24"/>
                <w:szCs w:val="22"/>
                <w:lang w:val="en-US" w:eastAsia="zh-CN" w:bidi="ar-SA"/>
              </w:rPr>
              <w:t>钻井完成后，必须按设计安装井口防雷电接地装置。工程完工后，要提交钻井柱状图（包括表土段），电测曲线等资料。</w:t>
            </w:r>
          </w:p>
          <w:p w14:paraId="731B8741">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color w:val="auto"/>
                <w:sz w:val="24"/>
                <w:lang w:eastAsia="zh-CN"/>
              </w:rPr>
              <w:t>钻井产污环节：钻井施工过程中产生钻井岩屑、</w:t>
            </w:r>
            <w:r>
              <w:rPr>
                <w:rFonts w:hint="eastAsia" w:ascii="Times New Roman" w:hAnsi="Times New Roman" w:eastAsia="宋体" w:cs="Times New Roman"/>
                <w:bCs/>
                <w:color w:val="auto"/>
                <w:sz w:val="24"/>
                <w:szCs w:val="24"/>
                <w:lang w:eastAsia="zh-CN"/>
              </w:rPr>
              <w:t>废泥浆、废包装材料、和设备运行噪声。</w:t>
            </w:r>
          </w:p>
          <w:p w14:paraId="5257A890">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color w:val="auto"/>
                <w:sz w:val="24"/>
                <w:lang w:eastAsia="zh-CN"/>
              </w:rPr>
              <w:t>钻井岩屑：</w:t>
            </w:r>
            <w:r>
              <w:rPr>
                <w:rFonts w:hint="eastAsia"/>
                <w:color w:val="auto"/>
                <w:sz w:val="24"/>
              </w:rPr>
              <w:t>项目钻井施工过程中</w:t>
            </w:r>
            <w:r>
              <w:rPr>
                <w:rFonts w:hint="eastAsia" w:ascii="Times New Roman" w:hAnsi="Times New Roman" w:eastAsia="宋体" w:cs="Times New Roman"/>
                <w:bCs/>
                <w:color w:val="auto"/>
                <w:sz w:val="24"/>
                <w:szCs w:val="24"/>
              </w:rPr>
              <w:t>钻头切屑地层岩石而产生的碎屑，并通过钻井泥浆带出至地面</w:t>
            </w:r>
            <w:r>
              <w:rPr>
                <w:rFonts w:hint="eastAsia" w:ascii="Times New Roman" w:hAnsi="Times New Roman" w:eastAsia="宋体" w:cs="Times New Roman"/>
                <w:bCs/>
                <w:color w:val="auto"/>
                <w:sz w:val="24"/>
                <w:szCs w:val="24"/>
                <w:lang w:eastAsia="zh-CN"/>
              </w:rPr>
              <w:t>。岩屑暂存于场地砂池中，自然干化用于</w:t>
            </w:r>
            <w:r>
              <w:rPr>
                <w:rFonts w:hint="eastAsia" w:ascii="Times New Roman" w:hAnsi="Times New Roman" w:eastAsia="宋体" w:cs="Times New Roman"/>
                <w:bCs/>
                <w:color w:val="auto"/>
                <w:sz w:val="24"/>
                <w:szCs w:val="24"/>
                <w:lang w:val="en-US" w:eastAsia="zh-CN"/>
              </w:rPr>
              <w:t>周边道路填筑</w:t>
            </w:r>
            <w:r>
              <w:rPr>
                <w:rFonts w:hint="eastAsia" w:ascii="Times New Roman" w:hAnsi="Times New Roman" w:eastAsia="宋体" w:cs="Times New Roman"/>
                <w:bCs/>
                <w:color w:val="auto"/>
                <w:sz w:val="24"/>
                <w:szCs w:val="24"/>
                <w:lang w:eastAsia="zh-CN"/>
              </w:rPr>
              <w:t>。</w:t>
            </w:r>
          </w:p>
          <w:p w14:paraId="08C5A5CA">
            <w:pPr>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Cs/>
                <w:color w:val="auto"/>
                <w:sz w:val="24"/>
                <w:szCs w:val="24"/>
                <w:lang w:eastAsia="zh-CN"/>
              </w:rPr>
              <w:t>废泥浆：钻井</w:t>
            </w:r>
            <w:r>
              <w:rPr>
                <w:rFonts w:hint="eastAsia" w:ascii="Times New Roman" w:hAnsi="Times New Roman" w:eastAsia="宋体" w:cs="Times New Roman"/>
                <w:color w:val="auto"/>
                <w:sz w:val="24"/>
                <w:szCs w:val="24"/>
                <w:highlight w:val="none"/>
                <w:lang w:eastAsia="zh-CN"/>
              </w:rPr>
              <w:t>泥浆出井口后固控系统</w:t>
            </w:r>
            <w:r>
              <w:rPr>
                <w:rFonts w:hint="eastAsia" w:ascii="Times New Roman" w:hAnsi="Times New Roman" w:eastAsia="宋体" w:cs="Times New Roman"/>
                <w:bCs/>
                <w:color w:val="auto"/>
                <w:sz w:val="24"/>
                <w:szCs w:val="24"/>
                <w:lang w:eastAsia="zh-CN"/>
              </w:rPr>
              <w:t>处理后循环利用，循环利用过程中可能会有少部分因性能不合格而会被废弃进入废浆池中。</w:t>
            </w:r>
            <w:r>
              <w:rPr>
                <w:rFonts w:hint="eastAsia" w:ascii="Times New Roman" w:hAnsi="Times New Roman" w:eastAsia="宋体" w:cs="Times New Roman"/>
                <w:bCs/>
                <w:color w:val="auto"/>
                <w:sz w:val="24"/>
                <w:szCs w:val="24"/>
                <w:lang w:val="en-US" w:eastAsia="zh-CN"/>
              </w:rPr>
              <w:t>施工完成后加入固化剂固化后用于周</w:t>
            </w:r>
            <w:r>
              <w:rPr>
                <w:rFonts w:hint="eastAsia" w:ascii="Times New Roman" w:hAnsi="Times New Roman" w:eastAsia="宋体" w:cs="Times New Roman"/>
                <w:color w:val="auto"/>
                <w:kern w:val="0"/>
                <w:sz w:val="24"/>
                <w:szCs w:val="24"/>
                <w:highlight w:val="none"/>
                <w:lang w:val="en-US" w:eastAsia="zh-CN" w:bidi="ar-SA"/>
              </w:rPr>
              <w:t>边道路填筑。</w:t>
            </w:r>
          </w:p>
          <w:p w14:paraId="75A899DE">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废包装材料：废包装材料交由第三方公司进行综合利用。</w:t>
            </w:r>
          </w:p>
          <w:p w14:paraId="735EA028">
            <w:pPr>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eastAsia="zh-CN"/>
              </w:rPr>
              <w:t>钻井设备维保过程中产生少量废润滑油和油桶、含油抹布和手套，暂存于施工场地设置的危废暂存间内，定期交有资质的单位处置。</w:t>
            </w:r>
          </w:p>
          <w:p w14:paraId="44440E4C">
            <w:pPr>
              <w:spacing w:line="360" w:lineRule="auto"/>
              <w:ind w:firstLine="480" w:firstLineChars="200"/>
              <w:rPr>
                <w:rFonts w:ascii="Times New Roman" w:hAnsi="宋体" w:eastAsia="宋体" w:cs="Times New Roman"/>
                <w:color w:val="auto"/>
                <w:sz w:val="24"/>
                <w:szCs w:val="24"/>
              </w:rPr>
            </w:pPr>
            <w:r>
              <w:rPr>
                <w:rFonts w:hint="eastAsia"/>
                <w:color w:val="auto"/>
                <w:sz w:val="24"/>
                <w:lang w:val="en-US" w:eastAsia="zh-CN"/>
              </w:rPr>
              <w:t>3、</w:t>
            </w:r>
            <w:r>
              <w:rPr>
                <w:rFonts w:hint="eastAsia"/>
                <w:color w:val="auto"/>
                <w:sz w:val="24"/>
                <w:lang w:eastAsia="zh-CN"/>
              </w:rPr>
              <w:t>复垦</w:t>
            </w:r>
            <w:r>
              <w:rPr>
                <w:rFonts w:hint="eastAsia"/>
                <w:color w:val="auto"/>
                <w:sz w:val="24"/>
              </w:rPr>
              <w:t>工程</w:t>
            </w:r>
          </w:p>
          <w:p w14:paraId="61434618">
            <w:pPr>
              <w:spacing w:line="360" w:lineRule="auto"/>
              <w:ind w:firstLine="480" w:firstLineChars="200"/>
              <w:rPr>
                <w:rFonts w:hint="eastAsia"/>
                <w:color w:val="auto"/>
                <w:sz w:val="24"/>
                <w:highlight w:val="yellow"/>
              </w:rPr>
            </w:pPr>
            <w:r>
              <w:rPr>
                <w:rFonts w:hint="eastAsia" w:ascii="Times New Roman" w:hAnsi="Times New Roman" w:eastAsia="宋体" w:cs="Times New Roman"/>
                <w:bCs/>
                <w:color w:val="auto"/>
                <w:sz w:val="24"/>
                <w:szCs w:val="24"/>
                <w:lang w:eastAsia="zh-CN"/>
              </w:rPr>
              <w:t>钻孔施工完成后按要求</w:t>
            </w:r>
            <w:r>
              <w:rPr>
                <w:rFonts w:hint="eastAsia" w:ascii="Times New Roman" w:hAnsi="Times New Roman" w:eastAsia="宋体" w:cs="Times New Roman"/>
                <w:bCs/>
                <w:color w:val="auto"/>
                <w:sz w:val="24"/>
                <w:szCs w:val="24"/>
                <w:lang w:val="en-US" w:eastAsia="zh-CN"/>
              </w:rPr>
              <w:t>安装井口防雷电接地装置后，</w:t>
            </w:r>
            <w:r>
              <w:rPr>
                <w:rFonts w:hint="default" w:ascii="Times New Roman" w:hAnsi="Times New Roman" w:eastAsia="宋体" w:cs="Times New Roman"/>
                <w:bCs/>
                <w:color w:val="auto"/>
                <w:sz w:val="24"/>
                <w:szCs w:val="24"/>
                <w:lang w:eastAsia="zh-CN"/>
              </w:rPr>
              <w:t>井口设立永久标志：包含井名、项目名称、开钻日期、完钻日期、完钻井深及施工单位名称等，拆除钻机并清理现场，</w:t>
            </w:r>
            <w:r>
              <w:rPr>
                <w:rFonts w:hint="eastAsia" w:ascii="Times New Roman" w:hAnsi="Times New Roman" w:eastAsia="宋体" w:cs="Times New Roman"/>
                <w:bCs/>
                <w:color w:val="auto"/>
                <w:sz w:val="24"/>
                <w:szCs w:val="24"/>
                <w:lang w:eastAsia="zh-CN"/>
              </w:rPr>
              <w:t>按照复垦方案对临时占地进行复垦，剥离的表土回填，恢复原有生态环境功能</w:t>
            </w:r>
            <w:r>
              <w:rPr>
                <w:rFonts w:hint="default"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eastAsia="zh-CN"/>
              </w:rPr>
              <w:t>复垦过程中会</w:t>
            </w:r>
            <w:r>
              <w:rPr>
                <w:rFonts w:hint="eastAsia" w:ascii="Times New Roman" w:hAnsi="Times New Roman" w:cs="Times New Roman"/>
                <w:sz w:val="24"/>
                <w:highlight w:val="none"/>
                <w:lang w:eastAsia="zh-CN"/>
              </w:rPr>
              <w:t>产生机械运行噪声、施工扬尘、少量</w:t>
            </w:r>
            <w:r>
              <w:rPr>
                <w:rFonts w:hint="default" w:ascii="Times New Roman" w:hAnsi="Times New Roman" w:cs="Times New Roman"/>
                <w:sz w:val="24"/>
                <w:highlight w:val="none"/>
              </w:rPr>
              <w:t>建筑垃圾。</w:t>
            </w:r>
          </w:p>
          <w:p w14:paraId="25EF928B">
            <w:p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4、施工时序及建设周期</w:t>
            </w:r>
          </w:p>
          <w:p w14:paraId="69C9B002">
            <w:pPr>
              <w:spacing w:line="360" w:lineRule="auto"/>
              <w:ind w:firstLine="480" w:firstLineChars="200"/>
              <w:rPr>
                <w:rFonts w:hint="default" w:ascii="Times New Roman" w:hAnsi="宋体" w:eastAsia="宋体" w:cs="Times New Roman"/>
                <w:color w:val="auto"/>
                <w:kern w:val="0"/>
                <w:sz w:val="24"/>
                <w:szCs w:val="24"/>
                <w:lang w:val="en-US"/>
              </w:rPr>
            </w:pPr>
            <w:r>
              <w:rPr>
                <w:rFonts w:hint="eastAsia"/>
                <w:color w:val="auto"/>
                <w:sz w:val="24"/>
                <w:lang w:val="en-US" w:eastAsia="zh-CN"/>
              </w:rPr>
              <w:t>本项目三个场地钻井工程同步施工，</w:t>
            </w:r>
            <w:r>
              <w:rPr>
                <w:rFonts w:hint="default"/>
                <w:color w:val="auto"/>
                <w:sz w:val="24"/>
                <w:lang w:val="en-US" w:eastAsia="zh-CN"/>
              </w:rPr>
              <w:t>计划 202</w:t>
            </w:r>
            <w:r>
              <w:rPr>
                <w:rFonts w:hint="eastAsia"/>
                <w:color w:val="auto"/>
                <w:sz w:val="24"/>
                <w:lang w:val="en-US" w:eastAsia="zh-CN"/>
              </w:rPr>
              <w:t>5</w:t>
            </w:r>
            <w:r>
              <w:rPr>
                <w:rFonts w:hint="default"/>
                <w:color w:val="auto"/>
                <w:sz w:val="24"/>
                <w:lang w:val="en-US" w:eastAsia="zh-CN"/>
              </w:rPr>
              <w:t>年</w:t>
            </w:r>
            <w:r>
              <w:rPr>
                <w:rFonts w:hint="eastAsia"/>
                <w:color w:val="auto"/>
                <w:sz w:val="24"/>
                <w:lang w:val="en-US" w:eastAsia="zh-CN"/>
              </w:rPr>
              <w:t>5</w:t>
            </w:r>
            <w:r>
              <w:rPr>
                <w:rFonts w:hint="default"/>
                <w:color w:val="auto"/>
                <w:sz w:val="24"/>
                <w:lang w:val="en-US" w:eastAsia="zh-CN"/>
              </w:rPr>
              <w:t>月开工，202</w:t>
            </w:r>
            <w:r>
              <w:rPr>
                <w:rFonts w:hint="eastAsia"/>
                <w:color w:val="auto"/>
                <w:sz w:val="24"/>
                <w:lang w:val="en-US" w:eastAsia="zh-CN"/>
              </w:rPr>
              <w:t>6</w:t>
            </w:r>
            <w:r>
              <w:rPr>
                <w:rFonts w:hint="default"/>
                <w:color w:val="auto"/>
                <w:sz w:val="24"/>
                <w:lang w:val="en-US" w:eastAsia="zh-CN"/>
              </w:rPr>
              <w:t>年</w:t>
            </w:r>
            <w:r>
              <w:rPr>
                <w:rFonts w:hint="eastAsia"/>
                <w:color w:val="auto"/>
                <w:sz w:val="24"/>
                <w:lang w:val="en-US" w:eastAsia="zh-CN"/>
              </w:rPr>
              <w:t>2</w:t>
            </w:r>
            <w:r>
              <w:rPr>
                <w:rFonts w:hint="default"/>
                <w:color w:val="auto"/>
                <w:sz w:val="24"/>
                <w:lang w:val="en-US" w:eastAsia="zh-CN"/>
              </w:rPr>
              <w:t>月完工</w:t>
            </w:r>
            <w:r>
              <w:rPr>
                <w:rFonts w:hint="eastAsia"/>
                <w:color w:val="auto"/>
                <w:sz w:val="24"/>
                <w:lang w:val="en-US" w:eastAsia="zh-CN"/>
              </w:rPr>
              <w:t>，</w:t>
            </w:r>
            <w:r>
              <w:rPr>
                <w:rFonts w:hint="eastAsia"/>
                <w:color w:val="auto"/>
                <w:sz w:val="24"/>
                <w:highlight w:val="none"/>
                <w:lang w:val="en-US" w:eastAsia="zh-CN"/>
              </w:rPr>
              <w:t>施工工期约10个月。</w:t>
            </w:r>
          </w:p>
        </w:tc>
      </w:tr>
      <w:tr w14:paraId="651E8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 w:type="pct"/>
            <w:vAlign w:val="center"/>
          </w:tcPr>
          <w:p w14:paraId="166E3052">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其他</w:t>
            </w:r>
          </w:p>
        </w:tc>
        <w:tc>
          <w:tcPr>
            <w:tcW w:w="4737" w:type="pct"/>
            <w:vAlign w:val="center"/>
          </w:tcPr>
          <w:p w14:paraId="7A9765CF">
            <w:pPr>
              <w:spacing w:line="360" w:lineRule="auto"/>
              <w:jc w:val="both"/>
              <w:rPr>
                <w:rFonts w:ascii="宋体" w:hAnsi="宋体" w:eastAsia="宋体" w:cs="宋体"/>
                <w:color w:val="auto"/>
                <w:kern w:val="0"/>
                <w:sz w:val="24"/>
                <w:szCs w:val="24"/>
              </w:rPr>
            </w:pPr>
          </w:p>
          <w:p w14:paraId="40291177">
            <w:pPr>
              <w:spacing w:line="360" w:lineRule="auto"/>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无</w:t>
            </w:r>
          </w:p>
          <w:p w14:paraId="7B9085F9">
            <w:pPr>
              <w:spacing w:line="360" w:lineRule="auto"/>
              <w:rPr>
                <w:rFonts w:ascii="宋体" w:hAnsi="宋体" w:eastAsia="宋体" w:cs="宋体"/>
                <w:color w:val="auto"/>
                <w:kern w:val="0"/>
                <w:sz w:val="24"/>
                <w:szCs w:val="24"/>
              </w:rPr>
            </w:pPr>
          </w:p>
        </w:tc>
      </w:tr>
    </w:tbl>
    <w:p w14:paraId="0517D713">
      <w:pPr>
        <w:widowControl/>
        <w:spacing w:before="100" w:beforeAutospacing="1" w:after="100" w:afterAutospacing="1"/>
        <w:jc w:val="center"/>
        <w:outlineLvl w:val="0"/>
        <w:rPr>
          <w:rFonts w:ascii="黑体" w:hAnsi="黑体" w:eastAsia="黑体" w:cs="Times New Roman"/>
          <w:snapToGrid w:val="0"/>
          <w:color w:val="auto"/>
          <w:kern w:val="0"/>
          <w:sz w:val="30"/>
          <w:szCs w:val="30"/>
        </w:rPr>
      </w:pPr>
      <w:r>
        <w:rPr>
          <w:rFonts w:ascii="宋体" w:hAnsi="宋体" w:eastAsia="仿宋_GB2312" w:cs="Times New Roman"/>
          <w:b/>
          <w:bCs/>
          <w:color w:val="auto"/>
          <w:kern w:val="0"/>
          <w:sz w:val="24"/>
          <w:szCs w:val="20"/>
        </w:rPr>
        <w:br w:type="page"/>
      </w:r>
      <w:r>
        <w:rPr>
          <w:rFonts w:hint="eastAsia" w:ascii="黑体" w:hAnsi="黑体" w:eastAsia="黑体" w:cs="Times New Roman"/>
          <w:snapToGrid w:val="0"/>
          <w:color w:val="auto"/>
          <w:kern w:val="0"/>
          <w:sz w:val="30"/>
          <w:szCs w:val="30"/>
        </w:rPr>
        <w:t>三、生态环境现状、保护目标及评价标准</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026"/>
      </w:tblGrid>
      <w:tr w14:paraId="69FDC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92" w:type="pct"/>
            <w:vAlign w:val="center"/>
          </w:tcPr>
          <w:p w14:paraId="5CE395B9">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生态环境现状</w:t>
            </w:r>
          </w:p>
        </w:tc>
        <w:tc>
          <w:tcPr>
            <w:tcW w:w="4707" w:type="pct"/>
            <w:vAlign w:val="center"/>
          </w:tcPr>
          <w:p w14:paraId="46790603">
            <w:pPr>
              <w:tabs>
                <w:tab w:val="left" w:pos="0"/>
              </w:tabs>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1、生态环境</w:t>
            </w:r>
          </w:p>
          <w:p w14:paraId="16DC063C">
            <w:pPr>
              <w:spacing w:line="360" w:lineRule="auto"/>
              <w:ind w:firstLine="48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（1）主体功能区划</w:t>
            </w:r>
          </w:p>
          <w:p w14:paraId="155193C4">
            <w:pPr>
              <w:tabs>
                <w:tab w:val="left" w:pos="0"/>
              </w:tabs>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kern w:val="2"/>
                <w:sz w:val="24"/>
                <w:szCs w:val="24"/>
                <w:highlight w:val="none"/>
                <w:lang w:val="en-US" w:eastAsia="zh-CN" w:bidi="ar-SA"/>
              </w:rPr>
              <w:t>根据《安徽省主体功能区规划》，</w:t>
            </w:r>
            <w:r>
              <w:rPr>
                <w:rFonts w:hint="eastAsia" w:ascii="Times New Roman" w:hAnsi="Times New Roman" w:eastAsia="宋体" w:cs="Times New Roman"/>
                <w:bCs/>
                <w:color w:val="auto"/>
                <w:sz w:val="24"/>
                <w:szCs w:val="24"/>
              </w:rPr>
              <w:t>本项目所在的潘集区为省主体功能区规划中的省重点开发区域。</w:t>
            </w:r>
          </w:p>
          <w:p w14:paraId="31AD75C8">
            <w:pPr>
              <w:pStyle w:val="97"/>
              <w:numPr>
                <w:ilvl w:val="1"/>
                <w:numId w:val="2"/>
              </w:numPr>
              <w:spacing w:line="240" w:lineRule="auto"/>
              <w:ind w:left="3300" w:leftChars="0" w:hanging="2240" w:firstLineChars="0"/>
              <w:jc w:val="center"/>
              <w:rPr>
                <w:rFonts w:ascii="Times New Roman" w:hAnsi="黑体" w:eastAsia="黑体" w:cs="Times New Roman"/>
                <w:bCs/>
                <w:color w:val="auto"/>
                <w:sz w:val="24"/>
                <w:szCs w:val="24"/>
              </w:rPr>
            </w:pPr>
            <w:r>
              <w:rPr>
                <w:rFonts w:ascii="Times New Roman" w:hAnsi="Times New Roman" w:eastAsia="黑体" w:cs="Times New Roman"/>
                <w:bCs/>
                <w:color w:val="auto"/>
                <w:sz w:val="24"/>
                <w:szCs w:val="24"/>
              </w:rPr>
              <w:t xml:space="preserve"> </w:t>
            </w:r>
            <w:r>
              <w:rPr>
                <w:rFonts w:hint="eastAsia" w:ascii="宋体" w:hAnsi="宋体" w:eastAsia="宋体" w:cs="宋体"/>
                <w:bCs/>
                <w:color w:val="auto"/>
                <w:sz w:val="24"/>
                <w:szCs w:val="24"/>
              </w:rPr>
              <w:t>项目区域主体功能区类型</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23"/>
              <w:gridCol w:w="2082"/>
              <w:gridCol w:w="2082"/>
              <w:gridCol w:w="1823"/>
            </w:tblGrid>
            <w:tr w14:paraId="505ED3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500" w:type="pct"/>
                  <w:gridSpan w:val="2"/>
                  <w:noWrap w:val="0"/>
                  <w:vAlign w:val="center"/>
                </w:tcPr>
                <w:p w14:paraId="1941D28C">
                  <w:pPr>
                    <w:tabs>
                      <w:tab w:val="left" w:pos="0"/>
                    </w:tabs>
                    <w:spacing w:line="276" w:lineRule="auto"/>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主体功能区类型</w:t>
                  </w:r>
                </w:p>
              </w:tc>
              <w:tc>
                <w:tcPr>
                  <w:tcW w:w="1333" w:type="pct"/>
                  <w:noWrap w:val="0"/>
                  <w:vAlign w:val="center"/>
                </w:tcPr>
                <w:p w14:paraId="151EE646">
                  <w:pPr>
                    <w:tabs>
                      <w:tab w:val="left" w:pos="0"/>
                    </w:tabs>
                    <w:spacing w:line="276" w:lineRule="auto"/>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片区</w:t>
                  </w:r>
                </w:p>
              </w:tc>
              <w:tc>
                <w:tcPr>
                  <w:tcW w:w="1167" w:type="pct"/>
                  <w:noWrap w:val="0"/>
                  <w:vAlign w:val="center"/>
                </w:tcPr>
                <w:p w14:paraId="203FE3C1">
                  <w:pPr>
                    <w:tabs>
                      <w:tab w:val="left" w:pos="0"/>
                    </w:tabs>
                    <w:spacing w:line="276" w:lineRule="auto"/>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范围</w:t>
                  </w:r>
                </w:p>
              </w:tc>
            </w:tr>
            <w:tr w14:paraId="549BF8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4" w:hRule="atLeast"/>
              </w:trPr>
              <w:tc>
                <w:tcPr>
                  <w:tcW w:w="1167" w:type="pct"/>
                  <w:noWrap w:val="0"/>
                  <w:vAlign w:val="center"/>
                </w:tcPr>
                <w:p w14:paraId="162EA1F3">
                  <w:pPr>
                    <w:tabs>
                      <w:tab w:val="left" w:pos="0"/>
                    </w:tabs>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重点开发区域</w:t>
                  </w:r>
                </w:p>
              </w:tc>
              <w:tc>
                <w:tcPr>
                  <w:tcW w:w="1333" w:type="pct"/>
                  <w:noWrap w:val="0"/>
                  <w:vAlign w:val="center"/>
                </w:tcPr>
                <w:p w14:paraId="2FAF51D8">
                  <w:pPr>
                    <w:tabs>
                      <w:tab w:val="left" w:pos="0"/>
                    </w:tabs>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省重点开发区域</w:t>
                  </w:r>
                </w:p>
              </w:tc>
              <w:tc>
                <w:tcPr>
                  <w:tcW w:w="1333" w:type="pct"/>
                  <w:noWrap w:val="0"/>
                  <w:vAlign w:val="center"/>
                </w:tcPr>
                <w:p w14:paraId="6B5078B6">
                  <w:pPr>
                    <w:tabs>
                      <w:tab w:val="left" w:pos="0"/>
                    </w:tabs>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淮（南）蚌片区</w:t>
                  </w:r>
                </w:p>
              </w:tc>
              <w:tc>
                <w:tcPr>
                  <w:tcW w:w="1167" w:type="pct"/>
                  <w:noWrap w:val="0"/>
                  <w:vAlign w:val="center"/>
                </w:tcPr>
                <w:p w14:paraId="3FADA8F3">
                  <w:pPr>
                    <w:tabs>
                      <w:tab w:val="left" w:pos="0"/>
                    </w:tabs>
                    <w:spacing w:line="276"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淮南市潘集区</w:t>
                  </w:r>
                </w:p>
              </w:tc>
            </w:tr>
          </w:tbl>
          <w:p w14:paraId="63A173FC">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本项目所处的淮（南）蚌片区是皖北城镇群的重要节点城市，包括淮南市5个市辖区和蚌埠市4个市辖区。</w:t>
            </w:r>
          </w:p>
          <w:p w14:paraId="0E36E645">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功能定位：全国重要的能源基地、先进制造业基地、煤化工及化工新材料基地和创新基地，全国重要的商品粮基地和农副产品加工基地，全省重要的生物医药基地。</w:t>
            </w:r>
          </w:p>
          <w:p w14:paraId="6F940DFE">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加快蚌埠区域性中心城市建设，形成以市区为中心、县城为骨干、中心镇为节点的城镇体系；加强交通等基础设施规划和建设，巩固提升区域性综合交通枢纽地位。加快淮南资源枯竭型城市转型，优化城市空间布局，强化城市基础设施支撑能力，建设成为沿淮经济带重要的现代化大城市。</w:t>
            </w:r>
          </w:p>
          <w:p w14:paraId="40AF6864">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——加强重点产业基地建设，培育壮大机械制造、新能源汽车及汽车零部件、煤化工及化工新材料、硅基新材料基地、商贸物流及电子信息、新能源等产业。</w:t>
            </w:r>
          </w:p>
          <w:p w14:paraId="698BEF93">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——大力发展都市农业，兴建具有观光农业、休闲农业等功能的农业科技园（区）。推进采煤塌陷区综合治理及土地复垦。</w:t>
            </w:r>
          </w:p>
          <w:p w14:paraId="005DF3FF">
            <w:pPr>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kern w:val="2"/>
                <w:sz w:val="24"/>
                <w:szCs w:val="24"/>
                <w:highlight w:val="none"/>
                <w:lang w:val="en-US" w:eastAsia="zh-CN" w:bidi="ar-SA"/>
              </w:rPr>
              <w:t>生态功能区划</w:t>
            </w:r>
          </w:p>
          <w:p w14:paraId="64696EF6">
            <w:pPr>
              <w:spacing w:line="360" w:lineRule="auto"/>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根据原环保部、中国科学院制定的《全国生态功能区规划（修编版）》，项目所在区域位于产品提供功能区---II-01-15黄淮平原农产品提供功能区。</w:t>
            </w:r>
          </w:p>
          <w:p w14:paraId="7BEC0EB9">
            <w:pPr>
              <w:spacing w:line="360" w:lineRule="auto"/>
              <w:ind w:firstLine="480"/>
              <w:rPr>
                <w:rFonts w:hint="eastAsia" w:ascii="Times New Roman" w:hAnsi="Times New Roman" w:eastAsia="宋体" w:cs="Times New Roman"/>
                <w:b w:val="0"/>
                <w:color w:val="auto"/>
                <w:spacing w:val="0"/>
                <w:kern w:val="2"/>
                <w:sz w:val="24"/>
                <w:szCs w:val="24"/>
                <w:highlight w:val="none"/>
                <w:lang w:val="en-US" w:eastAsia="zh-CN" w:bidi="ar-SA"/>
              </w:rPr>
            </w:pPr>
            <w:r>
              <w:rPr>
                <w:rFonts w:hint="eastAsia" w:ascii="Times New Roman" w:hAnsi="Times New Roman" w:eastAsia="宋体" w:cs="Times New Roman"/>
                <w:b w:val="0"/>
                <w:color w:val="auto"/>
                <w:spacing w:val="0"/>
                <w:kern w:val="2"/>
                <w:sz w:val="24"/>
                <w:szCs w:val="24"/>
                <w:highlight w:val="none"/>
                <w:lang w:val="en-US" w:eastAsia="zh-CN" w:bidi="ar-SA"/>
              </w:rPr>
              <w:t>本区地貌以平原为主，丘岗嵌于其中，海拔最高处为241m。本生态功能区内潴育水稻土、黄潮土和黄褐土广泛分布，在丘岗区有石灰岩土分布，部分地区裸岩出露，石材开采盛行。耕作制度多为一年两熟为主，主要农作物有水稻、小麦等，经济作物有油菜、花生等。丘岗地区分布有地带性天然次生林，主要包括暖温带落叶阔叶林、暖温带针叶林和北亚热带针叶林等。该生态功能区的煤资源已进行了大规模开采，采空后塌陷区已成为区主要生态环境问题之一。由于农业生产所需要的水热土等条件相对较好，本区也是重要的农业生产区，但容易受洪涝等灾害干扰。</w:t>
            </w:r>
          </w:p>
          <w:p w14:paraId="2646E255">
            <w:pPr>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（3）土地利用现状</w:t>
            </w:r>
          </w:p>
          <w:p w14:paraId="6F3B349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施工总占地面积</w:t>
            </w:r>
            <w:r>
              <w:rPr>
                <w:rFonts w:hint="eastAsia" w:ascii="Times New Roman" w:hAnsi="Times New Roman" w:eastAsia="宋体" w:cs="Times New Roman"/>
                <w:color w:val="auto"/>
                <w:sz w:val="24"/>
                <w:szCs w:val="24"/>
                <w:lang w:val="en-US" w:eastAsia="zh-CN"/>
              </w:rPr>
              <w:t>15107</w:t>
            </w:r>
            <w:r>
              <w:rPr>
                <w:rFonts w:hint="default" w:ascii="Times New Roman" w:hAnsi="Times New Roman" w:eastAsia="宋体" w:cs="Times New Roman"/>
                <w:color w:val="auto"/>
                <w:sz w:val="24"/>
                <w:szCs w:val="24"/>
                <w:lang w:val="en-US" w:eastAsia="zh-CN"/>
              </w:rPr>
              <w:t>平方，</w:t>
            </w:r>
            <w:r>
              <w:rPr>
                <w:rFonts w:hint="eastAsia" w:ascii="Times New Roman" w:hAnsi="Times New Roman" w:eastAsia="宋体" w:cs="Times New Roman"/>
                <w:color w:val="auto"/>
                <w:sz w:val="24"/>
                <w:szCs w:val="24"/>
                <w:lang w:val="en-US" w:eastAsia="zh-CN"/>
              </w:rPr>
              <w:t>均为潘集区潘集镇小圩村</w:t>
            </w:r>
            <w:r>
              <w:rPr>
                <w:rFonts w:hint="default" w:ascii="Times New Roman" w:hAnsi="Times New Roman" w:eastAsia="宋体" w:cs="Times New Roman"/>
                <w:color w:val="auto"/>
                <w:sz w:val="24"/>
                <w:szCs w:val="24"/>
                <w:lang w:val="en-US" w:eastAsia="zh-CN"/>
              </w:rPr>
              <w:t>境内集体土地</w:t>
            </w:r>
            <w:r>
              <w:rPr>
                <w:rFonts w:hint="eastAsia" w:ascii="Times New Roman" w:hAnsi="Times New Roman" w:eastAsia="宋体" w:cs="Times New Roman"/>
                <w:color w:val="auto"/>
                <w:sz w:val="24"/>
                <w:szCs w:val="24"/>
                <w:lang w:val="en-US" w:eastAsia="zh-CN"/>
              </w:rPr>
              <w:t>，用地性质为农用地，现状种植当季农作物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临时用地</w:t>
            </w:r>
            <w:r>
              <w:rPr>
                <w:rFonts w:hint="default" w:ascii="Times New Roman" w:hAnsi="Times New Roman" w:eastAsia="宋体" w:cs="Times New Roman"/>
                <w:color w:val="auto"/>
                <w:sz w:val="24"/>
                <w:szCs w:val="24"/>
                <w:lang w:eastAsia="zh-CN"/>
              </w:rPr>
              <w:t>已</w:t>
            </w:r>
            <w:r>
              <w:rPr>
                <w:rFonts w:hint="default" w:ascii="Times New Roman" w:hAnsi="Times New Roman" w:eastAsia="宋体" w:cs="Times New Roman"/>
                <w:color w:val="auto"/>
                <w:sz w:val="24"/>
                <w:szCs w:val="24"/>
              </w:rPr>
              <w:t>取得了</w:t>
            </w:r>
            <w:r>
              <w:rPr>
                <w:rFonts w:hint="eastAsia" w:ascii="Times New Roman" w:hAnsi="Times New Roman" w:eastAsia="宋体" w:cs="Times New Roman"/>
                <w:color w:val="auto"/>
                <w:sz w:val="24"/>
                <w:szCs w:val="24"/>
                <w:lang w:eastAsia="zh-CN"/>
              </w:rPr>
              <w:t>淮南市</w:t>
            </w:r>
            <w:r>
              <w:rPr>
                <w:rFonts w:hint="default" w:ascii="Times New Roman" w:hAnsi="Times New Roman" w:eastAsia="宋体" w:cs="Times New Roman"/>
                <w:color w:val="auto"/>
                <w:sz w:val="24"/>
                <w:szCs w:val="24"/>
              </w:rPr>
              <w:t>自然资源和规划局出具的项目临时用地批复，临时用地期限为2年。</w:t>
            </w:r>
          </w:p>
          <w:p w14:paraId="1E542FC8">
            <w:pPr>
              <w:spacing w:line="360" w:lineRule="auto"/>
              <w:jc w:val="center"/>
            </w:pPr>
            <w:r>
              <w:drawing>
                <wp:inline distT="0" distB="0" distL="114300" distR="114300">
                  <wp:extent cx="4068445" cy="4132580"/>
                  <wp:effectExtent l="0" t="0" r="8255"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1"/>
                          <a:stretch>
                            <a:fillRect/>
                          </a:stretch>
                        </pic:blipFill>
                        <pic:spPr>
                          <a:xfrm>
                            <a:off x="0" y="0"/>
                            <a:ext cx="4068445" cy="4132580"/>
                          </a:xfrm>
                          <a:prstGeom prst="rect">
                            <a:avLst/>
                          </a:prstGeom>
                          <a:noFill/>
                          <a:ln>
                            <a:noFill/>
                          </a:ln>
                        </pic:spPr>
                      </pic:pic>
                    </a:graphicData>
                  </a:graphic>
                </wp:inline>
              </w:drawing>
            </w:r>
          </w:p>
          <w:p w14:paraId="76ECC5AC">
            <w:pPr>
              <w:numPr>
                <w:ilvl w:val="0"/>
                <w:numId w:val="3"/>
              </w:numPr>
              <w:spacing w:line="360" w:lineRule="auto"/>
              <w:ind w:left="0" w:leftChars="0" w:firstLine="560" w:firstLineChars="0"/>
              <w:jc w:val="center"/>
              <w:rPr>
                <w:rFonts w:hint="default"/>
                <w:lang w:val="en-US" w:eastAsia="zh-CN"/>
              </w:rPr>
            </w:pPr>
            <w:r>
              <w:rPr>
                <w:rFonts w:hint="eastAsia"/>
                <w:lang w:val="en-US" w:eastAsia="zh-CN"/>
              </w:rPr>
              <w:t xml:space="preserve">   1#场地现状图</w:t>
            </w:r>
          </w:p>
          <w:p w14:paraId="6423EE13">
            <w:pPr>
              <w:spacing w:line="360" w:lineRule="auto"/>
              <w:rPr>
                <w:rFonts w:hint="eastAsia" w:ascii="Times New Roman" w:hAnsi="Times New Roman" w:eastAsia="宋体" w:cs="Times New Roman"/>
                <w:color w:val="auto"/>
                <w:sz w:val="24"/>
                <w:szCs w:val="24"/>
                <w:lang w:eastAsia="zh-CN"/>
              </w:rPr>
            </w:pPr>
            <w:r>
              <w:drawing>
                <wp:inline distT="0" distB="0" distL="114300" distR="114300">
                  <wp:extent cx="4953000" cy="4714875"/>
                  <wp:effectExtent l="0" t="0" r="0"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4953000" cy="4714875"/>
                          </a:xfrm>
                          <a:prstGeom prst="rect">
                            <a:avLst/>
                          </a:prstGeom>
                          <a:noFill/>
                          <a:ln>
                            <a:noFill/>
                          </a:ln>
                        </pic:spPr>
                      </pic:pic>
                    </a:graphicData>
                  </a:graphic>
                </wp:inline>
              </w:drawing>
            </w:r>
          </w:p>
          <w:p w14:paraId="4B7958A0">
            <w:pPr>
              <w:numPr>
                <w:ilvl w:val="0"/>
                <w:numId w:val="3"/>
              </w:numPr>
              <w:spacing w:line="360" w:lineRule="auto"/>
              <w:ind w:left="0" w:leftChars="0" w:firstLine="56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2#场地现状图</w:t>
            </w:r>
          </w:p>
          <w:p w14:paraId="32B7950C">
            <w:pPr>
              <w:spacing w:line="360" w:lineRule="auto"/>
              <w:rPr>
                <w:rFonts w:hint="eastAsia" w:ascii="Times New Roman" w:hAnsi="Times New Roman" w:eastAsia="宋体" w:cs="Times New Roman"/>
                <w:color w:val="auto"/>
                <w:sz w:val="24"/>
                <w:szCs w:val="24"/>
                <w:lang w:eastAsia="zh-CN"/>
              </w:rPr>
            </w:pPr>
            <w:r>
              <w:drawing>
                <wp:inline distT="0" distB="0" distL="114300" distR="114300">
                  <wp:extent cx="4956175" cy="4229735"/>
                  <wp:effectExtent l="0" t="0" r="15875"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3"/>
                          <a:stretch>
                            <a:fillRect/>
                          </a:stretch>
                        </pic:blipFill>
                        <pic:spPr>
                          <a:xfrm>
                            <a:off x="0" y="0"/>
                            <a:ext cx="4956175" cy="4229735"/>
                          </a:xfrm>
                          <a:prstGeom prst="rect">
                            <a:avLst/>
                          </a:prstGeom>
                          <a:noFill/>
                          <a:ln>
                            <a:noFill/>
                          </a:ln>
                        </pic:spPr>
                      </pic:pic>
                    </a:graphicData>
                  </a:graphic>
                </wp:inline>
              </w:drawing>
            </w:r>
          </w:p>
          <w:p w14:paraId="434D8751">
            <w:pPr>
              <w:numPr>
                <w:ilvl w:val="0"/>
                <w:numId w:val="3"/>
              </w:numPr>
              <w:spacing w:line="360" w:lineRule="auto"/>
              <w:ind w:left="0" w:leftChars="0" w:firstLine="560" w:firstLineChars="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3 #场地现状图</w:t>
            </w:r>
          </w:p>
          <w:p w14:paraId="1B216442">
            <w:pPr>
              <w:spacing w:line="360" w:lineRule="auto"/>
              <w:ind w:firstLine="480" w:firstLineChars="200"/>
              <w:rPr>
                <w:rFonts w:hint="default" w:ascii="Times New Roman" w:hAnsi="Times New Roman" w:eastAsia="宋体" w:cs="Times New Roman"/>
                <w:color w:val="auto"/>
                <w:kern w:val="2"/>
                <w:sz w:val="24"/>
                <w:szCs w:val="24"/>
                <w:highlight w:val="none"/>
                <w:lang w:val="sq-AL" w:eastAsia="zh-CN" w:bidi="ar-SA"/>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
                <w:sz w:val="24"/>
                <w:szCs w:val="24"/>
                <w:highlight w:val="none"/>
                <w:lang w:val="sq-AL" w:eastAsia="zh-CN" w:bidi="ar-SA"/>
              </w:rPr>
              <w:t>土壤、</w:t>
            </w:r>
          </w:p>
          <w:p w14:paraId="47116E4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2"/>
                <w:sz w:val="24"/>
                <w:szCs w:val="24"/>
                <w:highlight w:val="none"/>
                <w:lang w:val="en-US" w:eastAsia="zh-CN" w:bidi="ar-SA"/>
              </w:rPr>
              <w:t>项目区地处淮河中游，</w:t>
            </w:r>
            <w:r>
              <w:rPr>
                <w:rFonts w:hint="default" w:ascii="Times New Roman" w:hAnsi="Times New Roman" w:eastAsia="宋体" w:cs="Times New Roman"/>
                <w:color w:val="auto"/>
                <w:kern w:val="0"/>
                <w:sz w:val="24"/>
                <w:szCs w:val="24"/>
                <w:lang w:val="en-US" w:eastAsia="zh-CN" w:bidi="ar"/>
              </w:rPr>
              <w:t>地势平坦，形态单一</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根据《安徽土壤》和本次实际调查可知，从成土因素和成土过程分析，</w:t>
            </w:r>
            <w:r>
              <w:rPr>
                <w:rFonts w:hint="default" w:ascii="Times New Roman" w:hAnsi="Times New Roman"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US" w:eastAsia="zh-CN" w:bidi="ar"/>
              </w:rPr>
              <w:t>区域土壤类型主要为砂礓淤土和砂礓黄土，其次为黄白土、 潮马肝土、澄白土田。</w:t>
            </w:r>
          </w:p>
          <w:p w14:paraId="5A402CB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2"/>
                <w:sz w:val="24"/>
                <w:szCs w:val="24"/>
                <w:highlight w:val="none"/>
                <w:lang w:val="sq-AL" w:eastAsia="zh-CN" w:bidi="ar-SA"/>
              </w:rPr>
              <w:t>植被类型</w:t>
            </w:r>
          </w:p>
          <w:p w14:paraId="57C37A8F">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项目区域位于我国东部暖温带半湿润季风气候区，具有典型的南北、海陆过渡性气候特征，自然条件表现为暖温带向亚热带过渡的特点，植被区划隶属于暖温带落叶阔叶林区，地带性植被类型为落叶阔叶林。由于受长期人类活动和耕作的影响，区域内自然生态系统不复存在，自然植被分布面积极少，仅在受人为因素干扰较小的荒地、河滩地等局部区域存在少量自然植被，生态系统结构较为简单，农田生态系统占绝对优势，基本上能维持动态平衡。 </w:t>
            </w:r>
          </w:p>
          <w:p w14:paraId="6FC67964">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项目区域植被以人工植被为主，主要包括农作物植被和林业植被两种类型，其中农作物植被占绝对优势，遍布于整个评价区，林业植被数量较小，呈斑块状分布在村庄及周边或条带状与农田植被镶嵌分布。</w:t>
            </w:r>
          </w:p>
          <w:p w14:paraId="543DBCD9">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农作物以水稻、小麦、大豆、薯类等为主，间有少量的油菜、麻类、花生、棉花等经济作物和林果等，形成水稻－小麦、小麦－大豆、小麦－薯类为主的一年两熟制， 局部有水稻－小麦－绿肥两年三熟的耕作制度。区内农业生产条件较好，但目前机械化生产水平较低，平均亩产量在 450kg 左右，仍有一定的增产潜力。 </w:t>
            </w:r>
          </w:p>
          <w:p w14:paraId="2F8CE817">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项目区内的林业以人工营造的农田防护林及路旁、渠旁、水旁和村旁的“四旁”绿化为主，林网类型较为简单、缺乏完整性。农田林网主要树种为杨树，部分为杨树和楝树为主，灌区两岸的个别地段树种组成较为丰富，村镇及矿区绿化树种多样，沿河两岸和塌陷区的低湿滩地分布有芦苇、杂草等天然植物群落。区内的乔木、灌木和草本植物以华北植物区系为主，未见外来入侵植物。 </w:t>
            </w:r>
          </w:p>
          <w:p w14:paraId="61E48B8E">
            <w:pPr>
              <w:numPr>
                <w:ilvl w:val="0"/>
                <w:numId w:val="6"/>
              </w:numPr>
              <w:spacing w:line="360" w:lineRule="auto"/>
              <w:ind w:left="-60" w:leftChars="0" w:firstLine="480" w:firstLineChars="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sq-AL" w:eastAsia="zh-CN" w:bidi="ar-SA"/>
              </w:rPr>
              <w:t>野生动物</w:t>
            </w:r>
          </w:p>
          <w:p w14:paraId="55ACADC8">
            <w:pPr>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中国动物地理划分》上，安徽省淮河以北的淮河流域属古北界华北区的黄淮平原亚区，其生态地理动物群属温带森林——森林平原、农田动物群。在组成与结构比较简单的生态境域中，动物种类比较贫乏，区域范围内有大面积塌陷，动物种类较少。 根据现场调查，本项目区域未见国家及省级重点保护的野生濒危动物</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没有大型野生动物，仅有少量鸟类、鼠类以及各种昆虫等小型动物。</w:t>
            </w:r>
          </w:p>
          <w:p w14:paraId="1F927537">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cs="Times New Roman"/>
                <w:b/>
                <w:bCs/>
                <w:color w:val="auto"/>
                <w:sz w:val="24"/>
              </w:rPr>
              <w:t>2、</w:t>
            </w:r>
            <w:r>
              <w:rPr>
                <w:rFonts w:hint="default" w:ascii="Times New Roman" w:hAnsi="Times New Roman" w:cs="Times New Roman"/>
                <w:b/>
                <w:bCs/>
                <w:color w:val="auto"/>
                <w:sz w:val="24"/>
                <w:lang w:val="en-US" w:eastAsia="zh-CN"/>
              </w:rPr>
              <w:t>地形地貌</w:t>
            </w:r>
          </w:p>
          <w:p w14:paraId="49E1A49A">
            <w:pPr>
              <w:tabs>
                <w:tab w:val="left" w:pos="0"/>
              </w:tabs>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潘集区地层属华北地层区，经长期地质作用，发育为寒武系、奥陶系、二迭系、三迭系等，以上地层均被第四系表土层所覆盖，厚度在1201~564米之间。由于表土层厚，且夹有多层流沙层，含水量大。</w:t>
            </w:r>
          </w:p>
          <w:p w14:paraId="4F8773FD">
            <w:pPr>
              <w:tabs>
                <w:tab w:val="left" w:pos="0"/>
              </w:tabs>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区境地处黄淮平原的南端，地貌为西北高，东南低，坡度缓，坡降为五千分之一，海拔在18—22米之间，最高点为贺疃乡的古路岗，海拔23.86米，最低点为高皇镇的汤渔湖，海拔为16.9米。区境由于河道变迁，历次黄、淮泥沙泛滥淤积，地形多为河谷淤积平原和不规则的土阜岗头。</w:t>
            </w:r>
          </w:p>
          <w:p w14:paraId="5AF87511">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rPr>
            </w:pPr>
            <w:r>
              <w:rPr>
                <w:rFonts w:hint="eastAsia" w:ascii="宋体" w:hAnsi="宋体" w:cs="宋体"/>
                <w:color w:val="auto"/>
                <w:kern w:val="0"/>
                <w:sz w:val="24"/>
                <w:szCs w:val="24"/>
                <w:lang w:val="en-US" w:eastAsia="zh-CN" w:bidi="ar"/>
              </w:rPr>
              <w:t>项目区</w:t>
            </w:r>
            <w:r>
              <w:rPr>
                <w:rFonts w:hint="eastAsia" w:ascii="宋体" w:hAnsi="宋体" w:eastAsia="宋体" w:cs="宋体"/>
                <w:color w:val="auto"/>
                <w:kern w:val="0"/>
                <w:sz w:val="24"/>
                <w:szCs w:val="24"/>
                <w:lang w:val="en-US" w:eastAsia="zh-CN" w:bidi="ar"/>
              </w:rPr>
              <w:t>位于淮南市中北部边缘，地处淮河冲积平原，地形平坦，地面标高一般为</w:t>
            </w:r>
            <w:r>
              <w:rPr>
                <w:rFonts w:hint="default" w:ascii="Times New Roman" w:hAnsi="Times New Roman" w:eastAsia="宋体" w:cs="Times New Roman"/>
                <w:color w:val="auto"/>
                <w:kern w:val="0"/>
                <w:sz w:val="24"/>
                <w:szCs w:val="24"/>
                <w:lang w:val="en-US" w:eastAsia="zh-CN" w:bidi="ar"/>
              </w:rPr>
              <w:t>+20.50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+23.40m</w:t>
            </w:r>
            <w:r>
              <w:rPr>
                <w:rFonts w:hint="eastAsia" w:ascii="宋体" w:hAnsi="宋体" w:eastAsia="宋体" w:cs="宋体"/>
                <w:color w:val="auto"/>
                <w:kern w:val="0"/>
                <w:sz w:val="24"/>
                <w:szCs w:val="24"/>
                <w:lang w:val="en-US" w:eastAsia="zh-CN" w:bidi="ar"/>
              </w:rPr>
              <w:t>，总体呈西北高东南低的趋势。</w:t>
            </w:r>
          </w:p>
          <w:p w14:paraId="7B214407">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3、气候、气象</w:t>
            </w:r>
          </w:p>
          <w:p w14:paraId="7E76F8A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项目所在地</w:t>
            </w:r>
            <w:r>
              <w:rPr>
                <w:rFonts w:hint="default" w:ascii="Times New Roman" w:hAnsi="Times New Roman" w:eastAsia="宋体" w:cs="Times New Roman"/>
                <w:color w:val="auto"/>
                <w:sz w:val="24"/>
              </w:rPr>
              <w:t>属于暖温带半湿润季风气候区。气候特征主要表现为：春温多变，夏雨集中，秋高气爽，冬季干冷，季风显著，四季分明。</w:t>
            </w:r>
          </w:p>
          <w:p w14:paraId="588F490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据淮南市气象台资料：多年平均气温15.5℃，极端最高气温41.4℃（1959年8月24日），极端最低能气温-22.8℃（1966年1月31日）；多年平均降水量为928mm，最大年降水量1723.5mm，最小年降水量471.9mm，降水主要集中在每年的6~8月，约占全年降水量的45%；多年平均蒸发量1610.14mm（水面），最大年2008.1mm（1958 年），最小年1261.2mm（1980年）；多年平均相对湿度72％；全年日照时数最多年份为2609.9小时，最少年份为1960.8小时，平均为2279.2小时；年平均风速在1.9～3.7米/秒之间，平均值是2.8米/秒；无霜期最长261天，最短179天，平均223.7天。</w:t>
            </w:r>
          </w:p>
          <w:p w14:paraId="4449EF45">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4、水文状况</w:t>
            </w:r>
          </w:p>
          <w:p w14:paraId="5275DE6C">
            <w:pPr>
              <w:tabs>
                <w:tab w:val="left" w:pos="0"/>
              </w:tabs>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项目区附近区域的地表水体主要有黑河和泥河，均属淮河水系，其中泥河为淮河一级支流，区内有纵横交错的农灌沟渠，形成篦状农灌水系。 </w:t>
            </w:r>
          </w:p>
          <w:p w14:paraId="1544631E">
            <w:pPr>
              <w:tabs>
                <w:tab w:val="left" w:pos="0"/>
              </w:tabs>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淮河起源于河南省桐柏县桐柏山麓，由西北向东南流经河南、安徽、江苏三省，干流全长约 1000km。淮河淮南段长 87km，河道宽一般为 250～400m；年平均径流量755.5m3 /s，最大流量 12700m3 /s，最小流量 0.5m3 /s；历史最高水位+25.63m(1954年7月29日)，最低水位+12.36m，一般水位在+15.00m 左右。淮河淮南段水体功能规划为生活饮用水源、工业用水和农业用水。 </w:t>
            </w:r>
          </w:p>
          <w:p w14:paraId="70262892">
            <w:pPr>
              <w:tabs>
                <w:tab w:val="left" w:pos="0"/>
              </w:tabs>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泥河发源于淮南市凤台县米集，全长 67km，流域面积 606km</w:t>
            </w:r>
            <w:r>
              <w:rPr>
                <w:rFonts w:hint="eastAsia" w:ascii="Times New Roman" w:hAnsi="Times New Roman" w:eastAsia="宋体" w:cs="Times New Roman"/>
                <w:bCs/>
                <w:color w:val="auto"/>
                <w:sz w:val="24"/>
                <w:szCs w:val="24"/>
                <w:vertAlign w:val="superscript"/>
                <w:lang w:val="en-US" w:eastAsia="zh-CN"/>
              </w:rPr>
              <w:t>2</w:t>
            </w:r>
            <w:r>
              <w:rPr>
                <w:rFonts w:hint="eastAsia" w:ascii="Times New Roman" w:hAnsi="Times New Roman" w:eastAsia="宋体" w:cs="Times New Roman"/>
                <w:bCs/>
                <w:color w:val="auto"/>
                <w:sz w:val="24"/>
                <w:szCs w:val="24"/>
                <w:lang w:val="en-US" w:eastAsia="zh-CN"/>
              </w:rPr>
              <w:t xml:space="preserve">，自西北向东南方向流经潘谢矿区丁集、潘三、潘一井田，是淮南市潘集区的主要纳污水体，与黑河汇流后经青年闸注入淮河。泥河河道上游狭窄，下游宽达 500～600m，并受淮河水位控制，漫溢时宽度扩张到 800～1200m，沿岸地势低洼，雨季易形成内涝。泥河水体功能规划为工业用水，并兼有农业用水功能。 </w:t>
            </w:r>
          </w:p>
          <w:p w14:paraId="1466B9E3">
            <w:pPr>
              <w:tabs>
                <w:tab w:val="left" w:pos="0"/>
              </w:tabs>
              <w:spacing w:line="360" w:lineRule="auto"/>
              <w:ind w:firstLine="480" w:firstLineChars="200"/>
              <w:rPr>
                <w:rFonts w:hint="default" w:ascii="Times New Roman" w:hAnsi="Times New Roman" w:cs="Times New Roman"/>
                <w:color w:val="auto"/>
                <w:sz w:val="24"/>
              </w:rPr>
            </w:pPr>
            <w:r>
              <w:rPr>
                <w:rFonts w:hint="eastAsia" w:ascii="Times New Roman" w:hAnsi="Times New Roman" w:eastAsia="宋体" w:cs="Times New Roman"/>
                <w:bCs/>
                <w:color w:val="auto"/>
                <w:sz w:val="24"/>
                <w:szCs w:val="24"/>
                <w:lang w:val="en-US" w:eastAsia="zh-CN"/>
              </w:rPr>
              <w:t>黑河是泥河的支流之一，系人工开凿的河流，位于井田北部外，全长约45km，流向与泥河基本一致。黑河规划水体功能为农业用水，井田范围内的沟渠的主要功能为农业灌溉和排涝泄洪</w:t>
            </w:r>
            <w:r>
              <w:rPr>
                <w:rFonts w:hint="default" w:ascii="Times New Roman" w:hAnsi="Times New Roman" w:cs="Times New Roman"/>
                <w:color w:val="auto"/>
                <w:sz w:val="24"/>
              </w:rPr>
              <w:t>。</w:t>
            </w:r>
          </w:p>
          <w:p w14:paraId="20711074">
            <w:pPr>
              <w:tabs>
                <w:tab w:val="left" w:pos="0"/>
              </w:tabs>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、环境质量现状</w:t>
            </w:r>
          </w:p>
          <w:p w14:paraId="658BCC64">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（1）大气环境质量现状</w:t>
            </w:r>
          </w:p>
          <w:p w14:paraId="7086E102">
            <w:pPr>
              <w:spacing w:line="360" w:lineRule="auto"/>
              <w:ind w:firstLine="480"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color w:val="auto"/>
                <w:sz w:val="24"/>
                <w:szCs w:val="24"/>
              </w:rPr>
              <w:t>选用</w:t>
            </w:r>
            <w:r>
              <w:rPr>
                <w:rFonts w:hint="default" w:ascii="Times New Roman" w:hAnsi="Times New Roman" w:eastAsia="宋体" w:cs="Times New Roman"/>
                <w:snapToGrid w:val="0"/>
                <w:color w:val="auto"/>
                <w:spacing w:val="-2"/>
                <w:sz w:val="24"/>
                <w:szCs w:val="24"/>
              </w:rPr>
              <w:t>淮南市生态环境局发布的《2023年淮南市环境质量状况公报》</w:t>
            </w:r>
            <w:r>
              <w:rPr>
                <w:rFonts w:hint="default" w:ascii="Times New Roman" w:hAnsi="Times New Roman" w:eastAsia="宋体" w:cs="Times New Roman"/>
                <w:color w:val="auto"/>
                <w:sz w:val="24"/>
                <w:szCs w:val="24"/>
              </w:rPr>
              <w:t>中的结论，</w:t>
            </w:r>
            <w:r>
              <w:rPr>
                <w:rFonts w:hint="default" w:ascii="Times New Roman" w:hAnsi="Times New Roman" w:eastAsia="宋体" w:cs="Times New Roman"/>
                <w:snapToGrid w:val="0"/>
                <w:color w:val="auto"/>
                <w:spacing w:val="-2"/>
                <w:sz w:val="24"/>
                <w:szCs w:val="24"/>
              </w:rPr>
              <w:t>环境空气质量状况如下：</w:t>
            </w:r>
          </w:p>
          <w:p w14:paraId="20FA211B">
            <w:pPr>
              <w:autoSpaceDE w:val="0"/>
              <w:autoSpaceDN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①基本污染物环境质量现状</w:t>
            </w:r>
          </w:p>
          <w:p w14:paraId="519DEDDD">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细颗粒物（PM</w:t>
            </w:r>
            <w:r>
              <w:rPr>
                <w:rFonts w:hint="default" w:ascii="Times New Roman" w:hAnsi="Times New Roman" w:eastAsia="宋体" w:cs="Times New Roman"/>
                <w:snapToGrid w:val="0"/>
                <w:color w:val="auto"/>
                <w:spacing w:val="-2"/>
                <w:sz w:val="24"/>
                <w:szCs w:val="24"/>
                <w:vertAlign w:val="subscript"/>
              </w:rPr>
              <w:t>2.5</w:t>
            </w:r>
            <w:r>
              <w:rPr>
                <w:rFonts w:hint="default" w:ascii="Times New Roman" w:hAnsi="Times New Roman" w:eastAsia="宋体" w:cs="Times New Roman"/>
                <w:snapToGrid w:val="0"/>
                <w:color w:val="auto"/>
                <w:spacing w:val="-2"/>
                <w:sz w:val="24"/>
                <w:szCs w:val="24"/>
              </w:rPr>
              <w:t>）日均浓度范围为8～252微克/立方米，日均值达标率为93.0%。年均值为38.7微克/立方米，与上年相比下降了4.4个百分点。</w:t>
            </w:r>
          </w:p>
          <w:p w14:paraId="0D94D8DE">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可吸入颗粒物（PM</w:t>
            </w:r>
            <w:r>
              <w:rPr>
                <w:rFonts w:hint="default" w:ascii="Times New Roman" w:hAnsi="Times New Roman" w:eastAsia="宋体" w:cs="Times New Roman"/>
                <w:snapToGrid w:val="0"/>
                <w:color w:val="auto"/>
                <w:spacing w:val="-2"/>
                <w:sz w:val="24"/>
                <w:szCs w:val="24"/>
                <w:vertAlign w:val="subscript"/>
              </w:rPr>
              <w:t>10</w:t>
            </w:r>
            <w:r>
              <w:rPr>
                <w:rFonts w:hint="default" w:ascii="Times New Roman" w:hAnsi="Times New Roman" w:eastAsia="宋体" w:cs="Times New Roman"/>
                <w:snapToGrid w:val="0"/>
                <w:color w:val="auto"/>
                <w:spacing w:val="-2"/>
                <w:sz w:val="24"/>
                <w:szCs w:val="24"/>
              </w:rPr>
              <w:t>）日均浓度范围为12～313微克/立方米，日均值达标率为97.6%。年均值为65.9微克/立方米，与上年相比下降了0.8个百分点。</w:t>
            </w:r>
          </w:p>
          <w:p w14:paraId="56A97742">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二氧化氮（NO</w:t>
            </w:r>
            <w:r>
              <w:rPr>
                <w:rFonts w:hint="default" w:ascii="Times New Roman" w:hAnsi="Times New Roman" w:eastAsia="宋体" w:cs="Times New Roman"/>
                <w:snapToGrid w:val="0"/>
                <w:color w:val="auto"/>
                <w:spacing w:val="-2"/>
                <w:sz w:val="24"/>
                <w:szCs w:val="24"/>
                <w:vertAlign w:val="subscript"/>
              </w:rPr>
              <w:t>2</w:t>
            </w:r>
            <w:r>
              <w:rPr>
                <w:rFonts w:hint="default" w:ascii="Times New Roman" w:hAnsi="Times New Roman" w:eastAsia="宋体" w:cs="Times New Roman"/>
                <w:snapToGrid w:val="0"/>
                <w:color w:val="auto"/>
                <w:spacing w:val="-2"/>
                <w:sz w:val="24"/>
                <w:szCs w:val="24"/>
              </w:rPr>
              <w:t>）日均浓度范围为6～70微克/立方米，日均值达标率为100%。年均浓度为21微克/立方米，与上年相比上升了10.5个百分点。</w:t>
            </w:r>
          </w:p>
          <w:p w14:paraId="4B66C971">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二氧化硫（SO</w:t>
            </w:r>
            <w:r>
              <w:rPr>
                <w:rFonts w:hint="default" w:ascii="Times New Roman" w:hAnsi="Times New Roman" w:eastAsia="宋体" w:cs="Times New Roman"/>
                <w:snapToGrid w:val="0"/>
                <w:color w:val="auto"/>
                <w:spacing w:val="-2"/>
                <w:sz w:val="24"/>
                <w:szCs w:val="24"/>
                <w:vertAlign w:val="subscript"/>
              </w:rPr>
              <w:t>2</w:t>
            </w:r>
            <w:r>
              <w:rPr>
                <w:rFonts w:hint="default" w:ascii="Times New Roman" w:hAnsi="Times New Roman" w:eastAsia="宋体" w:cs="Times New Roman"/>
                <w:snapToGrid w:val="0"/>
                <w:color w:val="auto"/>
                <w:spacing w:val="-2"/>
                <w:sz w:val="24"/>
                <w:szCs w:val="24"/>
              </w:rPr>
              <w:t>）日均浓度范围为3～15微克/立方米，日均值达标率为100%。年均浓度为8微克/立方米，与上年持平。</w:t>
            </w:r>
          </w:p>
          <w:p w14:paraId="456C6570">
            <w:pPr>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rPr>
              <w:t>一氧化碳（CO）日均浓度范围为0.2～1.5毫克/立方米，日均值达标率为100%。日均值第95百分位数为0.7毫克/立方米，与上年相比下降了12.5个百分点。</w:t>
            </w:r>
          </w:p>
          <w:p w14:paraId="04DBE096">
            <w:pPr>
              <w:spacing w:line="360" w:lineRule="auto"/>
              <w:ind w:firstLine="472" w:firstLineChars="200"/>
              <w:rPr>
                <w:rFonts w:hint="default" w:ascii="Times New Roman" w:hAnsi="Times New Roman" w:eastAsia="微软雅黑" w:cs="Times New Roman"/>
                <w:color w:val="auto"/>
                <w:kern w:val="0"/>
                <w:sz w:val="20"/>
                <w:szCs w:val="20"/>
              </w:rPr>
            </w:pPr>
            <w:r>
              <w:rPr>
                <w:rFonts w:hint="default" w:ascii="Times New Roman" w:hAnsi="Times New Roman" w:eastAsia="宋体" w:cs="Times New Roman"/>
                <w:snapToGrid w:val="0"/>
                <w:color w:val="auto"/>
                <w:spacing w:val="-2"/>
                <w:sz w:val="24"/>
                <w:szCs w:val="24"/>
              </w:rPr>
              <w:t>臭氧日最大8小时（O</w:t>
            </w:r>
            <w:r>
              <w:rPr>
                <w:rFonts w:hint="default" w:ascii="Times New Roman" w:hAnsi="Times New Roman" w:eastAsia="宋体" w:cs="Times New Roman"/>
                <w:snapToGrid w:val="0"/>
                <w:color w:val="auto"/>
                <w:spacing w:val="-2"/>
                <w:sz w:val="24"/>
                <w:szCs w:val="24"/>
                <w:vertAlign w:val="subscript"/>
              </w:rPr>
              <w:t>3</w:t>
            </w:r>
            <w:r>
              <w:rPr>
                <w:rFonts w:hint="default" w:ascii="Times New Roman" w:hAnsi="Times New Roman" w:eastAsia="宋体" w:cs="Times New Roman"/>
                <w:snapToGrid w:val="0"/>
                <w:color w:val="auto"/>
                <w:spacing w:val="-2"/>
                <w:sz w:val="24"/>
                <w:szCs w:val="24"/>
              </w:rPr>
              <w:t>-8h）滑动平均值范围为4～210微克/立方米，达标率为91.8%。日最大8小时滑动平均值第90百分位数为157微克/立方米，与上年相比上升了4.0个百分点</w:t>
            </w:r>
            <w:r>
              <w:rPr>
                <w:rFonts w:hint="default" w:ascii="Times New Roman" w:hAnsi="Times New Roman" w:eastAsia="微软雅黑" w:cs="Times New Roman"/>
                <w:color w:val="auto"/>
                <w:kern w:val="0"/>
                <w:sz w:val="20"/>
                <w:szCs w:val="20"/>
              </w:rPr>
              <w:t>。</w:t>
            </w:r>
          </w:p>
          <w:p w14:paraId="158BC8E7">
            <w:pPr>
              <w:pStyle w:val="97"/>
              <w:numPr>
                <w:ilvl w:val="1"/>
                <w:numId w:val="2"/>
              </w:numPr>
              <w:tabs>
                <w:tab w:val="left" w:pos="2100"/>
                <w:tab w:val="clear" w:pos="1440"/>
              </w:tabs>
              <w:spacing w:line="240" w:lineRule="auto"/>
              <w:ind w:left="3300" w:leftChars="0" w:hanging="120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基本污染物环境质量现状</w:t>
            </w:r>
          </w:p>
          <w:tbl>
            <w:tblPr>
              <w:tblStyle w:val="26"/>
              <w:tblW w:w="81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886"/>
              <w:gridCol w:w="1143"/>
              <w:gridCol w:w="1184"/>
              <w:gridCol w:w="945"/>
              <w:gridCol w:w="1147"/>
            </w:tblGrid>
            <w:tr w14:paraId="3F8F8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69FF8238">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w:t>
                  </w:r>
                </w:p>
              </w:tc>
              <w:tc>
                <w:tcPr>
                  <w:tcW w:w="1777" w:type="pct"/>
                  <w:vAlign w:val="center"/>
                </w:tcPr>
                <w:p w14:paraId="2088D9B5">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年评价指标</w:t>
                  </w:r>
                </w:p>
              </w:tc>
              <w:tc>
                <w:tcPr>
                  <w:tcW w:w="704" w:type="pct"/>
                  <w:vAlign w:val="center"/>
                </w:tcPr>
                <w:p w14:paraId="5D56AB34">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现状浓度（µg/m</w:t>
                  </w:r>
                  <w:r>
                    <w:rPr>
                      <w:rFonts w:hint="default" w:ascii="Times New Roman" w:hAnsi="Times New Roman" w:eastAsia="宋体" w:cs="Times New Roman"/>
                      <w:b/>
                      <w:bCs/>
                      <w:color w:val="auto"/>
                      <w:kern w:val="0"/>
                      <w:szCs w:val="21"/>
                      <w:vertAlign w:val="superscript"/>
                    </w:rPr>
                    <w:t>3</w:t>
                  </w:r>
                  <w:r>
                    <w:rPr>
                      <w:rFonts w:hint="default" w:ascii="Times New Roman" w:hAnsi="Times New Roman" w:eastAsia="宋体" w:cs="Times New Roman"/>
                      <w:b/>
                      <w:bCs/>
                      <w:color w:val="auto"/>
                      <w:kern w:val="0"/>
                      <w:szCs w:val="21"/>
                    </w:rPr>
                    <w:t>）</w:t>
                  </w:r>
                </w:p>
              </w:tc>
              <w:tc>
                <w:tcPr>
                  <w:tcW w:w="729" w:type="pct"/>
                  <w:vAlign w:val="center"/>
                </w:tcPr>
                <w:p w14:paraId="7F890938">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标准值（µg/m</w:t>
                  </w:r>
                  <w:r>
                    <w:rPr>
                      <w:rFonts w:hint="default" w:ascii="Times New Roman" w:hAnsi="Times New Roman" w:eastAsia="宋体" w:cs="Times New Roman"/>
                      <w:b/>
                      <w:bCs/>
                      <w:color w:val="auto"/>
                      <w:kern w:val="0"/>
                      <w:szCs w:val="21"/>
                      <w:vertAlign w:val="superscript"/>
                    </w:rPr>
                    <w:t>3</w:t>
                  </w:r>
                  <w:r>
                    <w:rPr>
                      <w:rFonts w:hint="default" w:ascii="Times New Roman" w:hAnsi="Times New Roman" w:eastAsia="宋体" w:cs="Times New Roman"/>
                      <w:b/>
                      <w:bCs/>
                      <w:color w:val="auto"/>
                      <w:kern w:val="0"/>
                      <w:szCs w:val="21"/>
                    </w:rPr>
                    <w:t>）</w:t>
                  </w:r>
                </w:p>
              </w:tc>
              <w:tc>
                <w:tcPr>
                  <w:tcW w:w="582" w:type="pct"/>
                  <w:vAlign w:val="center"/>
                </w:tcPr>
                <w:p w14:paraId="317A4F44">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占标率（%）</w:t>
                  </w:r>
                </w:p>
              </w:tc>
              <w:tc>
                <w:tcPr>
                  <w:tcW w:w="706" w:type="pct"/>
                  <w:vAlign w:val="center"/>
                </w:tcPr>
                <w:p w14:paraId="42899F53">
                  <w:pPr>
                    <w:widowControl/>
                    <w:spacing w:line="276"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达标情况</w:t>
                  </w:r>
                </w:p>
              </w:tc>
            </w:tr>
            <w:tr w14:paraId="09298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98" w:type="pct"/>
                  <w:vAlign w:val="center"/>
                </w:tcPr>
                <w:p w14:paraId="2C67E74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SO</w:t>
                  </w:r>
                  <w:r>
                    <w:rPr>
                      <w:rFonts w:hint="default" w:ascii="Times New Roman" w:hAnsi="Times New Roman" w:eastAsia="宋体" w:cs="Times New Roman"/>
                      <w:color w:val="auto"/>
                      <w:kern w:val="0"/>
                      <w:szCs w:val="21"/>
                      <w:vertAlign w:val="subscript"/>
                    </w:rPr>
                    <w:t>2</w:t>
                  </w:r>
                </w:p>
              </w:tc>
              <w:tc>
                <w:tcPr>
                  <w:tcW w:w="1777" w:type="pct"/>
                  <w:vAlign w:val="center"/>
                </w:tcPr>
                <w:p w14:paraId="1828143A">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年平均质量浓度</w:t>
                  </w:r>
                </w:p>
              </w:tc>
              <w:tc>
                <w:tcPr>
                  <w:tcW w:w="704" w:type="pct"/>
                  <w:vAlign w:val="center"/>
                </w:tcPr>
                <w:p w14:paraId="06D5310F">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729" w:type="pct"/>
                  <w:vAlign w:val="center"/>
                </w:tcPr>
                <w:p w14:paraId="154F10AD">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60</w:t>
                  </w:r>
                </w:p>
              </w:tc>
              <w:tc>
                <w:tcPr>
                  <w:tcW w:w="582" w:type="pct"/>
                  <w:vAlign w:val="center"/>
                </w:tcPr>
                <w:p w14:paraId="4D77258A">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13.3</w:t>
                  </w:r>
                </w:p>
              </w:tc>
              <w:tc>
                <w:tcPr>
                  <w:tcW w:w="706" w:type="pct"/>
                  <w:vAlign w:val="center"/>
                </w:tcPr>
                <w:p w14:paraId="7F26060A">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5A0E5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98" w:type="pct"/>
                  <w:vAlign w:val="center"/>
                </w:tcPr>
                <w:p w14:paraId="58E4DEC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NO</w:t>
                  </w:r>
                  <w:r>
                    <w:rPr>
                      <w:rFonts w:hint="default" w:ascii="Times New Roman" w:hAnsi="Times New Roman" w:eastAsia="宋体" w:cs="Times New Roman"/>
                      <w:color w:val="auto"/>
                      <w:kern w:val="0"/>
                      <w:szCs w:val="21"/>
                      <w:vertAlign w:val="subscript"/>
                    </w:rPr>
                    <w:t>2</w:t>
                  </w:r>
                </w:p>
              </w:tc>
              <w:tc>
                <w:tcPr>
                  <w:tcW w:w="1777" w:type="pct"/>
                  <w:vAlign w:val="center"/>
                </w:tcPr>
                <w:p w14:paraId="7F8F5892">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年平均质量浓度</w:t>
                  </w:r>
                </w:p>
              </w:tc>
              <w:tc>
                <w:tcPr>
                  <w:tcW w:w="704" w:type="pct"/>
                  <w:vAlign w:val="center"/>
                </w:tcPr>
                <w:p w14:paraId="022FB4C4">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21</w:t>
                  </w:r>
                </w:p>
              </w:tc>
              <w:tc>
                <w:tcPr>
                  <w:tcW w:w="729" w:type="pct"/>
                  <w:vAlign w:val="center"/>
                </w:tcPr>
                <w:p w14:paraId="39BAC185">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w:t>
                  </w:r>
                </w:p>
              </w:tc>
              <w:tc>
                <w:tcPr>
                  <w:tcW w:w="582" w:type="pct"/>
                  <w:vAlign w:val="center"/>
                </w:tcPr>
                <w:p w14:paraId="29AB8E90">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35</w:t>
                  </w:r>
                </w:p>
              </w:tc>
              <w:tc>
                <w:tcPr>
                  <w:tcW w:w="706" w:type="pct"/>
                  <w:vAlign w:val="center"/>
                </w:tcPr>
                <w:p w14:paraId="1AC69475">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736D2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98" w:type="pct"/>
                  <w:vAlign w:val="center"/>
                </w:tcPr>
                <w:p w14:paraId="35DFC074">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PM</w:t>
                  </w:r>
                  <w:r>
                    <w:rPr>
                      <w:rFonts w:hint="default" w:ascii="Times New Roman" w:hAnsi="Times New Roman" w:eastAsia="宋体" w:cs="Times New Roman"/>
                      <w:color w:val="auto"/>
                      <w:kern w:val="0"/>
                      <w:szCs w:val="21"/>
                      <w:vertAlign w:val="subscript"/>
                    </w:rPr>
                    <w:t>10</w:t>
                  </w:r>
                </w:p>
              </w:tc>
              <w:tc>
                <w:tcPr>
                  <w:tcW w:w="1777" w:type="pct"/>
                  <w:vAlign w:val="center"/>
                </w:tcPr>
                <w:p w14:paraId="3FCB2A36">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年平均质量浓度</w:t>
                  </w:r>
                </w:p>
              </w:tc>
              <w:tc>
                <w:tcPr>
                  <w:tcW w:w="704" w:type="pct"/>
                  <w:vAlign w:val="center"/>
                </w:tcPr>
                <w:p w14:paraId="76994EF3">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65.9</w:t>
                  </w:r>
                </w:p>
              </w:tc>
              <w:tc>
                <w:tcPr>
                  <w:tcW w:w="729" w:type="pct"/>
                  <w:vAlign w:val="center"/>
                </w:tcPr>
                <w:p w14:paraId="0656BCAC">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70</w:t>
                  </w:r>
                </w:p>
              </w:tc>
              <w:tc>
                <w:tcPr>
                  <w:tcW w:w="582" w:type="pct"/>
                  <w:vAlign w:val="center"/>
                </w:tcPr>
                <w:p w14:paraId="4A88C45C">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94.1</w:t>
                  </w:r>
                </w:p>
              </w:tc>
              <w:tc>
                <w:tcPr>
                  <w:tcW w:w="706" w:type="pct"/>
                  <w:vAlign w:val="center"/>
                </w:tcPr>
                <w:p w14:paraId="386FD9FA">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达标</w:t>
                  </w:r>
                </w:p>
              </w:tc>
            </w:tr>
            <w:tr w14:paraId="27E11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98" w:type="pct"/>
                  <w:vAlign w:val="center"/>
                </w:tcPr>
                <w:p w14:paraId="17709CD7">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PM</w:t>
                  </w:r>
                  <w:r>
                    <w:rPr>
                      <w:rFonts w:hint="default" w:ascii="Times New Roman" w:hAnsi="Times New Roman" w:eastAsia="宋体" w:cs="Times New Roman"/>
                      <w:color w:val="auto"/>
                      <w:kern w:val="0"/>
                      <w:szCs w:val="21"/>
                      <w:vertAlign w:val="subscript"/>
                    </w:rPr>
                    <w:t>2.5</w:t>
                  </w:r>
                </w:p>
              </w:tc>
              <w:tc>
                <w:tcPr>
                  <w:tcW w:w="1777" w:type="pct"/>
                  <w:vAlign w:val="center"/>
                </w:tcPr>
                <w:p w14:paraId="33F971B5">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年平均质量浓度</w:t>
                  </w:r>
                </w:p>
              </w:tc>
              <w:tc>
                <w:tcPr>
                  <w:tcW w:w="704" w:type="pct"/>
                  <w:vAlign w:val="center"/>
                </w:tcPr>
                <w:p w14:paraId="1C9B27B7">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38.7</w:t>
                  </w:r>
                </w:p>
              </w:tc>
              <w:tc>
                <w:tcPr>
                  <w:tcW w:w="729" w:type="pct"/>
                  <w:vAlign w:val="center"/>
                </w:tcPr>
                <w:p w14:paraId="535585B1">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35</w:t>
                  </w:r>
                </w:p>
              </w:tc>
              <w:tc>
                <w:tcPr>
                  <w:tcW w:w="582" w:type="pct"/>
                  <w:vAlign w:val="center"/>
                </w:tcPr>
                <w:p w14:paraId="32E3A4DA">
                  <w:pPr>
                    <w:widowControl/>
                    <w:spacing w:line="276"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11</w:t>
                  </w:r>
                  <w:r>
                    <w:rPr>
                      <w:rFonts w:hint="eastAsia" w:ascii="Times New Roman" w:hAnsi="Times New Roman" w:eastAsia="宋体" w:cs="Times New Roman"/>
                      <w:color w:val="auto"/>
                      <w:kern w:val="0"/>
                      <w:szCs w:val="21"/>
                      <w:lang w:val="en-US" w:eastAsia="zh-CN"/>
                    </w:rPr>
                    <w:t>0.57</w:t>
                  </w:r>
                </w:p>
              </w:tc>
              <w:tc>
                <w:tcPr>
                  <w:tcW w:w="706" w:type="pct"/>
                  <w:vAlign w:val="center"/>
                </w:tcPr>
                <w:p w14:paraId="38416FE4">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不达标</w:t>
                  </w:r>
                </w:p>
              </w:tc>
            </w:tr>
            <w:tr w14:paraId="7BEB8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7C80784B">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1777" w:type="pct"/>
                  <w:vAlign w:val="center"/>
                </w:tcPr>
                <w:p w14:paraId="5CC2B402">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第95百分位日均值浓度</w:t>
                  </w:r>
                </w:p>
              </w:tc>
              <w:tc>
                <w:tcPr>
                  <w:tcW w:w="704" w:type="pct"/>
                  <w:vAlign w:val="center"/>
                </w:tcPr>
                <w:p w14:paraId="63EB3248">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700</w:t>
                  </w:r>
                </w:p>
              </w:tc>
              <w:tc>
                <w:tcPr>
                  <w:tcW w:w="729" w:type="pct"/>
                  <w:vAlign w:val="center"/>
                </w:tcPr>
                <w:p w14:paraId="23EC42FD">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4000</w:t>
                  </w:r>
                </w:p>
              </w:tc>
              <w:tc>
                <w:tcPr>
                  <w:tcW w:w="582" w:type="pct"/>
                  <w:vAlign w:val="center"/>
                </w:tcPr>
                <w:p w14:paraId="30D275A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17.5</w:t>
                  </w:r>
                </w:p>
              </w:tc>
              <w:tc>
                <w:tcPr>
                  <w:tcW w:w="706" w:type="pct"/>
                  <w:vAlign w:val="center"/>
                </w:tcPr>
                <w:p w14:paraId="6100D5A5">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达标</w:t>
                  </w:r>
                </w:p>
              </w:tc>
            </w:tr>
            <w:tr w14:paraId="34E2E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Align w:val="center"/>
                </w:tcPr>
                <w:p w14:paraId="27366E3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O</w:t>
                  </w:r>
                  <w:r>
                    <w:rPr>
                      <w:rFonts w:hint="default" w:ascii="Times New Roman" w:hAnsi="Times New Roman" w:eastAsia="宋体" w:cs="Times New Roman"/>
                      <w:color w:val="auto"/>
                      <w:szCs w:val="21"/>
                      <w:vertAlign w:val="subscript"/>
                    </w:rPr>
                    <w:t>3</w:t>
                  </w:r>
                </w:p>
              </w:tc>
              <w:tc>
                <w:tcPr>
                  <w:tcW w:w="1777" w:type="pct"/>
                  <w:vAlign w:val="center"/>
                </w:tcPr>
                <w:p w14:paraId="7EC2AF1C">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第90百分位日平均质量浓度</w:t>
                  </w:r>
                </w:p>
              </w:tc>
              <w:tc>
                <w:tcPr>
                  <w:tcW w:w="704" w:type="pct"/>
                  <w:vAlign w:val="center"/>
                </w:tcPr>
                <w:p w14:paraId="574DBC5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157</w:t>
                  </w:r>
                </w:p>
              </w:tc>
              <w:tc>
                <w:tcPr>
                  <w:tcW w:w="729" w:type="pct"/>
                  <w:vAlign w:val="center"/>
                </w:tcPr>
                <w:p w14:paraId="68CB77D7">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160</w:t>
                  </w:r>
                </w:p>
              </w:tc>
              <w:tc>
                <w:tcPr>
                  <w:tcW w:w="582" w:type="pct"/>
                  <w:vAlign w:val="center"/>
                </w:tcPr>
                <w:p w14:paraId="321088E9">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98.1</w:t>
                  </w:r>
                </w:p>
              </w:tc>
              <w:tc>
                <w:tcPr>
                  <w:tcW w:w="706" w:type="pct"/>
                  <w:vAlign w:val="center"/>
                </w:tcPr>
                <w:p w14:paraId="69988B3D">
                  <w:pPr>
                    <w:widowControl/>
                    <w:spacing w:line="276"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达标</w:t>
                  </w:r>
                </w:p>
              </w:tc>
            </w:tr>
          </w:tbl>
          <w:p w14:paraId="4C950EA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1"/>
              </w:rPr>
              <w:t>根据《</w:t>
            </w:r>
            <w:r>
              <w:rPr>
                <w:rFonts w:hint="default" w:ascii="Times New Roman" w:hAnsi="Times New Roman" w:eastAsia="宋体" w:cs="Times New Roman"/>
                <w:snapToGrid w:val="0"/>
                <w:color w:val="auto"/>
                <w:spacing w:val="-2"/>
                <w:sz w:val="24"/>
                <w:szCs w:val="24"/>
              </w:rPr>
              <w:t>2023年淮南市环境质量状况公报</w:t>
            </w:r>
            <w:r>
              <w:rPr>
                <w:rFonts w:hint="default" w:ascii="Times New Roman" w:hAnsi="Times New Roman" w:eastAsia="宋体" w:cs="Times New Roman"/>
                <w:color w:val="auto"/>
                <w:sz w:val="24"/>
                <w:szCs w:val="21"/>
              </w:rPr>
              <w:t>》并结合《环境空气质量标准》（GB3095-2012）及2018年修改单中二级标准可知，</w:t>
            </w:r>
            <w:r>
              <w:rPr>
                <w:rFonts w:hint="default" w:ascii="Times New Roman" w:hAnsi="Times New Roman" w:eastAsia="宋体" w:cs="Times New Roman"/>
                <w:color w:val="auto"/>
                <w:sz w:val="24"/>
                <w:szCs w:val="24"/>
              </w:rPr>
              <w:t>二氧化硫（SO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）、二氧化氮（NO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）、一氧化碳（CO）、可吸入颗粒物（PM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）、臭氧（O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）均符合《环境空气质量标准》（GB3095-2012）</w:t>
            </w:r>
            <w:r>
              <w:rPr>
                <w:rFonts w:hint="default" w:ascii="Times New Roman" w:hAnsi="Times New Roman" w:eastAsia="宋体" w:cs="Times New Roman"/>
                <w:color w:val="auto"/>
                <w:sz w:val="24"/>
                <w:szCs w:val="21"/>
              </w:rPr>
              <w:t>及2018年修改单中</w:t>
            </w:r>
            <w:r>
              <w:rPr>
                <w:rFonts w:hint="default" w:ascii="Times New Roman" w:hAnsi="Times New Roman" w:eastAsia="宋体" w:cs="Times New Roman"/>
                <w:color w:val="auto"/>
                <w:sz w:val="24"/>
                <w:szCs w:val="24"/>
              </w:rPr>
              <w:t>二级标准，细颗粒物（PM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）年均浓度超过《环境空气质量标准》（GB3095-2012）</w:t>
            </w:r>
            <w:r>
              <w:rPr>
                <w:rFonts w:hint="default" w:ascii="Times New Roman" w:hAnsi="Times New Roman" w:eastAsia="宋体" w:cs="Times New Roman"/>
                <w:color w:val="auto"/>
                <w:sz w:val="24"/>
                <w:szCs w:val="21"/>
              </w:rPr>
              <w:t>及2018年修改单中</w:t>
            </w:r>
            <w:r>
              <w:rPr>
                <w:rFonts w:hint="default" w:ascii="Times New Roman" w:hAnsi="Times New Roman" w:eastAsia="宋体" w:cs="Times New Roman"/>
                <w:color w:val="auto"/>
                <w:sz w:val="24"/>
                <w:szCs w:val="24"/>
              </w:rPr>
              <w:t>二级标准限值要求。因此，项目所在评价区域为不达标区。</w:t>
            </w:r>
          </w:p>
          <w:p w14:paraId="5A5F1176">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淮南市生态环境局就空气质量不达标提出一系列举措，</w:t>
            </w:r>
          </w:p>
          <w:p w14:paraId="7ED20660">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eastAsia="宋体" w:cs="Times New Roman"/>
                <w:color w:val="auto"/>
                <w:kern w:val="0"/>
                <w:sz w:val="24"/>
                <w:szCs w:val="24"/>
              </w:rPr>
              <w:t>为确保淮南市大气污染防治工作有效推进，</w:t>
            </w:r>
            <w:r>
              <w:rPr>
                <w:rFonts w:hint="default" w:ascii="Times New Roman" w:hAnsi="Times New Roman" w:cs="Times New Roman"/>
                <w:color w:val="auto"/>
                <w:sz w:val="24"/>
                <w:szCs w:val="21"/>
              </w:rPr>
              <w:t>目前，淮南市已制订《淮南市“十四五”大气污染防治规划（2021-2025年）》，围绕工业大气污染治理、扬（烟）尘污染防治等开展专项治理活动，进一步削减大气污染物排放。</w:t>
            </w:r>
          </w:p>
          <w:p w14:paraId="4D3B1A7D">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（2）地表水环境现状</w:t>
            </w:r>
          </w:p>
          <w:p w14:paraId="7EE2A94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64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依据淮南市生态环境局发布的《2023年淮南市环境质量状况公报》中的结论，水环境质量状况如下：</w:t>
            </w:r>
          </w:p>
          <w:p w14:paraId="51D9F56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64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2023年，全市地表水24个监测断面中优良水质比例为95.8%，比上年提升了16.6个百分点，Ⅳ类水质比例4.2%，总体水质状况优。</w:t>
            </w:r>
          </w:p>
          <w:p w14:paraId="640C83D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64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全市8个国控断面中优良水质比例为87.5%，Ⅳ类水质比例12.5%，总体水质状况良好；11个省控断面中优良水质比例为100%，总体水质状况优。</w:t>
            </w:r>
          </w:p>
          <w:p w14:paraId="7512D7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71918B16">
            <w:pPr>
              <w:pStyle w:val="25"/>
              <w:adjustRightInd w:val="0"/>
              <w:snapToGrid w:val="0"/>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项目所在区域地表水体为</w:t>
            </w:r>
            <w:r>
              <w:rPr>
                <w:rFonts w:hint="eastAsia" w:ascii="Times New Roman" w:hAnsi="Times New Roman" w:eastAsia="宋体" w:cs="Times New Roman"/>
                <w:color w:val="auto"/>
                <w:kern w:val="2"/>
                <w:sz w:val="24"/>
                <w:szCs w:val="24"/>
                <w:lang w:val="en-US" w:eastAsia="zh-CN" w:bidi="ar-SA"/>
              </w:rPr>
              <w:t>黑河，黑河为泥河支流，泥河水质年均值符合《地表水环境质量标准》（GB3838-2002）Ⅲ类标准，水质状况好。</w:t>
            </w:r>
          </w:p>
          <w:p w14:paraId="3667EA9E">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（3）声环境质量现状</w:t>
            </w:r>
          </w:p>
          <w:p w14:paraId="7F39C6EF">
            <w:pPr>
              <w:numPr>
                <w:ilvl w:val="0"/>
                <w:numId w:val="0"/>
              </w:numPr>
              <w:tabs>
                <w:tab w:val="left" w:pos="0"/>
              </w:tabs>
              <w:spacing w:line="360" w:lineRule="auto"/>
              <w:ind w:firstLine="480" w:firstLineChars="200"/>
              <w:jc w:val="both"/>
              <w:rPr>
                <w:rFonts w:hint="default" w:eastAsiaTheme="minorEastAsia"/>
                <w:color w:val="auto"/>
                <w:lang w:val="en-US" w:eastAsia="zh-CN"/>
              </w:rPr>
            </w:pPr>
            <w:r>
              <w:rPr>
                <w:rFonts w:ascii="Times New Roman" w:hAnsi="Times New Roman" w:eastAsia="宋体" w:cs="Times New Roman"/>
                <w:color w:val="auto"/>
                <w:sz w:val="24"/>
                <w:szCs w:val="24"/>
              </w:rPr>
              <w:t>根据现场踏勘，项目</w:t>
            </w:r>
            <w:r>
              <w:rPr>
                <w:rFonts w:hint="eastAsia" w:ascii="Times New Roman" w:hAnsi="Times New Roman" w:eastAsia="宋体" w:cs="Times New Roman"/>
                <w:color w:val="auto"/>
                <w:sz w:val="24"/>
                <w:szCs w:val="24"/>
                <w:lang w:val="en-US" w:eastAsia="zh-CN"/>
              </w:rPr>
              <w:t>3个施工场地</w:t>
            </w:r>
            <w:r>
              <w:rPr>
                <w:rFonts w:ascii="Times New Roman" w:hAnsi="Times New Roman" w:eastAsia="宋体" w:cs="Times New Roman"/>
                <w:color w:val="auto"/>
                <w:sz w:val="24"/>
                <w:szCs w:val="24"/>
              </w:rPr>
              <w:t>厂界外50米范围内</w:t>
            </w:r>
            <w:r>
              <w:rPr>
                <w:rFonts w:hint="eastAsia" w:ascii="Times New Roman" w:hAnsi="Times New Roman" w:eastAsia="宋体" w:cs="Times New Roman"/>
                <w:color w:val="auto"/>
                <w:sz w:val="24"/>
                <w:szCs w:val="24"/>
                <w:lang w:eastAsia="zh-CN"/>
              </w:rPr>
              <w:t>均不</w:t>
            </w:r>
            <w:r>
              <w:rPr>
                <w:rFonts w:hint="eastAsia" w:ascii="Times New Roman" w:hAnsi="Times New Roman" w:eastAsia="宋体" w:cs="Times New Roman"/>
                <w:color w:val="auto"/>
                <w:sz w:val="24"/>
                <w:szCs w:val="24"/>
              </w:rPr>
              <w:t>存在</w:t>
            </w:r>
            <w:r>
              <w:rPr>
                <w:rFonts w:ascii="Times New Roman" w:hAnsi="Times New Roman" w:eastAsia="宋体" w:cs="Times New Roman"/>
                <w:color w:val="auto"/>
                <w:sz w:val="24"/>
                <w:szCs w:val="24"/>
              </w:rPr>
              <w:t>声环境保护目标</w:t>
            </w:r>
            <w:r>
              <w:rPr>
                <w:rFonts w:hint="eastAsia" w:ascii="Times New Roman" w:hAnsi="Times New Roman" w:eastAsia="宋体" w:cs="Times New Roman"/>
                <w:color w:val="auto"/>
                <w:sz w:val="24"/>
                <w:szCs w:val="24"/>
                <w:lang w:eastAsia="zh-CN"/>
              </w:rPr>
              <w:t>，</w:t>
            </w:r>
            <w:r>
              <w:rPr>
                <w:color w:val="auto"/>
                <w:sz w:val="24"/>
                <w:highlight w:val="none"/>
              </w:rPr>
              <w:t>故本项目</w:t>
            </w:r>
            <w:r>
              <w:rPr>
                <w:rFonts w:hint="eastAsia"/>
                <w:color w:val="auto"/>
                <w:sz w:val="24"/>
                <w:highlight w:val="none"/>
                <w:lang w:eastAsia="zh-CN"/>
              </w:rPr>
              <w:t>不再进行</w:t>
            </w:r>
            <w:r>
              <w:rPr>
                <w:color w:val="auto"/>
                <w:sz w:val="24"/>
                <w:highlight w:val="none"/>
              </w:rPr>
              <w:t>声环境质量现状监测</w:t>
            </w:r>
            <w:r>
              <w:rPr>
                <w:rFonts w:hint="eastAsia"/>
                <w:color w:val="auto"/>
                <w:sz w:val="24"/>
                <w:highlight w:val="none"/>
                <w:lang w:eastAsia="zh-CN"/>
              </w:rPr>
              <w:t>。</w:t>
            </w:r>
          </w:p>
          <w:p w14:paraId="0D7C26BA">
            <w:pPr>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（4）土壤及地下水</w:t>
            </w:r>
          </w:p>
          <w:p w14:paraId="143FB25B">
            <w:pPr>
              <w:widowControl/>
              <w:shd w:val="clear" w:color="auto" w:fill="FFFFFF"/>
              <w:spacing w:line="360" w:lineRule="auto"/>
              <w:ind w:firstLine="480" w:firstLineChars="200"/>
              <w:rPr>
                <w:rFonts w:hint="default" w:eastAsiaTheme="minorEastAsia"/>
                <w:color w:val="auto"/>
                <w:lang w:val="en-US" w:eastAsia="zh-CN"/>
              </w:rPr>
            </w:pPr>
            <w:r>
              <w:rPr>
                <w:rFonts w:hint="eastAsia" w:ascii="Times New Roman" w:hAnsi="Times New Roman" w:eastAsia="宋体" w:cs="Times New Roman"/>
                <w:color w:val="auto"/>
                <w:kern w:val="0"/>
                <w:sz w:val="24"/>
                <w:szCs w:val="24"/>
                <w:lang w:val="en-US" w:eastAsia="zh-CN"/>
              </w:rPr>
              <w:t>根据《建设项目环境影响报告表编制技术指南（污染影响类）（试行）》</w:t>
            </w:r>
            <w:r>
              <w:rPr>
                <w:rFonts w:hint="default" w:ascii="Times New Roman" w:hAnsi="Times New Roman" w:eastAsia="宋体" w:cs="Times New Roman"/>
                <w:color w:val="auto"/>
                <w:kern w:val="0"/>
                <w:sz w:val="24"/>
                <w:szCs w:val="24"/>
                <w:lang w:val="en-US" w:eastAsia="zh-CN"/>
              </w:rPr>
              <w:t>原则上不开展</w:t>
            </w:r>
            <w:r>
              <w:rPr>
                <w:rFonts w:hint="eastAsia" w:ascii="Times New Roman" w:hAnsi="Times New Roman" w:eastAsia="宋体" w:cs="Times New Roman"/>
                <w:color w:val="auto"/>
                <w:kern w:val="0"/>
                <w:sz w:val="24"/>
                <w:szCs w:val="24"/>
                <w:lang w:val="en-US" w:eastAsia="zh-CN"/>
              </w:rPr>
              <w:t>土壤、地下水</w:t>
            </w:r>
            <w:r>
              <w:rPr>
                <w:rFonts w:hint="default" w:ascii="Times New Roman" w:hAnsi="Times New Roman" w:eastAsia="宋体" w:cs="Times New Roman"/>
                <w:color w:val="auto"/>
                <w:kern w:val="0"/>
                <w:sz w:val="24"/>
                <w:szCs w:val="24"/>
                <w:lang w:val="en-US" w:eastAsia="zh-CN"/>
              </w:rPr>
              <w:t>环境质量现状调查。建设</w:t>
            </w:r>
            <w:r>
              <w:rPr>
                <w:rFonts w:hint="eastAsia" w:ascii="Times New Roman" w:hAnsi="Times New Roman" w:eastAsia="宋体" w:cs="Times New Roman"/>
                <w:color w:val="auto"/>
                <w:kern w:val="0"/>
                <w:sz w:val="24"/>
                <w:szCs w:val="24"/>
                <w:lang w:val="en-US" w:eastAsia="zh-CN"/>
              </w:rPr>
              <w:t>项目存在土壤、地下水环境污染途径的，应结合污染源、保护目标分布情况开展现状调查以留作背景值。本项目</w:t>
            </w:r>
            <w:r>
              <w:rPr>
                <w:rFonts w:hint="eastAsia" w:ascii="Times New Roman" w:hAnsi="Times New Roman" w:eastAsia="宋体" w:cs="Times New Roman"/>
                <w:color w:val="auto"/>
                <w:kern w:val="0"/>
                <w:sz w:val="24"/>
                <w:szCs w:val="24"/>
                <w:lang w:eastAsia="zh-CN"/>
              </w:rPr>
              <w:t>不储存危险化学品</w:t>
            </w:r>
            <w:r>
              <w:rPr>
                <w:rFonts w:hint="eastAsia" w:ascii="Times New Roman" w:hAnsi="Times New Roman" w:eastAsia="宋体" w:cs="Times New Roman"/>
                <w:color w:val="auto"/>
                <w:kern w:val="0"/>
                <w:sz w:val="24"/>
                <w:szCs w:val="24"/>
                <w:lang w:val="en-US" w:eastAsia="zh-CN"/>
              </w:rPr>
              <w:t>，场地危废暂存间</w:t>
            </w:r>
            <w:r>
              <w:rPr>
                <w:rFonts w:hint="eastAsia" w:ascii="Times New Roman" w:hAnsi="Times New Roman" w:eastAsia="宋体" w:cs="Times New Roman"/>
                <w:color w:val="auto"/>
                <w:kern w:val="0"/>
                <w:sz w:val="24"/>
                <w:szCs w:val="24"/>
                <w:lang w:eastAsia="zh-CN"/>
              </w:rPr>
              <w:t>地面做</w:t>
            </w:r>
            <w:r>
              <w:rPr>
                <w:rFonts w:hint="eastAsia" w:ascii="Times New Roman" w:hAnsi="Times New Roman" w:eastAsia="宋体" w:cs="Times New Roman"/>
                <w:color w:val="auto"/>
                <w:kern w:val="0"/>
                <w:sz w:val="24"/>
                <w:szCs w:val="24"/>
                <w:lang w:val="en-US" w:eastAsia="zh-CN"/>
              </w:rPr>
              <w:t>基础防渗，防渗层为至少</w:t>
            </w:r>
            <w:r>
              <w:rPr>
                <w:rFonts w:hint="default" w:ascii="Times New Roman" w:hAnsi="Times New Roman" w:eastAsia="宋体" w:cs="Times New Roman"/>
                <w:color w:val="auto"/>
                <w:kern w:val="0"/>
                <w:sz w:val="24"/>
                <w:szCs w:val="24"/>
                <w:lang w:val="en-US" w:eastAsia="zh-CN"/>
              </w:rPr>
              <w:t xml:space="preserve">1 m </w:t>
            </w:r>
            <w:r>
              <w:rPr>
                <w:rFonts w:hint="eastAsia" w:ascii="Times New Roman" w:hAnsi="Times New Roman" w:eastAsia="宋体" w:cs="Times New Roman"/>
                <w:color w:val="auto"/>
                <w:kern w:val="0"/>
                <w:sz w:val="24"/>
                <w:szCs w:val="24"/>
                <w:lang w:val="en-US" w:eastAsia="zh-CN"/>
              </w:rPr>
              <w:t xml:space="preserve">厚黏土层（渗透系数不大于 </w:t>
            </w:r>
            <w:r>
              <w:rPr>
                <w:rFonts w:hint="default" w:ascii="Times New Roman" w:hAnsi="Times New Roman" w:eastAsia="宋体" w:cs="Times New Roman"/>
                <w:color w:val="auto"/>
                <w:kern w:val="0"/>
                <w:sz w:val="24"/>
                <w:szCs w:val="24"/>
                <w:lang w:val="en-US" w:eastAsia="zh-CN"/>
              </w:rPr>
              <w:t>10 -7 cm/s</w:t>
            </w:r>
            <w:r>
              <w:rPr>
                <w:rFonts w:hint="eastAsia" w:ascii="Times New Roman" w:hAnsi="Times New Roman" w:eastAsia="宋体" w:cs="Times New Roman"/>
                <w:color w:val="auto"/>
                <w:kern w:val="0"/>
                <w:sz w:val="24"/>
                <w:szCs w:val="24"/>
                <w:lang w:val="en-US" w:eastAsia="zh-CN"/>
              </w:rPr>
              <w:t>），或至少</w:t>
            </w:r>
            <w:r>
              <w:rPr>
                <w:rFonts w:hint="default" w:ascii="Times New Roman" w:hAnsi="Times New Roman" w:eastAsia="宋体" w:cs="Times New Roman"/>
                <w:color w:val="auto"/>
                <w:kern w:val="0"/>
                <w:sz w:val="24"/>
                <w:szCs w:val="24"/>
                <w:lang w:val="en-US" w:eastAsia="zh-CN"/>
              </w:rPr>
              <w:t xml:space="preserve">2 mm </w:t>
            </w:r>
            <w:r>
              <w:rPr>
                <w:rFonts w:hint="eastAsia" w:ascii="Times New Roman" w:hAnsi="Times New Roman" w:eastAsia="宋体" w:cs="Times New Roman"/>
                <w:color w:val="auto"/>
                <w:kern w:val="0"/>
                <w:sz w:val="24"/>
                <w:szCs w:val="24"/>
                <w:lang w:val="en-US" w:eastAsia="zh-CN"/>
              </w:rPr>
              <w:t xml:space="preserve">厚高密度聚乙烯膜等人工防渗材料（渗透系数不大于 </w:t>
            </w:r>
            <w:r>
              <w:rPr>
                <w:rFonts w:hint="default" w:ascii="Times New Roman" w:hAnsi="Times New Roman" w:eastAsia="宋体" w:cs="Times New Roman"/>
                <w:color w:val="auto"/>
                <w:kern w:val="0"/>
                <w:sz w:val="24"/>
                <w:szCs w:val="24"/>
                <w:lang w:val="en-US" w:eastAsia="zh-CN"/>
              </w:rPr>
              <w:t>10 -10 cm/s</w:t>
            </w:r>
            <w:r>
              <w:rPr>
                <w:rFonts w:hint="eastAsia" w:ascii="Times New Roman" w:hAnsi="Times New Roman" w:eastAsia="宋体" w:cs="Times New Roman"/>
                <w:color w:val="auto"/>
                <w:kern w:val="0"/>
                <w:sz w:val="24"/>
                <w:szCs w:val="24"/>
                <w:lang w:val="en-US" w:eastAsia="zh-CN"/>
              </w:rPr>
              <w:t>。危废间设置防渗漏托盘。采取以上措施后本项目不存在土壤、地下水环境污染途径，因此无需开展土壤、地下水现状调查。</w:t>
            </w:r>
          </w:p>
        </w:tc>
      </w:tr>
      <w:tr w14:paraId="4353C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292" w:type="pct"/>
            <w:vAlign w:val="center"/>
          </w:tcPr>
          <w:p w14:paraId="75DA97D1">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Cs/>
                <w:color w:val="auto"/>
                <w:sz w:val="24"/>
                <w:szCs w:val="24"/>
              </w:rPr>
              <w:t>与项目有关的原有环境污染和生态破坏问题</w:t>
            </w:r>
          </w:p>
        </w:tc>
        <w:tc>
          <w:tcPr>
            <w:tcW w:w="4707" w:type="pct"/>
            <w:vAlign w:val="center"/>
          </w:tcPr>
          <w:p w14:paraId="71E98A32">
            <w:pPr>
              <w:widowControl/>
              <w:shd w:val="clear" w:color="auto" w:fill="FFFFFF"/>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本项目为新建项目，项目区域现状为</w:t>
            </w:r>
            <w:r>
              <w:rPr>
                <w:rFonts w:hint="default" w:ascii="Times New Roman" w:hAnsi="Times New Roman" w:eastAsia="宋体" w:cs="Times New Roman"/>
                <w:color w:val="auto"/>
                <w:kern w:val="0"/>
                <w:sz w:val="24"/>
                <w:szCs w:val="24"/>
                <w:lang w:eastAsia="zh-CN"/>
              </w:rPr>
              <w:t>农田</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eastAsia="zh-CN"/>
              </w:rPr>
              <w:t>项目地</w:t>
            </w:r>
            <w:r>
              <w:rPr>
                <w:rFonts w:hint="default" w:ascii="Times New Roman" w:hAnsi="Times New Roman" w:eastAsia="宋体" w:cs="Times New Roman"/>
                <w:color w:val="auto"/>
                <w:kern w:val="0"/>
                <w:sz w:val="24"/>
                <w:szCs w:val="24"/>
              </w:rPr>
              <w:t>无环境污染和生态破坏问题。</w:t>
            </w:r>
          </w:p>
        </w:tc>
      </w:tr>
      <w:tr w14:paraId="70DF2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292" w:type="pct"/>
            <w:vAlign w:val="center"/>
          </w:tcPr>
          <w:p w14:paraId="1C1E3545">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生态环境保护目标</w:t>
            </w:r>
          </w:p>
        </w:tc>
        <w:tc>
          <w:tcPr>
            <w:tcW w:w="4707" w:type="pct"/>
            <w:vAlign w:val="center"/>
          </w:tcPr>
          <w:p w14:paraId="1789F44F">
            <w:pPr>
              <w:tabs>
                <w:tab w:val="left" w:pos="0"/>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1、生态环境</w:t>
            </w:r>
          </w:p>
          <w:p w14:paraId="39DDC628">
            <w:pPr>
              <w:tabs>
                <w:tab w:val="left" w:pos="0"/>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生态影响》（HJ19-2022），本项目不涉及国家公园、自然保护区、自然公园等自然保护地、世界自然遗产、生态保护红线等区域，以及重要物种的重要生境等生态敏感区，项目</w:t>
            </w:r>
            <w:r>
              <w:rPr>
                <w:rFonts w:hint="eastAsia"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占地规模为</w:t>
            </w:r>
            <w:r>
              <w:rPr>
                <w:rFonts w:hint="eastAsia" w:ascii="Times New Roman" w:hAnsi="Times New Roman" w:eastAsia="宋体" w:cs="Times New Roman"/>
                <w:color w:val="auto"/>
                <w:sz w:val="24"/>
                <w:szCs w:val="24"/>
                <w:highlight w:val="none"/>
                <w:lang w:val="en-US" w:eastAsia="zh-CN"/>
              </w:rPr>
              <w:t>15107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全部为</w:t>
            </w:r>
            <w:r>
              <w:rPr>
                <w:rFonts w:hint="default" w:ascii="Times New Roman" w:hAnsi="Times New Roman" w:eastAsia="宋体" w:cs="Times New Roman"/>
                <w:color w:val="auto"/>
                <w:sz w:val="24"/>
                <w:szCs w:val="24"/>
                <w:highlight w:val="none"/>
              </w:rPr>
              <w:t>临时占地），远小于20km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。因此评价范围为各井场周边500m范围内的区域。</w:t>
            </w:r>
          </w:p>
          <w:p w14:paraId="0F6B85A1">
            <w:pPr>
              <w:tabs>
                <w:tab w:val="left" w:pos="0"/>
              </w:tabs>
              <w:spacing w:line="360" w:lineRule="auto"/>
              <w:ind w:firstLine="480" w:firstLineChars="200"/>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根据现状调查，本项目评价区范围内未见</w:t>
            </w:r>
            <w:r>
              <w:rPr>
                <w:rFonts w:hint="eastAsia" w:ascii="Times New Roman" w:hAnsi="Times New Roman" w:eastAsia="宋体" w:cs="Times New Roman"/>
                <w:bCs/>
                <w:color w:val="auto"/>
                <w:sz w:val="24"/>
                <w:lang w:val="en-US" w:eastAsia="zh-CN"/>
              </w:rPr>
              <w:t>依据法律法规、政策等规范性文件划定或确认的国家公园、自然保护区、自然公园等自然保护地、世界自然遗产、生态保护红线等区域，未见重要物种的天然集中分布区、栖息地，重要水生生物的产卵场、索饵场、越冬场和洄游通道，迁徙鸟类的重要繁殖地、停歇地、越冬地以及野生动物迁徙通道等及其他需要保护的物种、种群、生物群落及生态空间</w:t>
            </w:r>
            <w:r>
              <w:rPr>
                <w:rFonts w:hint="eastAsia" w:ascii="Times New Roman" w:hAnsi="Times New Roman" w:eastAsia="宋体" w:cs="Times New Roman"/>
                <w:bCs/>
                <w:color w:val="auto"/>
                <w:sz w:val="24"/>
                <w:lang w:eastAsia="zh-CN"/>
              </w:rPr>
              <w:t>等生态环境保护目标。</w:t>
            </w:r>
          </w:p>
          <w:p w14:paraId="1C5D541D">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val="0"/>
                <w:color w:val="auto"/>
                <w:sz w:val="24"/>
                <w:szCs w:val="24"/>
                <w:lang w:val="en-US" w:eastAsia="zh-CN"/>
              </w:rPr>
            </w:pPr>
            <w:r>
              <w:rPr>
                <w:rFonts w:hint="eastAsia" w:ascii="宋体" w:hAnsi="宋体" w:cs="宋体"/>
                <w:color w:val="auto"/>
                <w:kern w:val="0"/>
                <w:sz w:val="24"/>
                <w:szCs w:val="24"/>
                <w:lang w:val="en-US" w:eastAsia="zh-CN" w:bidi="ar"/>
              </w:rPr>
              <w:t>施工场地周边环境保护目标见下表及附图。</w:t>
            </w:r>
          </w:p>
          <w:p w14:paraId="79AC555B">
            <w:pPr>
              <w:pStyle w:val="97"/>
              <w:numPr>
                <w:ilvl w:val="1"/>
                <w:numId w:val="2"/>
              </w:numPr>
              <w:tabs>
                <w:tab w:val="left" w:pos="2100"/>
                <w:tab w:val="clear" w:pos="1440"/>
              </w:tabs>
              <w:spacing w:line="240" w:lineRule="auto"/>
              <w:ind w:left="3360" w:leftChars="0" w:hanging="224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项目周边5</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0m范围内环境保护目标一览表</w:t>
            </w:r>
          </w:p>
          <w:tbl>
            <w:tblPr>
              <w:tblStyle w:val="27"/>
              <w:tblW w:w="4907" w:type="pct"/>
              <w:tblInd w:w="0" w:type="dxa"/>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357"/>
              <w:gridCol w:w="357"/>
              <w:gridCol w:w="1008"/>
              <w:gridCol w:w="1083"/>
              <w:gridCol w:w="960"/>
              <w:gridCol w:w="53"/>
              <w:gridCol w:w="626"/>
              <w:gridCol w:w="591"/>
              <w:gridCol w:w="833"/>
              <w:gridCol w:w="439"/>
              <w:gridCol w:w="674"/>
              <w:gridCol w:w="674"/>
            </w:tblGrid>
            <w:tr w14:paraId="5487A1D9">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3" w:type="pct"/>
                  <w:vMerge w:val="restart"/>
                  <w:noWrap w:val="0"/>
                  <w:vAlign w:val="center"/>
                </w:tcPr>
                <w:p w14:paraId="188602D9">
                  <w:pPr>
                    <w:jc w:val="center"/>
                    <w:rPr>
                      <w:rFonts w:ascii="Times New Roman" w:hAnsi="Times New Roman" w:eastAsia="宋体" w:cs="Times New Roman"/>
                      <w:b/>
                      <w:snapToGrid w:val="0"/>
                      <w:color w:val="auto"/>
                      <w:szCs w:val="21"/>
                      <w:highlight w:val="none"/>
                    </w:rPr>
                  </w:pPr>
                  <w:r>
                    <w:rPr>
                      <w:rFonts w:ascii="Times New Roman" w:hAnsi="宋体" w:eastAsia="宋体" w:cs="Times New Roman"/>
                      <w:b/>
                      <w:snapToGrid w:val="0"/>
                      <w:color w:val="auto"/>
                      <w:szCs w:val="21"/>
                      <w:highlight w:val="none"/>
                    </w:rPr>
                    <w:t>环境要素</w:t>
                  </w:r>
                </w:p>
              </w:tc>
              <w:tc>
                <w:tcPr>
                  <w:tcW w:w="233" w:type="pct"/>
                  <w:vMerge w:val="restart"/>
                  <w:noWrap w:val="0"/>
                  <w:vAlign w:val="center"/>
                </w:tcPr>
                <w:p w14:paraId="494DDC8A">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序号</w:t>
                  </w:r>
                </w:p>
              </w:tc>
              <w:tc>
                <w:tcPr>
                  <w:tcW w:w="658" w:type="pct"/>
                  <w:vMerge w:val="restart"/>
                  <w:noWrap w:val="0"/>
                  <w:vAlign w:val="center"/>
                </w:tcPr>
                <w:p w14:paraId="630A7E0A">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名称</w:t>
                  </w:r>
                </w:p>
              </w:tc>
              <w:tc>
                <w:tcPr>
                  <w:tcW w:w="1369" w:type="pct"/>
                  <w:gridSpan w:val="3"/>
                  <w:noWrap w:val="0"/>
                  <w:vAlign w:val="center"/>
                </w:tcPr>
                <w:p w14:paraId="2E2B8644">
                  <w:pPr>
                    <w:jc w:val="center"/>
                    <w:rPr>
                      <w:rFonts w:hint="eastAsia" w:ascii="Times New Roman" w:hAnsi="Times New Roman" w:eastAsia="宋体" w:cs="Times New Roman"/>
                      <w:b/>
                      <w:snapToGrid w:val="0"/>
                      <w:color w:val="auto"/>
                      <w:szCs w:val="21"/>
                      <w:highlight w:val="none"/>
                      <w:lang w:eastAsia="zh-CN"/>
                    </w:rPr>
                  </w:pPr>
                  <w:r>
                    <w:rPr>
                      <w:rFonts w:hint="eastAsia" w:ascii="Times New Roman" w:hAnsi="Times New Roman" w:eastAsia="宋体" w:cs="Times New Roman"/>
                      <w:b/>
                      <w:snapToGrid w:val="0"/>
                      <w:color w:val="auto"/>
                      <w:szCs w:val="21"/>
                      <w:highlight w:val="none"/>
                      <w:lang w:eastAsia="zh-CN"/>
                    </w:rPr>
                    <w:t>位置</w:t>
                  </w:r>
                </w:p>
              </w:tc>
              <w:tc>
                <w:tcPr>
                  <w:tcW w:w="408" w:type="pct"/>
                  <w:vMerge w:val="restart"/>
                  <w:noWrap w:val="0"/>
                  <w:vAlign w:val="center"/>
                </w:tcPr>
                <w:p w14:paraId="2D82E924">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保护对象</w:t>
                  </w:r>
                </w:p>
              </w:tc>
              <w:tc>
                <w:tcPr>
                  <w:tcW w:w="386" w:type="pct"/>
                  <w:vMerge w:val="restart"/>
                  <w:noWrap w:val="0"/>
                  <w:vAlign w:val="center"/>
                </w:tcPr>
                <w:p w14:paraId="6B4F4F10">
                  <w:pPr>
                    <w:jc w:val="center"/>
                    <w:rPr>
                      <w:rFonts w:hint="eastAsia" w:ascii="Times New Roman" w:hAnsi="Times New Roman" w:eastAsia="宋体" w:cs="Times New Roman"/>
                      <w:b/>
                      <w:snapToGrid w:val="0"/>
                      <w:color w:val="auto"/>
                      <w:szCs w:val="21"/>
                      <w:highlight w:val="none"/>
                      <w:lang w:val="en-US" w:eastAsia="zh-CN"/>
                    </w:rPr>
                  </w:pPr>
                  <w:r>
                    <w:rPr>
                      <w:rFonts w:ascii="Times New Roman" w:hAnsi="Times New Roman" w:eastAsia="宋体" w:cs="Times New Roman"/>
                      <w:b/>
                      <w:snapToGrid w:val="0"/>
                      <w:color w:val="auto"/>
                      <w:szCs w:val="21"/>
                      <w:highlight w:val="none"/>
                    </w:rPr>
                    <w:t>保护</w:t>
                  </w:r>
                  <w:r>
                    <w:rPr>
                      <w:rFonts w:hint="eastAsia" w:ascii="Times New Roman" w:hAnsi="Times New Roman" w:eastAsia="宋体" w:cs="Times New Roman"/>
                      <w:b/>
                      <w:snapToGrid w:val="0"/>
                      <w:color w:val="auto"/>
                      <w:szCs w:val="21"/>
                      <w:highlight w:val="none"/>
                      <w:lang w:eastAsia="zh-CN"/>
                    </w:rPr>
                    <w:t>规模</w:t>
                  </w:r>
                </w:p>
              </w:tc>
              <w:tc>
                <w:tcPr>
                  <w:tcW w:w="544" w:type="pct"/>
                  <w:vMerge w:val="restart"/>
                  <w:noWrap w:val="0"/>
                  <w:vAlign w:val="center"/>
                </w:tcPr>
                <w:p w14:paraId="6C1A055B">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环境功能区</w:t>
                  </w:r>
                </w:p>
              </w:tc>
              <w:tc>
                <w:tcPr>
                  <w:tcW w:w="286" w:type="pct"/>
                  <w:vMerge w:val="restart"/>
                  <w:noWrap w:val="0"/>
                  <w:vAlign w:val="center"/>
                </w:tcPr>
                <w:p w14:paraId="6AF8664B">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相对方位</w:t>
                  </w:r>
                </w:p>
              </w:tc>
              <w:tc>
                <w:tcPr>
                  <w:tcW w:w="440" w:type="pct"/>
                  <w:vMerge w:val="restart"/>
                  <w:noWrap w:val="0"/>
                  <w:vAlign w:val="center"/>
                </w:tcPr>
                <w:p w14:paraId="7499CC54">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相对井场最近距离</w:t>
                  </w:r>
                  <w:r>
                    <w:rPr>
                      <w:rFonts w:hint="eastAsia" w:ascii="Times New Roman" w:hAnsi="Times New Roman" w:eastAsia="宋体" w:cs="Times New Roman"/>
                      <w:b/>
                      <w:snapToGrid w:val="0"/>
                      <w:color w:val="auto"/>
                      <w:szCs w:val="21"/>
                      <w:highlight w:val="none"/>
                    </w:rPr>
                    <w:t>/m</w:t>
                  </w:r>
                </w:p>
              </w:tc>
              <w:tc>
                <w:tcPr>
                  <w:tcW w:w="440" w:type="pct"/>
                  <w:vMerge w:val="restart"/>
                  <w:noWrap w:val="0"/>
                  <w:vAlign w:val="center"/>
                </w:tcPr>
                <w:p w14:paraId="150E86C9">
                  <w:pPr>
                    <w:jc w:val="center"/>
                    <w:rPr>
                      <w:rFonts w:hint="eastAsia" w:ascii="Times New Roman" w:hAnsi="Times New Roman" w:eastAsia="宋体" w:cs="Times New Roman"/>
                      <w:b/>
                      <w:snapToGrid w:val="0"/>
                      <w:color w:val="auto"/>
                      <w:szCs w:val="21"/>
                      <w:highlight w:val="none"/>
                      <w:lang w:val="en-US" w:eastAsia="zh-CN"/>
                    </w:rPr>
                  </w:pPr>
                  <w:r>
                    <w:rPr>
                      <w:rFonts w:hint="eastAsia" w:ascii="Times New Roman" w:hAnsi="Times New Roman" w:eastAsia="宋体" w:cs="Times New Roman"/>
                      <w:b/>
                      <w:snapToGrid w:val="0"/>
                      <w:color w:val="auto"/>
                      <w:szCs w:val="21"/>
                      <w:highlight w:val="none"/>
                      <w:lang w:val="en-US" w:eastAsia="zh-CN"/>
                    </w:rPr>
                    <w:t>距离最近的井场编号</w:t>
                  </w:r>
                </w:p>
              </w:tc>
            </w:tr>
            <w:tr w14:paraId="12577D96">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233" w:type="pct"/>
                  <w:vMerge w:val="continue"/>
                  <w:noWrap w:val="0"/>
                  <w:vAlign w:val="center"/>
                </w:tcPr>
                <w:p w14:paraId="0FB04EB5">
                  <w:pPr>
                    <w:jc w:val="center"/>
                    <w:rPr>
                      <w:rFonts w:ascii="Times New Roman" w:hAnsi="宋体" w:eastAsia="宋体" w:cs="Times New Roman"/>
                      <w:snapToGrid w:val="0"/>
                      <w:color w:val="auto"/>
                      <w:szCs w:val="21"/>
                      <w:highlight w:val="none"/>
                    </w:rPr>
                  </w:pPr>
                </w:p>
              </w:tc>
              <w:tc>
                <w:tcPr>
                  <w:tcW w:w="233" w:type="pct"/>
                  <w:vMerge w:val="continue"/>
                  <w:noWrap w:val="0"/>
                  <w:vAlign w:val="center"/>
                </w:tcPr>
                <w:p w14:paraId="3C93FC11">
                  <w:pPr>
                    <w:jc w:val="center"/>
                    <w:rPr>
                      <w:rFonts w:ascii="Times New Roman" w:hAnsi="Times New Roman" w:eastAsia="宋体" w:cs="Times New Roman"/>
                      <w:snapToGrid w:val="0"/>
                      <w:color w:val="auto"/>
                      <w:szCs w:val="21"/>
                      <w:highlight w:val="none"/>
                    </w:rPr>
                  </w:pPr>
                </w:p>
              </w:tc>
              <w:tc>
                <w:tcPr>
                  <w:tcW w:w="658" w:type="pct"/>
                  <w:vMerge w:val="continue"/>
                  <w:noWrap w:val="0"/>
                  <w:vAlign w:val="center"/>
                </w:tcPr>
                <w:p w14:paraId="41DFE0C1">
                  <w:pPr>
                    <w:jc w:val="center"/>
                    <w:rPr>
                      <w:rFonts w:ascii="Times New Roman" w:hAnsi="Times New Roman" w:eastAsia="宋体" w:cs="Times New Roman"/>
                      <w:snapToGrid w:val="0"/>
                      <w:color w:val="auto"/>
                      <w:szCs w:val="21"/>
                      <w:highlight w:val="none"/>
                    </w:rPr>
                  </w:pPr>
                </w:p>
              </w:tc>
              <w:tc>
                <w:tcPr>
                  <w:tcW w:w="707" w:type="pct"/>
                  <w:noWrap w:val="0"/>
                  <w:vAlign w:val="center"/>
                </w:tcPr>
                <w:p w14:paraId="22C4CAD3">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经度</w:t>
                  </w:r>
                </w:p>
              </w:tc>
              <w:tc>
                <w:tcPr>
                  <w:tcW w:w="661" w:type="pct"/>
                  <w:gridSpan w:val="2"/>
                  <w:noWrap w:val="0"/>
                  <w:vAlign w:val="center"/>
                </w:tcPr>
                <w:p w14:paraId="14ABC974">
                  <w:pPr>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纬度</w:t>
                  </w:r>
                </w:p>
              </w:tc>
              <w:tc>
                <w:tcPr>
                  <w:tcW w:w="408" w:type="pct"/>
                  <w:vMerge w:val="continue"/>
                  <w:noWrap w:val="0"/>
                  <w:vAlign w:val="center"/>
                </w:tcPr>
                <w:p w14:paraId="5303F648">
                  <w:pPr>
                    <w:jc w:val="center"/>
                    <w:rPr>
                      <w:rFonts w:ascii="Times New Roman" w:hAnsi="Times New Roman" w:eastAsia="宋体" w:cs="Times New Roman"/>
                      <w:snapToGrid w:val="0"/>
                      <w:color w:val="auto"/>
                      <w:szCs w:val="21"/>
                      <w:highlight w:val="none"/>
                    </w:rPr>
                  </w:pPr>
                </w:p>
              </w:tc>
              <w:tc>
                <w:tcPr>
                  <w:tcW w:w="386" w:type="pct"/>
                  <w:vMerge w:val="continue"/>
                  <w:noWrap w:val="0"/>
                  <w:vAlign w:val="center"/>
                </w:tcPr>
                <w:p w14:paraId="0F8299C6">
                  <w:pPr>
                    <w:jc w:val="center"/>
                    <w:rPr>
                      <w:rFonts w:ascii="Times New Roman" w:hAnsi="Times New Roman" w:eastAsia="宋体" w:cs="Times New Roman"/>
                      <w:snapToGrid w:val="0"/>
                      <w:color w:val="auto"/>
                      <w:szCs w:val="21"/>
                      <w:highlight w:val="none"/>
                    </w:rPr>
                  </w:pPr>
                </w:p>
              </w:tc>
              <w:tc>
                <w:tcPr>
                  <w:tcW w:w="544" w:type="pct"/>
                  <w:vMerge w:val="continue"/>
                  <w:noWrap w:val="0"/>
                  <w:vAlign w:val="center"/>
                </w:tcPr>
                <w:p w14:paraId="1F407622">
                  <w:pPr>
                    <w:jc w:val="center"/>
                    <w:rPr>
                      <w:rFonts w:ascii="Times New Roman" w:hAnsi="Times New Roman" w:eastAsia="宋体" w:cs="Times New Roman"/>
                      <w:snapToGrid w:val="0"/>
                      <w:color w:val="auto"/>
                      <w:szCs w:val="21"/>
                      <w:highlight w:val="none"/>
                    </w:rPr>
                  </w:pPr>
                </w:p>
              </w:tc>
              <w:tc>
                <w:tcPr>
                  <w:tcW w:w="286" w:type="pct"/>
                  <w:vMerge w:val="continue"/>
                  <w:noWrap w:val="0"/>
                  <w:vAlign w:val="center"/>
                </w:tcPr>
                <w:p w14:paraId="7D6C2AC9">
                  <w:pPr>
                    <w:jc w:val="center"/>
                    <w:rPr>
                      <w:rFonts w:ascii="Times New Roman" w:hAnsi="Times New Roman" w:eastAsia="宋体" w:cs="Times New Roman"/>
                      <w:snapToGrid w:val="0"/>
                      <w:color w:val="auto"/>
                      <w:szCs w:val="21"/>
                      <w:highlight w:val="none"/>
                    </w:rPr>
                  </w:pPr>
                </w:p>
              </w:tc>
              <w:tc>
                <w:tcPr>
                  <w:tcW w:w="440" w:type="pct"/>
                  <w:vMerge w:val="continue"/>
                  <w:noWrap w:val="0"/>
                  <w:vAlign w:val="center"/>
                </w:tcPr>
                <w:p w14:paraId="74A2525F">
                  <w:pPr>
                    <w:jc w:val="center"/>
                    <w:rPr>
                      <w:rFonts w:ascii="Times New Roman" w:hAnsi="Times New Roman" w:eastAsia="宋体" w:cs="Times New Roman"/>
                      <w:snapToGrid w:val="0"/>
                      <w:color w:val="auto"/>
                      <w:szCs w:val="21"/>
                      <w:highlight w:val="none"/>
                    </w:rPr>
                  </w:pPr>
                </w:p>
              </w:tc>
              <w:tc>
                <w:tcPr>
                  <w:tcW w:w="440" w:type="pct"/>
                  <w:vMerge w:val="continue"/>
                  <w:noWrap w:val="0"/>
                  <w:vAlign w:val="center"/>
                </w:tcPr>
                <w:p w14:paraId="091606FD">
                  <w:pPr>
                    <w:jc w:val="center"/>
                    <w:rPr>
                      <w:rFonts w:ascii="Times New Roman" w:hAnsi="Times New Roman" w:eastAsia="宋体" w:cs="Times New Roman"/>
                      <w:snapToGrid w:val="0"/>
                      <w:color w:val="auto"/>
                      <w:szCs w:val="21"/>
                      <w:highlight w:val="none"/>
                    </w:rPr>
                  </w:pPr>
                </w:p>
              </w:tc>
            </w:tr>
            <w:tr w14:paraId="07910E8F">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3" w:type="pct"/>
                  <w:vMerge w:val="restart"/>
                  <w:noWrap w:val="0"/>
                  <w:vAlign w:val="center"/>
                </w:tcPr>
                <w:p w14:paraId="2435C0D6">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环境空气</w:t>
                  </w:r>
                </w:p>
              </w:tc>
              <w:tc>
                <w:tcPr>
                  <w:tcW w:w="233" w:type="pct"/>
                  <w:noWrap w:val="0"/>
                  <w:vAlign w:val="center"/>
                </w:tcPr>
                <w:p w14:paraId="2AC58412">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1</w:t>
                  </w:r>
                </w:p>
              </w:tc>
              <w:tc>
                <w:tcPr>
                  <w:tcW w:w="658" w:type="pct"/>
                  <w:noWrap w:val="0"/>
                  <w:vAlign w:val="center"/>
                </w:tcPr>
                <w:p w14:paraId="7FD7083C">
                  <w:pPr>
                    <w:spacing w:line="276"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小圩孜</w:t>
                  </w:r>
                </w:p>
              </w:tc>
              <w:tc>
                <w:tcPr>
                  <w:tcW w:w="707" w:type="pct"/>
                  <w:noWrap w:val="0"/>
                  <w:vAlign w:val="center"/>
                </w:tcPr>
                <w:p w14:paraId="7BE5518B">
                  <w:pPr>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116.79930035</w:t>
                  </w:r>
                </w:p>
              </w:tc>
              <w:tc>
                <w:tcPr>
                  <w:tcW w:w="661" w:type="pct"/>
                  <w:gridSpan w:val="2"/>
                  <w:noWrap w:val="0"/>
                  <w:vAlign w:val="center"/>
                </w:tcPr>
                <w:p w14:paraId="024B6C07">
                  <w:pPr>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32.86187046</w:t>
                  </w:r>
                </w:p>
              </w:tc>
              <w:tc>
                <w:tcPr>
                  <w:tcW w:w="408" w:type="pct"/>
                  <w:noWrap w:val="0"/>
                  <w:vAlign w:val="center"/>
                </w:tcPr>
                <w:p w14:paraId="7F3D1AD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居民区</w:t>
                  </w:r>
                </w:p>
              </w:tc>
              <w:tc>
                <w:tcPr>
                  <w:tcW w:w="386" w:type="pct"/>
                  <w:noWrap w:val="0"/>
                  <w:vAlign w:val="center"/>
                </w:tcPr>
                <w:p w14:paraId="6BC2280E">
                  <w:pPr>
                    <w:jc w:val="center"/>
                    <w:rPr>
                      <w:rFonts w:hint="eastAsia" w:ascii="Times New Roman" w:hAnsi="Times New Roman" w:eastAsia="宋体" w:cs="Times New Roman"/>
                      <w:bCs/>
                      <w:color w:val="auto"/>
                      <w:szCs w:val="21"/>
                      <w:highlight w:val="none"/>
                      <w:lang w:eastAsia="zh-CN"/>
                    </w:rPr>
                  </w:pPr>
                  <w:r>
                    <w:rPr>
                      <w:rFonts w:ascii="Times New Roman" w:hAnsi="Times New Roman" w:eastAsia="宋体" w:cs="Times New Roman"/>
                      <w:bCs/>
                      <w:color w:val="auto"/>
                      <w:szCs w:val="21"/>
                      <w:highlight w:val="none"/>
                    </w:rPr>
                    <w:t>约</w:t>
                  </w:r>
                  <w:r>
                    <w:rPr>
                      <w:rFonts w:hint="eastAsia" w:ascii="Times New Roman" w:hAnsi="Times New Roman" w:eastAsia="宋体" w:cs="Times New Roman"/>
                      <w:bCs/>
                      <w:color w:val="auto"/>
                      <w:szCs w:val="21"/>
                      <w:highlight w:val="none"/>
                      <w:lang w:val="en-US" w:eastAsia="zh-CN"/>
                    </w:rPr>
                    <w:t>40</w:t>
                  </w:r>
                  <w:r>
                    <w:rPr>
                      <w:rFonts w:hint="eastAsia" w:ascii="Times New Roman" w:hAnsi="Times New Roman" w:eastAsia="宋体" w:cs="Times New Roman"/>
                      <w:bCs/>
                      <w:color w:val="auto"/>
                      <w:szCs w:val="21"/>
                      <w:highlight w:val="none"/>
                      <w:lang w:eastAsia="zh-CN"/>
                    </w:rPr>
                    <w:t>户</w:t>
                  </w:r>
                </w:p>
              </w:tc>
              <w:tc>
                <w:tcPr>
                  <w:tcW w:w="544" w:type="pct"/>
                  <w:vMerge w:val="restart"/>
                  <w:noWrap w:val="0"/>
                  <w:vAlign w:val="center"/>
                </w:tcPr>
                <w:p w14:paraId="77A53603">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《环境空气质量标准》（GB3095-2012）二级标准</w:t>
                  </w:r>
                </w:p>
              </w:tc>
              <w:tc>
                <w:tcPr>
                  <w:tcW w:w="286" w:type="pct"/>
                  <w:noWrap w:val="0"/>
                  <w:vAlign w:val="center"/>
                </w:tcPr>
                <w:p w14:paraId="3FCE0F74">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WS</w:t>
                  </w:r>
                </w:p>
              </w:tc>
              <w:tc>
                <w:tcPr>
                  <w:tcW w:w="440" w:type="pct"/>
                  <w:noWrap w:val="0"/>
                  <w:vAlign w:val="center"/>
                </w:tcPr>
                <w:p w14:paraId="409598D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366</w:t>
                  </w:r>
                </w:p>
              </w:tc>
              <w:tc>
                <w:tcPr>
                  <w:tcW w:w="440" w:type="pct"/>
                  <w:noWrap w:val="0"/>
                  <w:vAlign w:val="center"/>
                </w:tcPr>
                <w:p w14:paraId="1A66F29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1#井场</w:t>
                  </w:r>
                </w:p>
              </w:tc>
            </w:tr>
            <w:tr w14:paraId="607D26D6">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3" w:type="pct"/>
                  <w:vMerge w:val="continue"/>
                  <w:noWrap w:val="0"/>
                  <w:vAlign w:val="center"/>
                </w:tcPr>
                <w:p w14:paraId="63201BF3">
                  <w:pPr>
                    <w:jc w:val="center"/>
                    <w:rPr>
                      <w:rFonts w:ascii="Times New Roman" w:hAnsi="Times New Roman" w:eastAsia="宋体" w:cs="Times New Roman"/>
                      <w:bCs/>
                      <w:color w:val="auto"/>
                      <w:szCs w:val="21"/>
                    </w:rPr>
                  </w:pPr>
                </w:p>
              </w:tc>
              <w:tc>
                <w:tcPr>
                  <w:tcW w:w="233" w:type="pct"/>
                  <w:noWrap w:val="0"/>
                  <w:vAlign w:val="center"/>
                </w:tcPr>
                <w:p w14:paraId="0FACAE62">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2</w:t>
                  </w:r>
                </w:p>
              </w:tc>
              <w:tc>
                <w:tcPr>
                  <w:tcW w:w="658" w:type="pct"/>
                  <w:noWrap w:val="0"/>
                  <w:vAlign w:val="center"/>
                </w:tcPr>
                <w:p w14:paraId="296F4823">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大圩孜</w:t>
                  </w:r>
                </w:p>
              </w:tc>
              <w:tc>
                <w:tcPr>
                  <w:tcW w:w="707" w:type="pct"/>
                  <w:noWrap w:val="0"/>
                  <w:vAlign w:val="center"/>
                </w:tcPr>
                <w:p w14:paraId="5038FF58">
                  <w:pPr>
                    <w:spacing w:line="276" w:lineRule="auto"/>
                    <w:jc w:val="both"/>
                    <w:rPr>
                      <w:rFonts w:ascii="Times New Roman" w:hAnsi="Times New Roman" w:eastAsia="宋体" w:cs="Times New Roman"/>
                      <w:color w:val="auto"/>
                      <w:szCs w:val="21"/>
                    </w:rPr>
                  </w:pPr>
                  <w:r>
                    <w:rPr>
                      <w:rFonts w:hint="eastAsia" w:ascii="Times New Roman" w:hAnsi="Times New Roman" w:eastAsia="宋体" w:cs="Times New Roman"/>
                      <w:color w:val="auto"/>
                      <w:szCs w:val="21"/>
                    </w:rPr>
                    <w:t>116.80550921</w:t>
                  </w:r>
                </w:p>
              </w:tc>
              <w:tc>
                <w:tcPr>
                  <w:tcW w:w="661" w:type="pct"/>
                  <w:gridSpan w:val="2"/>
                  <w:noWrap w:val="0"/>
                  <w:vAlign w:val="center"/>
                </w:tcPr>
                <w:p w14:paraId="6C8047DE">
                  <w:pPr>
                    <w:spacing w:line="276" w:lineRule="auto"/>
                    <w:jc w:val="center"/>
                    <w:rPr>
                      <w:rFonts w:ascii="Times New Roman" w:hAnsi="Times New Roman" w:cs="Times New Roman"/>
                      <w:color w:val="auto"/>
                    </w:rPr>
                  </w:pPr>
                  <w:r>
                    <w:rPr>
                      <w:rFonts w:hint="eastAsia" w:ascii="Times New Roman" w:hAnsi="Times New Roman" w:cs="Times New Roman"/>
                      <w:color w:val="auto"/>
                    </w:rPr>
                    <w:t>32.86021530</w:t>
                  </w:r>
                </w:p>
              </w:tc>
              <w:tc>
                <w:tcPr>
                  <w:tcW w:w="408" w:type="pct"/>
                  <w:noWrap w:val="0"/>
                  <w:vAlign w:val="center"/>
                </w:tcPr>
                <w:p w14:paraId="639B566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居民区</w:t>
                  </w:r>
                </w:p>
              </w:tc>
              <w:tc>
                <w:tcPr>
                  <w:tcW w:w="386" w:type="pct"/>
                  <w:noWrap w:val="0"/>
                  <w:vAlign w:val="center"/>
                </w:tcPr>
                <w:p w14:paraId="4AD3B6AF">
                  <w:pPr>
                    <w:jc w:val="center"/>
                    <w:rPr>
                      <w:rFonts w:ascii="Times New Roman" w:hAnsi="Times New Roman" w:eastAsia="宋体" w:cs="Times New Roman"/>
                      <w:color w:val="auto"/>
                      <w:szCs w:val="21"/>
                    </w:rPr>
                  </w:pPr>
                  <w:r>
                    <w:rPr>
                      <w:rFonts w:ascii="Times New Roman" w:hAnsi="Times New Roman" w:eastAsia="宋体" w:cs="Times New Roman"/>
                      <w:bCs/>
                      <w:color w:val="auto"/>
                      <w:szCs w:val="21"/>
                      <w:highlight w:val="none"/>
                    </w:rPr>
                    <w:t>约</w:t>
                  </w:r>
                  <w:r>
                    <w:rPr>
                      <w:rFonts w:hint="eastAsia" w:ascii="Times New Roman" w:hAnsi="Times New Roman" w:eastAsia="宋体" w:cs="Times New Roman"/>
                      <w:bCs/>
                      <w:color w:val="auto"/>
                      <w:szCs w:val="21"/>
                      <w:highlight w:val="none"/>
                      <w:lang w:val="en-US" w:eastAsia="zh-CN"/>
                    </w:rPr>
                    <w:t>20</w:t>
                  </w:r>
                  <w:r>
                    <w:rPr>
                      <w:rFonts w:hint="eastAsia" w:ascii="Times New Roman" w:hAnsi="Times New Roman" w:eastAsia="宋体" w:cs="Times New Roman"/>
                      <w:bCs/>
                      <w:color w:val="auto"/>
                      <w:szCs w:val="21"/>
                      <w:highlight w:val="none"/>
                      <w:lang w:eastAsia="zh-CN"/>
                    </w:rPr>
                    <w:t>户</w:t>
                  </w:r>
                </w:p>
              </w:tc>
              <w:tc>
                <w:tcPr>
                  <w:tcW w:w="544" w:type="pct"/>
                  <w:vMerge w:val="continue"/>
                  <w:noWrap w:val="0"/>
                  <w:vAlign w:val="center"/>
                </w:tcPr>
                <w:p w14:paraId="13FAEBD1">
                  <w:pPr>
                    <w:jc w:val="center"/>
                    <w:rPr>
                      <w:rFonts w:ascii="Times New Roman" w:hAnsi="Times New Roman" w:eastAsia="宋体" w:cs="Times New Roman"/>
                      <w:bCs/>
                      <w:color w:val="auto"/>
                      <w:szCs w:val="21"/>
                    </w:rPr>
                  </w:pPr>
                </w:p>
              </w:tc>
              <w:tc>
                <w:tcPr>
                  <w:tcW w:w="286" w:type="pct"/>
                  <w:noWrap w:val="0"/>
                  <w:vAlign w:val="center"/>
                </w:tcPr>
                <w:p w14:paraId="69EA1E2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SE</w:t>
                  </w:r>
                </w:p>
              </w:tc>
              <w:tc>
                <w:tcPr>
                  <w:tcW w:w="440" w:type="pct"/>
                  <w:noWrap w:val="0"/>
                  <w:vAlign w:val="center"/>
                </w:tcPr>
                <w:p w14:paraId="474AA13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299</w:t>
                  </w:r>
                </w:p>
              </w:tc>
              <w:tc>
                <w:tcPr>
                  <w:tcW w:w="440" w:type="pct"/>
                  <w:noWrap w:val="0"/>
                  <w:vAlign w:val="center"/>
                </w:tcPr>
                <w:p w14:paraId="7A1D570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highlight w:val="none"/>
                      <w:lang w:val="en-US" w:eastAsia="zh-CN"/>
                    </w:rPr>
                    <w:t>2#井场</w:t>
                  </w:r>
                </w:p>
              </w:tc>
            </w:tr>
            <w:tr w14:paraId="26E752FC">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233" w:type="pct"/>
                  <w:vMerge w:val="continue"/>
                  <w:noWrap w:val="0"/>
                  <w:vAlign w:val="center"/>
                </w:tcPr>
                <w:p w14:paraId="02DEC1B1">
                  <w:pPr>
                    <w:jc w:val="center"/>
                    <w:rPr>
                      <w:rFonts w:ascii="Times New Roman" w:hAnsi="Times New Roman" w:eastAsia="宋体" w:cs="Times New Roman"/>
                      <w:bCs/>
                      <w:color w:val="auto"/>
                      <w:szCs w:val="21"/>
                    </w:rPr>
                  </w:pPr>
                </w:p>
              </w:tc>
              <w:tc>
                <w:tcPr>
                  <w:tcW w:w="233" w:type="pct"/>
                  <w:shd w:val="clear" w:color="auto" w:fill="auto"/>
                  <w:noWrap w:val="0"/>
                  <w:vAlign w:val="center"/>
                </w:tcPr>
                <w:p w14:paraId="58C3ABD7">
                  <w:pPr>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3</w:t>
                  </w:r>
                </w:p>
              </w:tc>
              <w:tc>
                <w:tcPr>
                  <w:tcW w:w="658" w:type="pct"/>
                  <w:shd w:val="clear" w:color="auto" w:fill="auto"/>
                  <w:noWrap w:val="0"/>
                  <w:vAlign w:val="center"/>
                </w:tcPr>
                <w:p w14:paraId="7C780998">
                  <w:pPr>
                    <w:spacing w:line="276"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聂庄</w:t>
                  </w:r>
                </w:p>
              </w:tc>
              <w:tc>
                <w:tcPr>
                  <w:tcW w:w="707" w:type="pct"/>
                  <w:shd w:val="clear" w:color="auto" w:fill="auto"/>
                  <w:noWrap w:val="0"/>
                  <w:vAlign w:val="center"/>
                </w:tcPr>
                <w:p w14:paraId="0DCC45AC">
                  <w:pPr>
                    <w:spacing w:line="276"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116.81186688</w:t>
                  </w:r>
                </w:p>
              </w:tc>
              <w:tc>
                <w:tcPr>
                  <w:tcW w:w="661" w:type="pct"/>
                  <w:gridSpan w:val="2"/>
                  <w:shd w:val="clear" w:color="auto" w:fill="auto"/>
                  <w:noWrap w:val="0"/>
                  <w:vAlign w:val="center"/>
                </w:tcPr>
                <w:p w14:paraId="41BF5887">
                  <w:pPr>
                    <w:spacing w:line="276"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32.85565529</w:t>
                  </w:r>
                </w:p>
              </w:tc>
              <w:tc>
                <w:tcPr>
                  <w:tcW w:w="408" w:type="pct"/>
                  <w:shd w:val="clear" w:color="auto" w:fill="auto"/>
                  <w:noWrap w:val="0"/>
                  <w:vAlign w:val="center"/>
                </w:tcPr>
                <w:p w14:paraId="744D631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highlight w:val="none"/>
                    </w:rPr>
                    <w:t>居民区</w:t>
                  </w:r>
                </w:p>
              </w:tc>
              <w:tc>
                <w:tcPr>
                  <w:tcW w:w="386" w:type="pct"/>
                  <w:shd w:val="clear" w:color="auto" w:fill="auto"/>
                  <w:noWrap w:val="0"/>
                  <w:vAlign w:val="center"/>
                </w:tcPr>
                <w:p w14:paraId="34C2176E">
                  <w:pPr>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highlight w:val="none"/>
                    </w:rPr>
                    <w:t>约</w:t>
                  </w:r>
                  <w:r>
                    <w:rPr>
                      <w:rFonts w:hint="eastAsia" w:ascii="Times New Roman" w:hAnsi="Times New Roman" w:eastAsia="宋体" w:cs="Times New Roman"/>
                      <w:bCs/>
                      <w:color w:val="auto"/>
                      <w:szCs w:val="21"/>
                      <w:highlight w:val="none"/>
                      <w:lang w:val="en-US" w:eastAsia="zh-CN"/>
                    </w:rPr>
                    <w:t>15</w:t>
                  </w:r>
                  <w:r>
                    <w:rPr>
                      <w:rFonts w:hint="eastAsia" w:ascii="Times New Roman" w:hAnsi="Times New Roman" w:eastAsia="宋体" w:cs="Times New Roman"/>
                      <w:bCs/>
                      <w:color w:val="auto"/>
                      <w:szCs w:val="21"/>
                      <w:highlight w:val="none"/>
                      <w:lang w:eastAsia="zh-CN"/>
                    </w:rPr>
                    <w:t>户</w:t>
                  </w:r>
                </w:p>
              </w:tc>
              <w:tc>
                <w:tcPr>
                  <w:tcW w:w="544" w:type="pct"/>
                  <w:vMerge w:val="continue"/>
                  <w:shd w:val="clear" w:color="auto" w:fill="auto"/>
                  <w:noWrap w:val="0"/>
                  <w:vAlign w:val="center"/>
                </w:tcPr>
                <w:p w14:paraId="3A0CDE8C">
                  <w:pPr>
                    <w:jc w:val="center"/>
                    <w:rPr>
                      <w:rFonts w:ascii="Times New Roman" w:hAnsi="Times New Roman" w:eastAsia="宋体" w:cs="Times New Roman"/>
                      <w:bCs/>
                      <w:color w:val="auto"/>
                      <w:kern w:val="2"/>
                      <w:sz w:val="21"/>
                      <w:szCs w:val="21"/>
                      <w:lang w:val="en-US" w:eastAsia="zh-CN" w:bidi="ar-SA"/>
                    </w:rPr>
                  </w:pPr>
                </w:p>
              </w:tc>
              <w:tc>
                <w:tcPr>
                  <w:tcW w:w="286" w:type="pct"/>
                  <w:shd w:val="clear" w:color="auto" w:fill="auto"/>
                  <w:noWrap w:val="0"/>
                  <w:vAlign w:val="center"/>
                </w:tcPr>
                <w:p w14:paraId="0760ED9A">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S</w:t>
                  </w:r>
                </w:p>
              </w:tc>
              <w:tc>
                <w:tcPr>
                  <w:tcW w:w="440" w:type="pct"/>
                  <w:shd w:val="clear" w:color="auto" w:fill="auto"/>
                  <w:noWrap w:val="0"/>
                  <w:vAlign w:val="center"/>
                </w:tcPr>
                <w:p w14:paraId="00A6A9F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351</w:t>
                  </w:r>
                </w:p>
              </w:tc>
              <w:tc>
                <w:tcPr>
                  <w:tcW w:w="440" w:type="pct"/>
                  <w:shd w:val="clear" w:color="auto" w:fill="auto"/>
                  <w:noWrap w:val="0"/>
                  <w:vAlign w:val="center"/>
                </w:tcPr>
                <w:p w14:paraId="484F6C3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highlight w:val="none"/>
                      <w:lang w:val="en-US" w:eastAsia="zh-CN"/>
                    </w:rPr>
                    <w:t>3#井场</w:t>
                  </w:r>
                </w:p>
              </w:tc>
            </w:tr>
            <w:tr w14:paraId="49F26F14">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233" w:type="pct"/>
                  <w:vMerge w:val="continue"/>
                  <w:noWrap w:val="0"/>
                  <w:vAlign w:val="center"/>
                </w:tcPr>
                <w:p w14:paraId="00ECFF73">
                  <w:pPr>
                    <w:jc w:val="center"/>
                    <w:rPr>
                      <w:rFonts w:ascii="Times New Roman" w:hAnsi="Times New Roman" w:eastAsia="宋体" w:cs="Times New Roman"/>
                      <w:bCs/>
                      <w:color w:val="auto"/>
                      <w:szCs w:val="21"/>
                    </w:rPr>
                  </w:pPr>
                </w:p>
              </w:tc>
              <w:tc>
                <w:tcPr>
                  <w:tcW w:w="233" w:type="pct"/>
                  <w:noWrap w:val="0"/>
                  <w:vAlign w:val="center"/>
                </w:tcPr>
                <w:p w14:paraId="22A3A69B">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658" w:type="pct"/>
                  <w:noWrap w:val="0"/>
                  <w:vAlign w:val="center"/>
                </w:tcPr>
                <w:p w14:paraId="0DEACC00">
                  <w:pPr>
                    <w:spacing w:line="276"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小李庄</w:t>
                  </w:r>
                </w:p>
              </w:tc>
              <w:tc>
                <w:tcPr>
                  <w:tcW w:w="707" w:type="pct"/>
                  <w:shd w:val="clear" w:color="auto" w:fill="auto"/>
                  <w:noWrap w:val="0"/>
                  <w:vAlign w:val="center"/>
                </w:tcPr>
                <w:p w14:paraId="1D3CB438">
                  <w:pPr>
                    <w:spacing w:line="276" w:lineRule="auto"/>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116.81675157</w:t>
                  </w:r>
                </w:p>
              </w:tc>
              <w:tc>
                <w:tcPr>
                  <w:tcW w:w="661" w:type="pct"/>
                  <w:gridSpan w:val="2"/>
                  <w:shd w:val="clear" w:color="auto" w:fill="auto"/>
                  <w:noWrap w:val="0"/>
                  <w:vAlign w:val="center"/>
                </w:tcPr>
                <w:p w14:paraId="043EA13C">
                  <w:pPr>
                    <w:spacing w:line="276"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32.85713474</w:t>
                  </w:r>
                </w:p>
              </w:tc>
              <w:tc>
                <w:tcPr>
                  <w:tcW w:w="408" w:type="pct"/>
                  <w:shd w:val="clear" w:color="auto" w:fill="auto"/>
                  <w:noWrap w:val="0"/>
                  <w:vAlign w:val="center"/>
                </w:tcPr>
                <w:p w14:paraId="741ACABC">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居民区</w:t>
                  </w:r>
                </w:p>
              </w:tc>
              <w:tc>
                <w:tcPr>
                  <w:tcW w:w="386" w:type="pct"/>
                  <w:shd w:val="clear" w:color="auto" w:fill="auto"/>
                  <w:noWrap w:val="0"/>
                  <w:vAlign w:val="center"/>
                </w:tcPr>
                <w:p w14:paraId="5616BE35">
                  <w:pPr>
                    <w:jc w:val="center"/>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szCs w:val="21"/>
                      <w:highlight w:val="none"/>
                    </w:rPr>
                    <w:t>约</w:t>
                  </w:r>
                  <w:r>
                    <w:rPr>
                      <w:rFonts w:hint="eastAsia" w:ascii="Times New Roman" w:hAnsi="Times New Roman" w:eastAsia="宋体" w:cs="Times New Roman"/>
                      <w:bCs/>
                      <w:color w:val="auto"/>
                      <w:szCs w:val="21"/>
                      <w:highlight w:val="none"/>
                      <w:lang w:val="en-US" w:eastAsia="zh-CN"/>
                    </w:rPr>
                    <w:t>25</w:t>
                  </w:r>
                  <w:r>
                    <w:rPr>
                      <w:rFonts w:hint="eastAsia" w:ascii="Times New Roman" w:hAnsi="Times New Roman" w:eastAsia="宋体" w:cs="Times New Roman"/>
                      <w:bCs/>
                      <w:color w:val="auto"/>
                      <w:szCs w:val="21"/>
                      <w:highlight w:val="none"/>
                      <w:lang w:eastAsia="zh-CN"/>
                    </w:rPr>
                    <w:t>户</w:t>
                  </w:r>
                </w:p>
              </w:tc>
              <w:tc>
                <w:tcPr>
                  <w:tcW w:w="544" w:type="pct"/>
                  <w:vMerge w:val="continue"/>
                  <w:noWrap w:val="0"/>
                  <w:vAlign w:val="center"/>
                </w:tcPr>
                <w:p w14:paraId="5E4C04C6">
                  <w:pPr>
                    <w:jc w:val="center"/>
                    <w:rPr>
                      <w:rFonts w:ascii="Times New Roman" w:hAnsi="Times New Roman" w:eastAsia="宋体" w:cs="Times New Roman"/>
                      <w:bCs/>
                      <w:color w:val="auto"/>
                      <w:szCs w:val="21"/>
                    </w:rPr>
                  </w:pPr>
                </w:p>
              </w:tc>
              <w:tc>
                <w:tcPr>
                  <w:tcW w:w="286" w:type="pct"/>
                  <w:noWrap w:val="0"/>
                  <w:vAlign w:val="center"/>
                </w:tcPr>
                <w:p w14:paraId="004DA20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SE</w:t>
                  </w:r>
                </w:p>
              </w:tc>
              <w:tc>
                <w:tcPr>
                  <w:tcW w:w="440" w:type="pct"/>
                  <w:noWrap w:val="0"/>
                  <w:vAlign w:val="center"/>
                </w:tcPr>
                <w:p w14:paraId="30C3F96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388</w:t>
                  </w:r>
                </w:p>
              </w:tc>
              <w:tc>
                <w:tcPr>
                  <w:tcW w:w="440" w:type="pct"/>
                  <w:noWrap w:val="0"/>
                  <w:vAlign w:val="center"/>
                </w:tcPr>
                <w:p w14:paraId="7F74CEB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highlight w:val="none"/>
                      <w:lang w:val="en-US" w:eastAsia="zh-CN"/>
                    </w:rPr>
                    <w:t>3#井场</w:t>
                  </w:r>
                </w:p>
              </w:tc>
            </w:tr>
            <w:tr w14:paraId="69E64D19">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233" w:type="pct"/>
                  <w:noWrap w:val="0"/>
                  <w:vAlign w:val="center"/>
                </w:tcPr>
                <w:p w14:paraId="09A2CDC5">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声环境</w:t>
                  </w:r>
                </w:p>
              </w:tc>
              <w:tc>
                <w:tcPr>
                  <w:tcW w:w="4766" w:type="pct"/>
                  <w:gridSpan w:val="11"/>
                  <w:noWrap w:val="0"/>
                  <w:vAlign w:val="center"/>
                </w:tcPr>
                <w:p w14:paraId="0DD9469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厂界50米范围内无声环境保护目标</w:t>
                  </w:r>
                </w:p>
              </w:tc>
            </w:tr>
            <w:tr w14:paraId="3EDA5308">
              <w:tblPrEx>
                <w:tblBorders>
                  <w:top w:val="single" w:color="000000" w:sz="4" w:space="0"/>
                  <w:left w:val="single" w:color="000000"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233" w:type="pct"/>
                  <w:noWrap w:val="0"/>
                  <w:vAlign w:val="center"/>
                </w:tcPr>
                <w:p w14:paraId="082108CF">
                  <w:pPr>
                    <w:jc w:val="center"/>
                    <w:rPr>
                      <w:rFonts w:hint="eastAsia" w:ascii="Times New Roman" w:hAnsi="Times New Roman" w:eastAsia="宋体" w:cs="Times New Roman"/>
                      <w:bCs/>
                      <w:color w:val="auto"/>
                      <w:szCs w:val="21"/>
                      <w:lang w:val="en-US" w:eastAsia="zh-CN"/>
                    </w:rPr>
                  </w:pPr>
                  <w:r>
                    <w:rPr>
                      <w:rFonts w:ascii="Times New Roman" w:hAnsi="Times New Roman" w:eastAsia="宋体" w:cs="Times New Roman"/>
                      <w:bCs/>
                      <w:color w:val="auto"/>
                      <w:szCs w:val="21"/>
                    </w:rPr>
                    <w:t>生态环境</w:t>
                  </w:r>
                </w:p>
              </w:tc>
              <w:tc>
                <w:tcPr>
                  <w:tcW w:w="2225" w:type="pct"/>
                  <w:gridSpan w:val="4"/>
                  <w:noWrap w:val="0"/>
                  <w:vAlign w:val="center"/>
                </w:tcPr>
                <w:p w14:paraId="07D964DE">
                  <w:pPr>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rPr>
                    <w:t>项目周边区域</w:t>
                  </w:r>
                </w:p>
              </w:tc>
              <w:tc>
                <w:tcPr>
                  <w:tcW w:w="829" w:type="pct"/>
                  <w:gridSpan w:val="3"/>
                  <w:noWrap w:val="0"/>
                  <w:vAlign w:val="center"/>
                </w:tcPr>
                <w:p w14:paraId="321B5A75">
                  <w:pPr>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rPr>
                    <w:t>农田、野生动植物</w:t>
                  </w:r>
                </w:p>
              </w:tc>
              <w:tc>
                <w:tcPr>
                  <w:tcW w:w="1711" w:type="pct"/>
                  <w:gridSpan w:val="4"/>
                  <w:noWrap w:val="0"/>
                  <w:vAlign w:val="center"/>
                </w:tcPr>
                <w:p w14:paraId="43968D9B">
                  <w:pPr>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rPr>
                    <w:t>不对周围生态环境产生明显影响</w:t>
                  </w:r>
                </w:p>
              </w:tc>
            </w:tr>
          </w:tbl>
          <w:p w14:paraId="47D95B17">
            <w:pPr>
              <w:tabs>
                <w:tab w:val="left" w:pos="0"/>
              </w:tabs>
              <w:spacing w:line="360" w:lineRule="auto"/>
              <w:ind w:firstLine="480" w:firstLineChars="200"/>
              <w:rPr>
                <w:rFonts w:hint="default" w:ascii="Times New Roman" w:hAnsi="Times New Roman" w:eastAsia="宋体" w:cs="Times New Roman"/>
                <w:color w:val="auto"/>
                <w:sz w:val="24"/>
                <w:szCs w:val="24"/>
              </w:rPr>
            </w:pPr>
          </w:p>
          <w:p w14:paraId="463B5045">
            <w:pPr>
              <w:tabs>
                <w:tab w:val="left" w:pos="0"/>
              </w:tabs>
              <w:spacing w:line="360" w:lineRule="auto"/>
              <w:ind w:firstLine="480" w:firstLineChars="200"/>
              <w:rPr>
                <w:rFonts w:hint="default" w:ascii="Times New Roman" w:hAnsi="Times New Roman" w:eastAsia="黑体" w:cs="Times New Roman"/>
                <w:color w:val="auto"/>
                <w:sz w:val="24"/>
                <w:szCs w:val="24"/>
              </w:rPr>
            </w:pPr>
          </w:p>
          <w:p w14:paraId="689D95C4">
            <w:pPr>
              <w:tabs>
                <w:tab w:val="left" w:pos="0"/>
              </w:tabs>
              <w:spacing w:line="360" w:lineRule="auto"/>
              <w:rPr>
                <w:rFonts w:hint="default" w:ascii="Times New Roman" w:hAnsi="Times New Roman" w:eastAsia="黑体" w:cs="Times New Roman"/>
                <w:color w:val="auto"/>
                <w:sz w:val="24"/>
                <w:szCs w:val="24"/>
              </w:rPr>
            </w:pPr>
          </w:p>
        </w:tc>
      </w:tr>
    </w:tbl>
    <w:p w14:paraId="540DD1B7">
      <w:pPr>
        <w:widowControl/>
        <w:jc w:val="center"/>
        <w:rPr>
          <w:rFonts w:ascii="黑体" w:hAnsi="黑体" w:eastAsia="黑体" w:cs="Times New Roman"/>
          <w:snapToGrid w:val="0"/>
          <w:color w:val="auto"/>
          <w:sz w:val="36"/>
          <w:szCs w:val="36"/>
        </w:rPr>
        <w:sectPr>
          <w:pgSz w:w="11906" w:h="16838"/>
          <w:pgMar w:top="1440" w:right="1797" w:bottom="1440" w:left="1797" w:header="851" w:footer="1077" w:gutter="0"/>
          <w:cols w:space="425" w:num="1"/>
          <w:docGrid w:type="lines" w:linePitch="312" w:charSpace="0"/>
        </w:sectPr>
      </w:pPr>
    </w:p>
    <w:tbl>
      <w:tblPr>
        <w:tblStyle w:val="26"/>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8346"/>
      </w:tblGrid>
      <w:tr w14:paraId="581FF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vAlign w:val="center"/>
          </w:tcPr>
          <w:p w14:paraId="17A79E14">
            <w:pPr>
              <w:adjustRightInd w:val="0"/>
              <w:snapToGrid w:val="0"/>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评价</w:t>
            </w:r>
          </w:p>
          <w:p w14:paraId="216F5125">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 w:val="24"/>
                <w:szCs w:val="24"/>
              </w:rPr>
              <w:t>标准</w:t>
            </w:r>
          </w:p>
        </w:tc>
        <w:tc>
          <w:tcPr>
            <w:tcW w:w="8253" w:type="dxa"/>
            <w:vAlign w:val="center"/>
          </w:tcPr>
          <w:p w14:paraId="0EEE8C5D">
            <w:pPr>
              <w:spacing w:line="360" w:lineRule="auto"/>
              <w:rPr>
                <w:rFonts w:ascii="Times New Roman" w:hAnsi="Times New Roman" w:eastAsia="宋体" w:cs="Times New Roman"/>
                <w:b/>
                <w:color w:val="auto"/>
                <w:kern w:val="0"/>
                <w:sz w:val="24"/>
                <w:szCs w:val="24"/>
              </w:rPr>
            </w:pPr>
            <w:r>
              <w:rPr>
                <w:rFonts w:hint="eastAsia" w:ascii="Times New Roman" w:hAnsi="宋体" w:eastAsia="宋体" w:cs="Times New Roman"/>
                <w:b/>
                <w:color w:val="auto"/>
                <w:kern w:val="0"/>
                <w:sz w:val="24"/>
                <w:szCs w:val="24"/>
              </w:rPr>
              <w:t>1</w:t>
            </w:r>
            <w:r>
              <w:rPr>
                <w:rFonts w:ascii="Times New Roman" w:hAnsi="宋体" w:eastAsia="宋体" w:cs="Times New Roman"/>
                <w:b/>
                <w:color w:val="auto"/>
                <w:kern w:val="0"/>
                <w:sz w:val="24"/>
                <w:szCs w:val="24"/>
              </w:rPr>
              <w:t>、环境质量标准</w:t>
            </w:r>
          </w:p>
          <w:p w14:paraId="68046457">
            <w:pPr>
              <w:spacing w:line="360" w:lineRule="auto"/>
              <w:ind w:firstLine="482" w:firstLineChars="200"/>
              <w:rPr>
                <w:rFonts w:ascii="Times New Roman" w:hAnsi="宋体" w:eastAsia="宋体" w:cs="Times New Roman"/>
                <w:b/>
                <w:color w:val="auto"/>
                <w:kern w:val="0"/>
                <w:sz w:val="24"/>
                <w:szCs w:val="24"/>
              </w:rPr>
            </w:pPr>
            <w:r>
              <w:rPr>
                <w:rFonts w:hint="eastAsia" w:ascii="Times New Roman" w:hAnsi="Times New Roman" w:eastAsia="宋体" w:cs="Times New Roman"/>
                <w:b/>
                <w:color w:val="auto"/>
                <w:kern w:val="0"/>
                <w:sz w:val="24"/>
                <w:szCs w:val="24"/>
              </w:rPr>
              <w:t>（1）</w:t>
            </w:r>
            <w:r>
              <w:rPr>
                <w:rFonts w:hint="eastAsia" w:ascii="Times New Roman" w:hAnsi="宋体" w:eastAsia="宋体" w:cs="Times New Roman"/>
                <w:b/>
                <w:color w:val="auto"/>
                <w:kern w:val="0"/>
                <w:sz w:val="24"/>
                <w:szCs w:val="24"/>
              </w:rPr>
              <w:t>环境空气质量标准</w:t>
            </w:r>
          </w:p>
          <w:p w14:paraId="4B6CCCDA">
            <w:pPr>
              <w:spacing w:line="360" w:lineRule="auto"/>
              <w:ind w:firstLine="480" w:firstLineChars="200"/>
              <w:rPr>
                <w:rFonts w:ascii="Times New Roman" w:hAnsi="Times New Roman" w:eastAsia="宋体" w:cs="Times New Roman"/>
                <w:color w:val="auto"/>
                <w:sz w:val="24"/>
                <w:szCs w:val="24"/>
              </w:rPr>
            </w:pPr>
            <w:r>
              <w:rPr>
                <w:rFonts w:hint="eastAsia"/>
                <w:color w:val="auto"/>
                <w:sz w:val="24"/>
                <w:szCs w:val="24"/>
              </w:rPr>
              <w:t>评价区域环境空气质量执行《环境空气质量标准》（GB3095-2012）及2</w:t>
            </w:r>
            <w:r>
              <w:rPr>
                <w:color w:val="auto"/>
                <w:sz w:val="24"/>
                <w:szCs w:val="24"/>
              </w:rPr>
              <w:t>018</w:t>
            </w:r>
            <w:r>
              <w:rPr>
                <w:rFonts w:hint="eastAsia"/>
                <w:color w:val="auto"/>
                <w:sz w:val="24"/>
                <w:szCs w:val="24"/>
              </w:rPr>
              <w:t>年修改单中的二级标准</w:t>
            </w:r>
            <w:r>
              <w:rPr>
                <w:rFonts w:ascii="Times New Roman" w:hAnsi="宋体" w:eastAsia="宋体" w:cs="Times New Roman"/>
                <w:color w:val="auto"/>
                <w:sz w:val="24"/>
                <w:szCs w:val="24"/>
              </w:rPr>
              <w:t>，具体标准值详见下表：</w:t>
            </w:r>
          </w:p>
          <w:p w14:paraId="4EE8843E">
            <w:pPr>
              <w:pStyle w:val="97"/>
              <w:numPr>
                <w:ilvl w:val="1"/>
                <w:numId w:val="2"/>
              </w:numPr>
              <w:tabs>
                <w:tab w:val="clear" w:pos="1440"/>
              </w:tabs>
              <w:spacing w:line="240" w:lineRule="auto"/>
              <w:ind w:left="3300" w:leftChars="0" w:hanging="1400" w:firstLineChars="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环境空气质量标准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956"/>
              <w:gridCol w:w="1979"/>
              <w:gridCol w:w="1668"/>
              <w:gridCol w:w="2698"/>
            </w:tblGrid>
            <w:tr w14:paraId="68D69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2F591DAB">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类别</w:t>
                  </w:r>
                </w:p>
              </w:tc>
              <w:tc>
                <w:tcPr>
                  <w:tcW w:w="588" w:type="pct"/>
                  <w:vAlign w:val="center"/>
                </w:tcPr>
                <w:p w14:paraId="78193CA6">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项目</w:t>
                  </w:r>
                </w:p>
              </w:tc>
              <w:tc>
                <w:tcPr>
                  <w:tcW w:w="1217" w:type="pct"/>
                  <w:vAlign w:val="center"/>
                </w:tcPr>
                <w:p w14:paraId="06C1C2CD">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取值时间</w:t>
                  </w:r>
                </w:p>
              </w:tc>
              <w:tc>
                <w:tcPr>
                  <w:tcW w:w="1026" w:type="pct"/>
                  <w:vAlign w:val="center"/>
                </w:tcPr>
                <w:p w14:paraId="4612347F">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标准值</w:t>
                  </w:r>
                </w:p>
              </w:tc>
              <w:tc>
                <w:tcPr>
                  <w:tcW w:w="1659" w:type="pct"/>
                  <w:vAlign w:val="center"/>
                </w:tcPr>
                <w:p w14:paraId="51E4F7AC">
                  <w:pPr>
                    <w:spacing w:line="276" w:lineRule="auto"/>
                    <w:jc w:val="center"/>
                    <w:rPr>
                      <w:rFonts w:ascii="Times New Roman" w:hAnsi="Times New Roman" w:eastAsia="宋体" w:cs="Times New Roman"/>
                      <w:b/>
                      <w:snapToGrid w:val="0"/>
                      <w:color w:val="auto"/>
                      <w:szCs w:val="21"/>
                    </w:rPr>
                  </w:pPr>
                  <w:r>
                    <w:rPr>
                      <w:rFonts w:ascii="Times New Roman" w:hAnsi="Times New Roman" w:eastAsia="宋体" w:cs="Times New Roman"/>
                      <w:b/>
                      <w:snapToGrid w:val="0"/>
                      <w:color w:val="auto"/>
                      <w:szCs w:val="21"/>
                    </w:rPr>
                    <w:t>标准来源</w:t>
                  </w:r>
                </w:p>
              </w:tc>
            </w:tr>
            <w:tr w14:paraId="49B41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14:paraId="7E881A7C">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环</w:t>
                  </w:r>
                </w:p>
                <w:p w14:paraId="55C4D122">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境</w:t>
                  </w:r>
                </w:p>
                <w:p w14:paraId="6B78157B">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空</w:t>
                  </w:r>
                </w:p>
                <w:p w14:paraId="55957DF7">
                  <w:pPr>
                    <w:spacing w:line="276" w:lineRule="auto"/>
                    <w:jc w:val="center"/>
                    <w:rPr>
                      <w:rFonts w:ascii="Times New Roman" w:hAnsi="Times New Roman" w:eastAsia="宋体" w:cs="Times New Roman"/>
                      <w:snapToGrid w:val="0"/>
                      <w:color w:val="auto"/>
                      <w:sz w:val="24"/>
                      <w:szCs w:val="21"/>
                    </w:rPr>
                  </w:pPr>
                  <w:r>
                    <w:rPr>
                      <w:rFonts w:ascii="Times New Roman" w:hAnsi="Times New Roman" w:eastAsia="宋体" w:cs="Times New Roman"/>
                      <w:snapToGrid w:val="0"/>
                      <w:color w:val="auto"/>
                      <w:szCs w:val="21"/>
                    </w:rPr>
                    <w:t>气</w:t>
                  </w:r>
                </w:p>
              </w:tc>
              <w:tc>
                <w:tcPr>
                  <w:tcW w:w="588" w:type="pct"/>
                  <w:vMerge w:val="restart"/>
                  <w:vAlign w:val="center"/>
                </w:tcPr>
                <w:p w14:paraId="57B4530E">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color w:val="auto"/>
                      <w:szCs w:val="21"/>
                      <w:shd w:val="clear" w:color="auto" w:fill="FFFFFF"/>
                    </w:rPr>
                    <w:t>SO</w:t>
                  </w:r>
                  <w:r>
                    <w:rPr>
                      <w:rFonts w:ascii="Times New Roman" w:hAnsi="Times New Roman" w:eastAsia="宋体" w:cs="Times New Roman"/>
                      <w:color w:val="auto"/>
                      <w:szCs w:val="21"/>
                      <w:shd w:val="clear" w:color="auto" w:fill="FFFFFF"/>
                      <w:vertAlign w:val="subscript"/>
                    </w:rPr>
                    <w:t>2</w:t>
                  </w:r>
                </w:p>
              </w:tc>
              <w:tc>
                <w:tcPr>
                  <w:tcW w:w="1217" w:type="pct"/>
                  <w:vAlign w:val="center"/>
                </w:tcPr>
                <w:p w14:paraId="4DA60248">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1小时平均</w:t>
                  </w:r>
                </w:p>
              </w:tc>
              <w:tc>
                <w:tcPr>
                  <w:tcW w:w="1026" w:type="pct"/>
                  <w:vAlign w:val="center"/>
                </w:tcPr>
                <w:p w14:paraId="121BA2FA">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500μg/m</w:t>
                  </w:r>
                  <w:r>
                    <w:rPr>
                      <w:rFonts w:ascii="Times New Roman" w:hAnsi="Times New Roman" w:eastAsia="宋体" w:cs="Times New Roman"/>
                      <w:snapToGrid w:val="0"/>
                      <w:color w:val="auto"/>
                      <w:szCs w:val="21"/>
                      <w:vertAlign w:val="superscript"/>
                    </w:rPr>
                    <w:t>3</w:t>
                  </w:r>
                </w:p>
              </w:tc>
              <w:tc>
                <w:tcPr>
                  <w:tcW w:w="1659" w:type="pct"/>
                  <w:vMerge w:val="restart"/>
                  <w:vAlign w:val="center"/>
                </w:tcPr>
                <w:p w14:paraId="40767092">
                  <w:pPr>
                    <w:spacing w:line="276" w:lineRule="auto"/>
                    <w:jc w:val="center"/>
                    <w:rPr>
                      <w:rFonts w:ascii="Times New Roman" w:hAnsi="Times New Roman" w:eastAsia="宋体" w:cs="Times New Roman"/>
                      <w:snapToGrid w:val="0"/>
                      <w:color w:val="auto"/>
                      <w:kern w:val="0"/>
                      <w:sz w:val="24"/>
                      <w:szCs w:val="21"/>
                    </w:rPr>
                  </w:pPr>
                  <w:r>
                    <w:rPr>
                      <w:rFonts w:ascii="Times New Roman" w:hAnsi="Times New Roman" w:eastAsia="宋体" w:cs="Times New Roman"/>
                      <w:snapToGrid w:val="0"/>
                      <w:color w:val="auto"/>
                      <w:szCs w:val="21"/>
                    </w:rPr>
                    <w:t>《环境空气质量标准》</w:t>
                  </w:r>
                  <w:r>
                    <w:rPr>
                      <w:rFonts w:ascii="Times New Roman" w:hAnsi="Times New Roman" w:eastAsia="宋体" w:cs="Times New Roman"/>
                      <w:snapToGrid w:val="0"/>
                      <w:color w:val="auto"/>
                      <w:kern w:val="0"/>
                      <w:szCs w:val="21"/>
                    </w:rPr>
                    <w:t>（GB3095-2012）中的二级标准及2018年修改单中二级标准</w:t>
                  </w:r>
                </w:p>
              </w:tc>
            </w:tr>
            <w:tr w14:paraId="28E98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0C42791D">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3F1C95CF">
                  <w:pPr>
                    <w:spacing w:line="276" w:lineRule="auto"/>
                    <w:jc w:val="center"/>
                    <w:rPr>
                      <w:rFonts w:ascii="Times New Roman" w:hAnsi="Times New Roman" w:eastAsia="宋体" w:cs="Times New Roman"/>
                      <w:color w:val="auto"/>
                      <w:szCs w:val="21"/>
                      <w:shd w:val="clear" w:color="auto" w:fill="FFFFFF"/>
                    </w:rPr>
                  </w:pPr>
                </w:p>
              </w:tc>
              <w:tc>
                <w:tcPr>
                  <w:tcW w:w="1217" w:type="pct"/>
                  <w:vAlign w:val="center"/>
                </w:tcPr>
                <w:p w14:paraId="0A60B855">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24小时平均</w:t>
                  </w:r>
                </w:p>
              </w:tc>
              <w:tc>
                <w:tcPr>
                  <w:tcW w:w="1026" w:type="pct"/>
                  <w:vAlign w:val="center"/>
                </w:tcPr>
                <w:p w14:paraId="7CB4765F">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150μg/m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61C6ABE1">
                  <w:pPr>
                    <w:spacing w:line="276" w:lineRule="auto"/>
                    <w:jc w:val="center"/>
                    <w:rPr>
                      <w:rFonts w:ascii="Times New Roman" w:hAnsi="Times New Roman" w:eastAsia="宋体" w:cs="Times New Roman"/>
                      <w:snapToGrid w:val="0"/>
                      <w:color w:val="auto"/>
                      <w:kern w:val="0"/>
                      <w:szCs w:val="21"/>
                    </w:rPr>
                  </w:pPr>
                </w:p>
              </w:tc>
            </w:tr>
            <w:tr w14:paraId="23542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0AB7E78">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02FD7967">
                  <w:pPr>
                    <w:spacing w:line="276" w:lineRule="auto"/>
                    <w:jc w:val="center"/>
                    <w:rPr>
                      <w:rFonts w:ascii="Times New Roman" w:hAnsi="Times New Roman" w:eastAsia="宋体" w:cs="Times New Roman"/>
                      <w:color w:val="auto"/>
                      <w:szCs w:val="21"/>
                      <w:shd w:val="clear" w:color="auto" w:fill="FFFFFF"/>
                    </w:rPr>
                  </w:pPr>
                </w:p>
              </w:tc>
              <w:tc>
                <w:tcPr>
                  <w:tcW w:w="1217" w:type="pct"/>
                  <w:vAlign w:val="center"/>
                </w:tcPr>
                <w:p w14:paraId="15176F17">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w:t>
                  </w:r>
                </w:p>
              </w:tc>
              <w:tc>
                <w:tcPr>
                  <w:tcW w:w="1026" w:type="pct"/>
                  <w:vAlign w:val="center"/>
                </w:tcPr>
                <w:p w14:paraId="0855BECC">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60μg/m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54B22EF0">
                  <w:pPr>
                    <w:spacing w:line="276" w:lineRule="auto"/>
                    <w:jc w:val="center"/>
                    <w:rPr>
                      <w:rFonts w:ascii="Times New Roman" w:hAnsi="Times New Roman" w:eastAsia="宋体" w:cs="Times New Roman"/>
                      <w:snapToGrid w:val="0"/>
                      <w:color w:val="auto"/>
                      <w:kern w:val="0"/>
                      <w:szCs w:val="21"/>
                    </w:rPr>
                  </w:pPr>
                </w:p>
              </w:tc>
            </w:tr>
            <w:tr w14:paraId="66E56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1433491">
                  <w:pPr>
                    <w:spacing w:line="276" w:lineRule="auto"/>
                    <w:jc w:val="center"/>
                    <w:rPr>
                      <w:rFonts w:ascii="Times New Roman" w:hAnsi="Times New Roman" w:eastAsia="宋体" w:cs="Times New Roman"/>
                      <w:snapToGrid w:val="0"/>
                      <w:color w:val="auto"/>
                      <w:szCs w:val="21"/>
                    </w:rPr>
                  </w:pPr>
                </w:p>
              </w:tc>
              <w:tc>
                <w:tcPr>
                  <w:tcW w:w="588" w:type="pct"/>
                  <w:vMerge w:val="restart"/>
                  <w:vAlign w:val="center"/>
                </w:tcPr>
                <w:p w14:paraId="364EC802">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color w:val="auto"/>
                      <w:szCs w:val="21"/>
                      <w:shd w:val="clear" w:color="auto" w:fill="FFFFFF"/>
                    </w:rPr>
                    <w:t>NO</w:t>
                  </w:r>
                  <w:r>
                    <w:rPr>
                      <w:rFonts w:ascii="Times New Roman" w:hAnsi="Times New Roman" w:eastAsia="宋体" w:cs="Times New Roman"/>
                      <w:color w:val="auto"/>
                      <w:szCs w:val="21"/>
                      <w:shd w:val="clear" w:color="auto" w:fill="FFFFFF"/>
                      <w:vertAlign w:val="subscript"/>
                    </w:rPr>
                    <w:t>2</w:t>
                  </w:r>
                </w:p>
              </w:tc>
              <w:tc>
                <w:tcPr>
                  <w:tcW w:w="1217" w:type="pct"/>
                  <w:vAlign w:val="center"/>
                </w:tcPr>
                <w:p w14:paraId="1A1F9AF5">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1小时平均</w:t>
                  </w:r>
                </w:p>
              </w:tc>
              <w:tc>
                <w:tcPr>
                  <w:tcW w:w="1026" w:type="pct"/>
                  <w:vAlign w:val="center"/>
                </w:tcPr>
                <w:p w14:paraId="723F3868">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200μg/m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6401EDF2">
                  <w:pPr>
                    <w:spacing w:line="276" w:lineRule="auto"/>
                    <w:jc w:val="center"/>
                    <w:rPr>
                      <w:rFonts w:ascii="Times New Roman" w:hAnsi="Times New Roman" w:eastAsia="宋体" w:cs="Times New Roman"/>
                      <w:snapToGrid w:val="0"/>
                      <w:color w:val="auto"/>
                      <w:kern w:val="0"/>
                      <w:szCs w:val="21"/>
                    </w:rPr>
                  </w:pPr>
                </w:p>
              </w:tc>
            </w:tr>
            <w:tr w14:paraId="74943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9E5E46E">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6BB2B513">
                  <w:pPr>
                    <w:spacing w:line="276" w:lineRule="auto"/>
                    <w:jc w:val="center"/>
                    <w:rPr>
                      <w:rFonts w:ascii="Times New Roman" w:hAnsi="Times New Roman" w:eastAsia="宋体" w:cs="Times New Roman"/>
                      <w:snapToGrid w:val="0"/>
                      <w:color w:val="auto"/>
                      <w:szCs w:val="21"/>
                    </w:rPr>
                  </w:pPr>
                </w:p>
              </w:tc>
              <w:tc>
                <w:tcPr>
                  <w:tcW w:w="1217" w:type="pct"/>
                  <w:vAlign w:val="center"/>
                </w:tcPr>
                <w:p w14:paraId="0C0C22A6">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24小时平均</w:t>
                  </w:r>
                </w:p>
              </w:tc>
              <w:tc>
                <w:tcPr>
                  <w:tcW w:w="1026" w:type="pct"/>
                  <w:vAlign w:val="center"/>
                </w:tcPr>
                <w:p w14:paraId="0D73AB07">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80μg/m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4F34BCF6">
                  <w:pPr>
                    <w:widowControl/>
                    <w:spacing w:line="276" w:lineRule="auto"/>
                    <w:jc w:val="center"/>
                    <w:rPr>
                      <w:rFonts w:ascii="Times New Roman" w:hAnsi="Times New Roman" w:eastAsia="宋体" w:cs="Times New Roman"/>
                      <w:snapToGrid w:val="0"/>
                      <w:color w:val="auto"/>
                      <w:kern w:val="0"/>
                      <w:szCs w:val="21"/>
                    </w:rPr>
                  </w:pPr>
                </w:p>
              </w:tc>
            </w:tr>
            <w:tr w14:paraId="29B23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54DC7C27">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395BD6D4">
                  <w:pPr>
                    <w:spacing w:line="276" w:lineRule="auto"/>
                    <w:jc w:val="center"/>
                    <w:rPr>
                      <w:rFonts w:ascii="Times New Roman" w:hAnsi="Times New Roman" w:eastAsia="宋体" w:cs="Times New Roman"/>
                      <w:snapToGrid w:val="0"/>
                      <w:color w:val="auto"/>
                      <w:szCs w:val="21"/>
                    </w:rPr>
                  </w:pPr>
                </w:p>
              </w:tc>
              <w:tc>
                <w:tcPr>
                  <w:tcW w:w="1217" w:type="pct"/>
                  <w:vAlign w:val="center"/>
                </w:tcPr>
                <w:p w14:paraId="53CAC9E4">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w:t>
                  </w:r>
                </w:p>
              </w:tc>
              <w:tc>
                <w:tcPr>
                  <w:tcW w:w="1026" w:type="pct"/>
                  <w:vAlign w:val="center"/>
                </w:tcPr>
                <w:p w14:paraId="1272CF33">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40μg/m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0662F674">
                  <w:pPr>
                    <w:widowControl/>
                    <w:spacing w:line="276" w:lineRule="auto"/>
                    <w:jc w:val="center"/>
                    <w:rPr>
                      <w:rFonts w:ascii="Times New Roman" w:hAnsi="Times New Roman" w:eastAsia="宋体" w:cs="Times New Roman"/>
                      <w:snapToGrid w:val="0"/>
                      <w:color w:val="auto"/>
                      <w:kern w:val="0"/>
                      <w:szCs w:val="21"/>
                    </w:rPr>
                  </w:pPr>
                </w:p>
              </w:tc>
            </w:tr>
            <w:tr w14:paraId="10A14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D9A4FC1">
                  <w:pPr>
                    <w:spacing w:line="276" w:lineRule="auto"/>
                    <w:jc w:val="center"/>
                    <w:rPr>
                      <w:rFonts w:ascii="Times New Roman" w:hAnsi="Times New Roman" w:eastAsia="宋体" w:cs="Times New Roman"/>
                      <w:snapToGrid w:val="0"/>
                      <w:color w:val="auto"/>
                      <w:szCs w:val="21"/>
                    </w:rPr>
                  </w:pPr>
                </w:p>
              </w:tc>
              <w:tc>
                <w:tcPr>
                  <w:tcW w:w="588" w:type="pct"/>
                  <w:vMerge w:val="restart"/>
                  <w:vAlign w:val="center"/>
                </w:tcPr>
                <w:p w14:paraId="2A514418">
                  <w:pPr>
                    <w:spacing w:line="276" w:lineRule="auto"/>
                    <w:jc w:val="center"/>
                    <w:rPr>
                      <w:rFonts w:ascii="Times New Roman" w:hAnsi="Times New Roman" w:eastAsia="宋体" w:cs="Times New Roman"/>
                      <w:snapToGrid w:val="0"/>
                      <w:color w:val="auto"/>
                      <w:szCs w:val="24"/>
                    </w:rPr>
                  </w:pPr>
                  <w:r>
                    <w:rPr>
                      <w:rFonts w:ascii="Times New Roman" w:hAnsi="Times New Roman" w:eastAsia="宋体" w:cs="Times New Roman"/>
                      <w:snapToGrid w:val="0"/>
                      <w:color w:val="auto"/>
                      <w:szCs w:val="24"/>
                    </w:rPr>
                    <w:t>CO</w:t>
                  </w:r>
                </w:p>
              </w:tc>
              <w:tc>
                <w:tcPr>
                  <w:tcW w:w="1217" w:type="pct"/>
                  <w:vAlign w:val="center"/>
                </w:tcPr>
                <w:p w14:paraId="78215CFB">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1小时平均</w:t>
                  </w:r>
                </w:p>
              </w:tc>
              <w:tc>
                <w:tcPr>
                  <w:tcW w:w="1026" w:type="pct"/>
                  <w:vAlign w:val="center"/>
                </w:tcPr>
                <w:p w14:paraId="17A3E8D0">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10mg/m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36C670F0">
                  <w:pPr>
                    <w:widowControl/>
                    <w:spacing w:line="276" w:lineRule="auto"/>
                    <w:jc w:val="center"/>
                    <w:rPr>
                      <w:rFonts w:ascii="Times New Roman" w:hAnsi="Times New Roman" w:eastAsia="宋体" w:cs="Times New Roman"/>
                      <w:snapToGrid w:val="0"/>
                      <w:color w:val="auto"/>
                      <w:kern w:val="0"/>
                      <w:szCs w:val="21"/>
                    </w:rPr>
                  </w:pPr>
                </w:p>
              </w:tc>
            </w:tr>
            <w:tr w14:paraId="3D882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683E24F">
                  <w:pPr>
                    <w:spacing w:line="276" w:lineRule="auto"/>
                    <w:jc w:val="center"/>
                    <w:rPr>
                      <w:rFonts w:ascii="Times New Roman" w:hAnsi="Times New Roman" w:eastAsia="宋体" w:cs="Times New Roman"/>
                      <w:snapToGrid w:val="0"/>
                      <w:color w:val="auto"/>
                      <w:szCs w:val="21"/>
                    </w:rPr>
                  </w:pPr>
                </w:p>
              </w:tc>
              <w:tc>
                <w:tcPr>
                  <w:tcW w:w="588" w:type="pct"/>
                  <w:vMerge w:val="continue"/>
                  <w:vAlign w:val="center"/>
                </w:tcPr>
                <w:p w14:paraId="6C248032">
                  <w:pPr>
                    <w:spacing w:line="276" w:lineRule="auto"/>
                    <w:jc w:val="center"/>
                    <w:rPr>
                      <w:rFonts w:ascii="Times New Roman" w:hAnsi="Times New Roman" w:eastAsia="宋体" w:cs="Times New Roman"/>
                      <w:snapToGrid w:val="0"/>
                      <w:color w:val="auto"/>
                      <w:szCs w:val="21"/>
                    </w:rPr>
                  </w:pPr>
                </w:p>
              </w:tc>
              <w:tc>
                <w:tcPr>
                  <w:tcW w:w="1217" w:type="pct"/>
                  <w:vAlign w:val="center"/>
                </w:tcPr>
                <w:p w14:paraId="305B05FB">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24小时平均</w:t>
                  </w:r>
                </w:p>
              </w:tc>
              <w:tc>
                <w:tcPr>
                  <w:tcW w:w="1026" w:type="pct"/>
                  <w:vAlign w:val="center"/>
                </w:tcPr>
                <w:p w14:paraId="3A7A283E">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4mg/m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47282252">
                  <w:pPr>
                    <w:widowControl/>
                    <w:spacing w:line="276" w:lineRule="auto"/>
                    <w:jc w:val="center"/>
                    <w:rPr>
                      <w:rFonts w:ascii="Times New Roman" w:hAnsi="Times New Roman" w:eastAsia="宋体" w:cs="Times New Roman"/>
                      <w:snapToGrid w:val="0"/>
                      <w:color w:val="auto"/>
                      <w:kern w:val="0"/>
                      <w:szCs w:val="21"/>
                    </w:rPr>
                  </w:pPr>
                </w:p>
              </w:tc>
            </w:tr>
            <w:tr w14:paraId="5A9DB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375DF6F2">
                  <w:pPr>
                    <w:spacing w:line="276" w:lineRule="auto"/>
                    <w:jc w:val="center"/>
                    <w:rPr>
                      <w:rFonts w:ascii="Times New Roman" w:hAnsi="Times New Roman" w:eastAsia="宋体" w:cs="Times New Roman"/>
                      <w:snapToGrid w:val="0"/>
                      <w:color w:val="auto"/>
                      <w:kern w:val="0"/>
                      <w:szCs w:val="21"/>
                    </w:rPr>
                  </w:pPr>
                </w:p>
              </w:tc>
              <w:tc>
                <w:tcPr>
                  <w:tcW w:w="588" w:type="pct"/>
                  <w:vMerge w:val="restart"/>
                  <w:vAlign w:val="center"/>
                </w:tcPr>
                <w:p w14:paraId="20A3DD0D">
                  <w:pPr>
                    <w:spacing w:line="276" w:lineRule="auto"/>
                    <w:jc w:val="center"/>
                    <w:rPr>
                      <w:rFonts w:ascii="Times New Roman" w:hAnsi="Times New Roman" w:eastAsia="宋体" w:cs="Times New Roman"/>
                      <w:snapToGrid w:val="0"/>
                      <w:color w:val="auto"/>
                      <w:kern w:val="0"/>
                      <w:szCs w:val="24"/>
                    </w:rPr>
                  </w:pPr>
                  <w:r>
                    <w:rPr>
                      <w:rFonts w:ascii="Times New Roman" w:hAnsi="Times New Roman" w:eastAsia="宋体" w:cs="Times New Roman"/>
                      <w:color w:val="auto"/>
                      <w:szCs w:val="24"/>
                    </w:rPr>
                    <w:t>PM</w:t>
                  </w:r>
                  <w:r>
                    <w:rPr>
                      <w:rFonts w:ascii="Times New Roman" w:hAnsi="Times New Roman" w:eastAsia="宋体" w:cs="Times New Roman"/>
                      <w:color w:val="auto"/>
                      <w:szCs w:val="24"/>
                      <w:vertAlign w:val="subscript"/>
                    </w:rPr>
                    <w:t>2.5</w:t>
                  </w:r>
                </w:p>
              </w:tc>
              <w:tc>
                <w:tcPr>
                  <w:tcW w:w="1217" w:type="pct"/>
                  <w:vAlign w:val="center"/>
                </w:tcPr>
                <w:p w14:paraId="13A0CC4D">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24小时平均</w:t>
                  </w:r>
                </w:p>
              </w:tc>
              <w:tc>
                <w:tcPr>
                  <w:tcW w:w="1026" w:type="pct"/>
                  <w:vAlign w:val="center"/>
                </w:tcPr>
                <w:p w14:paraId="35CE6182">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75μg/m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5EC6A828">
                  <w:pPr>
                    <w:widowControl/>
                    <w:spacing w:line="276" w:lineRule="auto"/>
                    <w:jc w:val="center"/>
                    <w:rPr>
                      <w:rFonts w:ascii="Times New Roman" w:hAnsi="Times New Roman" w:eastAsia="宋体" w:cs="Times New Roman"/>
                      <w:snapToGrid w:val="0"/>
                      <w:color w:val="auto"/>
                      <w:kern w:val="0"/>
                      <w:szCs w:val="21"/>
                    </w:rPr>
                  </w:pPr>
                </w:p>
              </w:tc>
            </w:tr>
            <w:tr w14:paraId="1F8FE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04C400D">
                  <w:pPr>
                    <w:spacing w:line="276" w:lineRule="auto"/>
                    <w:jc w:val="center"/>
                    <w:rPr>
                      <w:rFonts w:ascii="Times New Roman" w:hAnsi="Times New Roman" w:eastAsia="宋体" w:cs="Times New Roman"/>
                      <w:snapToGrid w:val="0"/>
                      <w:color w:val="auto"/>
                      <w:kern w:val="0"/>
                      <w:szCs w:val="21"/>
                    </w:rPr>
                  </w:pPr>
                </w:p>
              </w:tc>
              <w:tc>
                <w:tcPr>
                  <w:tcW w:w="588" w:type="pct"/>
                  <w:vMerge w:val="continue"/>
                  <w:vAlign w:val="center"/>
                </w:tcPr>
                <w:p w14:paraId="4E914E02">
                  <w:pPr>
                    <w:widowControl/>
                    <w:spacing w:line="276" w:lineRule="auto"/>
                    <w:jc w:val="center"/>
                    <w:rPr>
                      <w:rFonts w:ascii="Times New Roman" w:hAnsi="Times New Roman" w:eastAsia="宋体" w:cs="Times New Roman"/>
                      <w:snapToGrid w:val="0"/>
                      <w:color w:val="auto"/>
                      <w:kern w:val="0"/>
                      <w:szCs w:val="21"/>
                    </w:rPr>
                  </w:pPr>
                </w:p>
              </w:tc>
              <w:tc>
                <w:tcPr>
                  <w:tcW w:w="1217" w:type="pct"/>
                  <w:vAlign w:val="center"/>
                </w:tcPr>
                <w:p w14:paraId="5A9F8AD2">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年平均</w:t>
                  </w:r>
                </w:p>
              </w:tc>
              <w:tc>
                <w:tcPr>
                  <w:tcW w:w="1026" w:type="pct"/>
                  <w:vAlign w:val="center"/>
                </w:tcPr>
                <w:p w14:paraId="5B01575C">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35μg/m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306E3389">
                  <w:pPr>
                    <w:widowControl/>
                    <w:spacing w:line="276" w:lineRule="auto"/>
                    <w:jc w:val="center"/>
                    <w:rPr>
                      <w:rFonts w:ascii="Times New Roman" w:hAnsi="Times New Roman" w:eastAsia="宋体" w:cs="Times New Roman"/>
                      <w:snapToGrid w:val="0"/>
                      <w:color w:val="auto"/>
                      <w:kern w:val="0"/>
                      <w:szCs w:val="21"/>
                    </w:rPr>
                  </w:pPr>
                </w:p>
              </w:tc>
            </w:tr>
            <w:tr w14:paraId="7E00E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3652091A">
                  <w:pPr>
                    <w:widowControl/>
                    <w:spacing w:line="276" w:lineRule="auto"/>
                    <w:jc w:val="center"/>
                    <w:rPr>
                      <w:rFonts w:ascii="Times New Roman" w:hAnsi="Times New Roman" w:eastAsia="宋体" w:cs="Times New Roman"/>
                      <w:snapToGrid w:val="0"/>
                      <w:color w:val="auto"/>
                      <w:kern w:val="0"/>
                      <w:szCs w:val="21"/>
                    </w:rPr>
                  </w:pPr>
                </w:p>
              </w:tc>
              <w:tc>
                <w:tcPr>
                  <w:tcW w:w="588" w:type="pct"/>
                  <w:vMerge w:val="restart"/>
                  <w:vAlign w:val="center"/>
                </w:tcPr>
                <w:p w14:paraId="10645093">
                  <w:pPr>
                    <w:spacing w:line="276" w:lineRule="auto"/>
                    <w:jc w:val="center"/>
                    <w:rPr>
                      <w:rFonts w:ascii="Times New Roman" w:hAnsi="Times New Roman" w:eastAsia="宋体" w:cs="Times New Roman"/>
                      <w:snapToGrid w:val="0"/>
                      <w:color w:val="auto"/>
                      <w:kern w:val="0"/>
                      <w:szCs w:val="24"/>
                    </w:rPr>
                  </w:pPr>
                  <w:r>
                    <w:rPr>
                      <w:rFonts w:ascii="Times New Roman" w:hAnsi="Times New Roman" w:eastAsia="宋体" w:cs="Times New Roman"/>
                      <w:color w:val="auto"/>
                      <w:szCs w:val="24"/>
                    </w:rPr>
                    <w:t>PM</w:t>
                  </w:r>
                  <w:r>
                    <w:rPr>
                      <w:rFonts w:ascii="Times New Roman" w:hAnsi="Times New Roman" w:eastAsia="宋体" w:cs="Times New Roman"/>
                      <w:color w:val="auto"/>
                      <w:szCs w:val="24"/>
                      <w:vertAlign w:val="subscript"/>
                    </w:rPr>
                    <w:t>10</w:t>
                  </w:r>
                </w:p>
              </w:tc>
              <w:tc>
                <w:tcPr>
                  <w:tcW w:w="1217" w:type="pct"/>
                  <w:vAlign w:val="center"/>
                </w:tcPr>
                <w:p w14:paraId="34329849">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24小时平均</w:t>
                  </w:r>
                </w:p>
              </w:tc>
              <w:tc>
                <w:tcPr>
                  <w:tcW w:w="1026" w:type="pct"/>
                  <w:vAlign w:val="center"/>
                </w:tcPr>
                <w:p w14:paraId="54E8DDCA">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150μg/m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11D59772">
                  <w:pPr>
                    <w:widowControl/>
                    <w:spacing w:line="276" w:lineRule="auto"/>
                    <w:jc w:val="center"/>
                    <w:rPr>
                      <w:rFonts w:ascii="Times New Roman" w:hAnsi="Times New Roman" w:eastAsia="宋体" w:cs="Times New Roman"/>
                      <w:snapToGrid w:val="0"/>
                      <w:color w:val="auto"/>
                      <w:kern w:val="0"/>
                      <w:szCs w:val="21"/>
                    </w:rPr>
                  </w:pPr>
                </w:p>
              </w:tc>
            </w:tr>
            <w:tr w14:paraId="0D628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5397E5DE">
                  <w:pPr>
                    <w:widowControl/>
                    <w:spacing w:line="276" w:lineRule="auto"/>
                    <w:jc w:val="center"/>
                    <w:rPr>
                      <w:rFonts w:ascii="Times New Roman" w:hAnsi="Times New Roman" w:eastAsia="宋体" w:cs="Times New Roman"/>
                      <w:snapToGrid w:val="0"/>
                      <w:color w:val="auto"/>
                      <w:kern w:val="0"/>
                      <w:szCs w:val="21"/>
                    </w:rPr>
                  </w:pPr>
                </w:p>
              </w:tc>
              <w:tc>
                <w:tcPr>
                  <w:tcW w:w="588" w:type="pct"/>
                  <w:vMerge w:val="continue"/>
                  <w:vAlign w:val="center"/>
                </w:tcPr>
                <w:p w14:paraId="6A645711">
                  <w:pPr>
                    <w:widowControl/>
                    <w:spacing w:line="276" w:lineRule="auto"/>
                    <w:jc w:val="center"/>
                    <w:rPr>
                      <w:rFonts w:ascii="Times New Roman" w:hAnsi="Times New Roman" w:eastAsia="宋体" w:cs="Times New Roman"/>
                      <w:snapToGrid w:val="0"/>
                      <w:color w:val="auto"/>
                      <w:kern w:val="0"/>
                      <w:szCs w:val="21"/>
                    </w:rPr>
                  </w:pPr>
                </w:p>
              </w:tc>
              <w:tc>
                <w:tcPr>
                  <w:tcW w:w="1217" w:type="pct"/>
                  <w:vAlign w:val="center"/>
                </w:tcPr>
                <w:p w14:paraId="371D4C46">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年平均</w:t>
                  </w:r>
                </w:p>
              </w:tc>
              <w:tc>
                <w:tcPr>
                  <w:tcW w:w="1026" w:type="pct"/>
                  <w:vAlign w:val="center"/>
                </w:tcPr>
                <w:p w14:paraId="0CAED889">
                  <w:pPr>
                    <w:spacing w:line="276" w:lineRule="auto"/>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70μg/m</w:t>
                  </w:r>
                  <w:r>
                    <w:rPr>
                      <w:rFonts w:ascii="Times New Roman" w:hAnsi="Times New Roman" w:eastAsia="宋体" w:cs="Times New Roman"/>
                      <w:snapToGrid w:val="0"/>
                      <w:color w:val="auto"/>
                      <w:kern w:val="0"/>
                      <w:szCs w:val="21"/>
                      <w:vertAlign w:val="superscript"/>
                    </w:rPr>
                    <w:t>3</w:t>
                  </w:r>
                </w:p>
              </w:tc>
              <w:tc>
                <w:tcPr>
                  <w:tcW w:w="1659" w:type="pct"/>
                  <w:vMerge w:val="continue"/>
                  <w:vAlign w:val="center"/>
                </w:tcPr>
                <w:p w14:paraId="06518F2C">
                  <w:pPr>
                    <w:widowControl/>
                    <w:spacing w:line="276" w:lineRule="auto"/>
                    <w:jc w:val="center"/>
                    <w:rPr>
                      <w:rFonts w:ascii="Times New Roman" w:hAnsi="Times New Roman" w:eastAsia="宋体" w:cs="Times New Roman"/>
                      <w:snapToGrid w:val="0"/>
                      <w:color w:val="auto"/>
                      <w:kern w:val="0"/>
                      <w:szCs w:val="21"/>
                    </w:rPr>
                  </w:pPr>
                </w:p>
              </w:tc>
            </w:tr>
            <w:tr w14:paraId="06F18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0E4654CB">
                  <w:pPr>
                    <w:widowControl/>
                    <w:spacing w:line="276" w:lineRule="auto"/>
                    <w:jc w:val="center"/>
                    <w:rPr>
                      <w:rFonts w:ascii="Times New Roman" w:hAnsi="Times New Roman" w:eastAsia="宋体" w:cs="Times New Roman"/>
                      <w:snapToGrid w:val="0"/>
                      <w:color w:val="auto"/>
                      <w:kern w:val="0"/>
                      <w:szCs w:val="21"/>
                    </w:rPr>
                  </w:pPr>
                </w:p>
              </w:tc>
              <w:tc>
                <w:tcPr>
                  <w:tcW w:w="588" w:type="pct"/>
                  <w:vMerge w:val="restart"/>
                  <w:vAlign w:val="center"/>
                </w:tcPr>
                <w:p w14:paraId="652664E5">
                  <w:pPr>
                    <w:spacing w:line="276" w:lineRule="auto"/>
                    <w:jc w:val="center"/>
                    <w:rPr>
                      <w:rFonts w:ascii="Times New Roman" w:hAnsi="Times New Roman" w:eastAsia="宋体" w:cs="Times New Roman"/>
                      <w:snapToGrid w:val="0"/>
                      <w:color w:val="auto"/>
                      <w:szCs w:val="24"/>
                    </w:rPr>
                  </w:pPr>
                  <w:r>
                    <w:rPr>
                      <w:rFonts w:ascii="Times New Roman" w:hAnsi="Times New Roman" w:eastAsia="宋体" w:cs="Times New Roman"/>
                      <w:snapToGrid w:val="0"/>
                      <w:color w:val="auto"/>
                      <w:szCs w:val="24"/>
                    </w:rPr>
                    <w:t>O</w:t>
                  </w:r>
                  <w:r>
                    <w:rPr>
                      <w:rFonts w:ascii="Times New Roman" w:hAnsi="Times New Roman" w:eastAsia="宋体" w:cs="Times New Roman"/>
                      <w:snapToGrid w:val="0"/>
                      <w:color w:val="auto"/>
                      <w:szCs w:val="24"/>
                      <w:vertAlign w:val="subscript"/>
                    </w:rPr>
                    <w:t>3</w:t>
                  </w:r>
                </w:p>
              </w:tc>
              <w:tc>
                <w:tcPr>
                  <w:tcW w:w="1217" w:type="pct"/>
                  <w:vAlign w:val="center"/>
                </w:tcPr>
                <w:p w14:paraId="40DF7694">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1小时平均</w:t>
                  </w:r>
                </w:p>
              </w:tc>
              <w:tc>
                <w:tcPr>
                  <w:tcW w:w="1026" w:type="pct"/>
                  <w:vAlign w:val="center"/>
                </w:tcPr>
                <w:p w14:paraId="1A9720D6">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200μg/m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6456BE33">
                  <w:pPr>
                    <w:widowControl/>
                    <w:spacing w:line="276" w:lineRule="auto"/>
                    <w:jc w:val="center"/>
                    <w:rPr>
                      <w:rFonts w:ascii="Times New Roman" w:hAnsi="Times New Roman" w:eastAsia="宋体" w:cs="Times New Roman"/>
                      <w:snapToGrid w:val="0"/>
                      <w:color w:val="auto"/>
                      <w:kern w:val="0"/>
                      <w:szCs w:val="21"/>
                    </w:rPr>
                  </w:pPr>
                </w:p>
              </w:tc>
            </w:tr>
            <w:tr w14:paraId="679BC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794BB455">
                  <w:pPr>
                    <w:widowControl/>
                    <w:spacing w:line="276" w:lineRule="auto"/>
                    <w:jc w:val="center"/>
                    <w:rPr>
                      <w:rFonts w:ascii="Times New Roman" w:hAnsi="Times New Roman" w:eastAsia="宋体" w:cs="Times New Roman"/>
                      <w:snapToGrid w:val="0"/>
                      <w:color w:val="auto"/>
                      <w:kern w:val="0"/>
                      <w:szCs w:val="21"/>
                    </w:rPr>
                  </w:pPr>
                </w:p>
              </w:tc>
              <w:tc>
                <w:tcPr>
                  <w:tcW w:w="588" w:type="pct"/>
                  <w:vMerge w:val="continue"/>
                  <w:vAlign w:val="center"/>
                </w:tcPr>
                <w:p w14:paraId="66424FC5">
                  <w:pPr>
                    <w:widowControl/>
                    <w:spacing w:line="276" w:lineRule="auto"/>
                    <w:jc w:val="center"/>
                    <w:rPr>
                      <w:rFonts w:ascii="Times New Roman" w:hAnsi="Times New Roman" w:eastAsia="宋体" w:cs="Times New Roman"/>
                      <w:snapToGrid w:val="0"/>
                      <w:color w:val="auto"/>
                      <w:kern w:val="0"/>
                      <w:szCs w:val="21"/>
                    </w:rPr>
                  </w:pPr>
                </w:p>
              </w:tc>
              <w:tc>
                <w:tcPr>
                  <w:tcW w:w="1217" w:type="pct"/>
                  <w:vAlign w:val="center"/>
                </w:tcPr>
                <w:p w14:paraId="09CB7A71">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日最大8小时平均</w:t>
                  </w:r>
                </w:p>
              </w:tc>
              <w:tc>
                <w:tcPr>
                  <w:tcW w:w="1026" w:type="pct"/>
                  <w:vAlign w:val="center"/>
                </w:tcPr>
                <w:p w14:paraId="7426FE93">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160μg/m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72A4E49D">
                  <w:pPr>
                    <w:widowControl/>
                    <w:spacing w:line="276" w:lineRule="auto"/>
                    <w:jc w:val="center"/>
                    <w:rPr>
                      <w:rFonts w:ascii="Times New Roman" w:hAnsi="Times New Roman" w:eastAsia="宋体" w:cs="Times New Roman"/>
                      <w:snapToGrid w:val="0"/>
                      <w:color w:val="auto"/>
                      <w:kern w:val="0"/>
                      <w:szCs w:val="21"/>
                    </w:rPr>
                  </w:pPr>
                </w:p>
              </w:tc>
            </w:tr>
            <w:tr w14:paraId="7D0D7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708BB620">
                  <w:pPr>
                    <w:widowControl/>
                    <w:spacing w:line="276" w:lineRule="auto"/>
                    <w:jc w:val="center"/>
                    <w:rPr>
                      <w:rFonts w:ascii="Times New Roman" w:hAnsi="Times New Roman" w:eastAsia="宋体" w:cs="Times New Roman"/>
                      <w:snapToGrid w:val="0"/>
                      <w:color w:val="auto"/>
                      <w:kern w:val="0"/>
                      <w:szCs w:val="21"/>
                    </w:rPr>
                  </w:pPr>
                </w:p>
              </w:tc>
              <w:tc>
                <w:tcPr>
                  <w:tcW w:w="588" w:type="pct"/>
                  <w:vMerge w:val="restart"/>
                  <w:vAlign w:val="center"/>
                </w:tcPr>
                <w:p w14:paraId="49ACF490">
                  <w:pPr>
                    <w:widowControl/>
                    <w:spacing w:line="276" w:lineRule="auto"/>
                    <w:jc w:val="center"/>
                    <w:rPr>
                      <w:rFonts w:ascii="Times New Roman" w:hAnsi="Times New Roman" w:eastAsia="宋体" w:cs="Times New Roman"/>
                      <w:snapToGrid w:val="0"/>
                      <w:color w:val="auto"/>
                      <w:kern w:val="0"/>
                      <w:szCs w:val="21"/>
                    </w:rPr>
                  </w:pPr>
                  <w:r>
                    <w:rPr>
                      <w:rFonts w:hint="eastAsia" w:ascii="Times New Roman" w:hAnsi="Times New Roman" w:eastAsia="宋体" w:cs="Times New Roman"/>
                      <w:snapToGrid w:val="0"/>
                      <w:color w:val="auto"/>
                      <w:kern w:val="0"/>
                      <w:szCs w:val="21"/>
                    </w:rPr>
                    <w:t>TSP</w:t>
                  </w:r>
                </w:p>
              </w:tc>
              <w:tc>
                <w:tcPr>
                  <w:tcW w:w="1217" w:type="pct"/>
                  <w:vAlign w:val="center"/>
                </w:tcPr>
                <w:p w14:paraId="6EDFEF0F">
                  <w:pPr>
                    <w:spacing w:line="276"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24小时平均</w:t>
                  </w:r>
                </w:p>
              </w:tc>
              <w:tc>
                <w:tcPr>
                  <w:tcW w:w="1026" w:type="pct"/>
                  <w:vAlign w:val="center"/>
                </w:tcPr>
                <w:p w14:paraId="05866E93">
                  <w:pPr>
                    <w:spacing w:line="276"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300</w:t>
                  </w:r>
                  <w:r>
                    <w:rPr>
                      <w:rFonts w:ascii="Times New Roman" w:hAnsi="Times New Roman" w:eastAsia="宋体" w:cs="Times New Roman"/>
                      <w:snapToGrid w:val="0"/>
                      <w:color w:val="auto"/>
                      <w:szCs w:val="21"/>
                    </w:rPr>
                    <w:t>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122B7626">
                  <w:pPr>
                    <w:widowControl/>
                    <w:spacing w:line="276" w:lineRule="auto"/>
                    <w:jc w:val="center"/>
                    <w:rPr>
                      <w:rFonts w:ascii="Times New Roman" w:hAnsi="Times New Roman" w:eastAsia="宋体" w:cs="Times New Roman"/>
                      <w:snapToGrid w:val="0"/>
                      <w:color w:val="auto"/>
                      <w:kern w:val="0"/>
                      <w:szCs w:val="21"/>
                    </w:rPr>
                  </w:pPr>
                </w:p>
              </w:tc>
            </w:tr>
            <w:tr w14:paraId="7CFC4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33459C3">
                  <w:pPr>
                    <w:widowControl/>
                    <w:spacing w:line="276" w:lineRule="auto"/>
                    <w:jc w:val="center"/>
                    <w:rPr>
                      <w:rFonts w:ascii="Times New Roman" w:hAnsi="Times New Roman" w:eastAsia="宋体" w:cs="Times New Roman"/>
                      <w:snapToGrid w:val="0"/>
                      <w:color w:val="auto"/>
                      <w:kern w:val="0"/>
                      <w:szCs w:val="21"/>
                    </w:rPr>
                  </w:pPr>
                </w:p>
              </w:tc>
              <w:tc>
                <w:tcPr>
                  <w:tcW w:w="588" w:type="pct"/>
                  <w:vMerge w:val="continue"/>
                  <w:vAlign w:val="center"/>
                </w:tcPr>
                <w:p w14:paraId="014595D3">
                  <w:pPr>
                    <w:widowControl/>
                    <w:spacing w:line="276" w:lineRule="auto"/>
                    <w:jc w:val="center"/>
                    <w:rPr>
                      <w:rFonts w:ascii="Times New Roman" w:hAnsi="Times New Roman" w:eastAsia="宋体" w:cs="Times New Roman"/>
                      <w:snapToGrid w:val="0"/>
                      <w:color w:val="auto"/>
                      <w:kern w:val="0"/>
                      <w:szCs w:val="21"/>
                    </w:rPr>
                  </w:pPr>
                </w:p>
              </w:tc>
              <w:tc>
                <w:tcPr>
                  <w:tcW w:w="1217" w:type="pct"/>
                  <w:vAlign w:val="center"/>
                </w:tcPr>
                <w:p w14:paraId="0F9424B0">
                  <w:pPr>
                    <w:spacing w:line="276" w:lineRule="auto"/>
                    <w:jc w:val="center"/>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年平均</w:t>
                  </w:r>
                </w:p>
              </w:tc>
              <w:tc>
                <w:tcPr>
                  <w:tcW w:w="1026" w:type="pct"/>
                  <w:vAlign w:val="center"/>
                </w:tcPr>
                <w:p w14:paraId="49D7215A">
                  <w:pPr>
                    <w:spacing w:line="276" w:lineRule="auto"/>
                    <w:jc w:val="center"/>
                    <w:rPr>
                      <w:rFonts w:ascii="Times New Roman" w:hAnsi="Times New Roman" w:eastAsia="宋体" w:cs="Times New Roman"/>
                      <w:snapToGrid w:val="0"/>
                      <w:color w:val="auto"/>
                      <w:szCs w:val="21"/>
                    </w:rPr>
                  </w:pPr>
                  <w:r>
                    <w:rPr>
                      <w:rFonts w:hint="eastAsia" w:ascii="Times New Roman" w:hAnsi="Times New Roman" w:eastAsia="宋体" w:cs="Times New Roman"/>
                      <w:snapToGrid w:val="0"/>
                      <w:color w:val="auto"/>
                      <w:szCs w:val="21"/>
                    </w:rPr>
                    <w:t>200</w:t>
                  </w:r>
                  <w:r>
                    <w:rPr>
                      <w:rFonts w:ascii="Times New Roman" w:hAnsi="Times New Roman" w:eastAsia="宋体" w:cs="Times New Roman"/>
                      <w:snapToGrid w:val="0"/>
                      <w:color w:val="auto"/>
                      <w:szCs w:val="21"/>
                    </w:rPr>
                    <w:t>μg/m</w:t>
                  </w:r>
                  <w:r>
                    <w:rPr>
                      <w:rFonts w:ascii="Times New Roman" w:hAnsi="Times New Roman" w:eastAsia="宋体" w:cs="Times New Roman"/>
                      <w:snapToGrid w:val="0"/>
                      <w:color w:val="auto"/>
                      <w:szCs w:val="21"/>
                      <w:vertAlign w:val="superscript"/>
                    </w:rPr>
                    <w:t>3</w:t>
                  </w:r>
                </w:p>
              </w:tc>
              <w:tc>
                <w:tcPr>
                  <w:tcW w:w="1659" w:type="pct"/>
                  <w:vMerge w:val="continue"/>
                  <w:vAlign w:val="center"/>
                </w:tcPr>
                <w:p w14:paraId="621A829A">
                  <w:pPr>
                    <w:widowControl/>
                    <w:spacing w:line="276" w:lineRule="auto"/>
                    <w:jc w:val="center"/>
                    <w:rPr>
                      <w:rFonts w:ascii="Times New Roman" w:hAnsi="Times New Roman" w:eastAsia="宋体" w:cs="Times New Roman"/>
                      <w:snapToGrid w:val="0"/>
                      <w:color w:val="auto"/>
                      <w:kern w:val="0"/>
                      <w:szCs w:val="21"/>
                    </w:rPr>
                  </w:pPr>
                </w:p>
              </w:tc>
            </w:tr>
          </w:tbl>
          <w:p w14:paraId="72CEC5C4">
            <w:pPr>
              <w:spacing w:line="360" w:lineRule="auto"/>
              <w:ind w:firstLine="482" w:firstLineChars="200"/>
              <w:rPr>
                <w:rFonts w:ascii="Times New Roman" w:hAnsi="宋体" w:eastAsia="宋体" w:cs="Times New Roman"/>
                <w:b/>
                <w:color w:val="auto"/>
                <w:kern w:val="0"/>
                <w:sz w:val="24"/>
                <w:szCs w:val="24"/>
              </w:rPr>
            </w:pPr>
            <w:r>
              <w:rPr>
                <w:rFonts w:hint="eastAsia" w:ascii="Times New Roman" w:hAnsi="Times New Roman" w:eastAsia="宋体" w:cs="Times New Roman"/>
                <w:b/>
                <w:color w:val="auto"/>
                <w:kern w:val="0"/>
                <w:sz w:val="24"/>
                <w:szCs w:val="24"/>
              </w:rPr>
              <w:t>（2）</w:t>
            </w:r>
            <w:r>
              <w:rPr>
                <w:rFonts w:ascii="Times New Roman" w:hAnsi="宋体" w:eastAsia="宋体" w:cs="Times New Roman"/>
                <w:b/>
                <w:color w:val="auto"/>
                <w:kern w:val="0"/>
                <w:sz w:val="24"/>
                <w:szCs w:val="24"/>
              </w:rPr>
              <w:t>地表水环境质量标准</w:t>
            </w:r>
          </w:p>
          <w:p w14:paraId="4386EB12">
            <w:pPr>
              <w:spacing w:line="360" w:lineRule="auto"/>
              <w:ind w:firstLine="480" w:firstLineChars="200"/>
              <w:rPr>
                <w:rFonts w:ascii="Times New Roman" w:hAnsi="宋体" w:eastAsia="宋体" w:cs="Times New Roman"/>
                <w:snapToGrid w:val="0"/>
                <w:color w:val="auto"/>
                <w:kern w:val="0"/>
                <w:sz w:val="24"/>
                <w:szCs w:val="24"/>
              </w:rPr>
            </w:pPr>
            <w:r>
              <w:rPr>
                <w:rFonts w:hint="eastAsia" w:ascii="Times New Roman" w:hAnsi="宋体" w:eastAsia="宋体" w:cs="Times New Roman"/>
                <w:color w:val="auto"/>
                <w:kern w:val="0"/>
                <w:sz w:val="24"/>
                <w:szCs w:val="24"/>
                <w:lang w:eastAsia="zh-CN"/>
              </w:rPr>
              <w:t>项目</w:t>
            </w:r>
            <w:r>
              <w:rPr>
                <w:rFonts w:ascii="Times New Roman" w:hAnsi="宋体" w:eastAsia="宋体" w:cs="Times New Roman"/>
                <w:color w:val="auto"/>
                <w:kern w:val="0"/>
                <w:sz w:val="24"/>
                <w:szCs w:val="24"/>
              </w:rPr>
              <w:t>区域地表水</w:t>
            </w:r>
            <w:r>
              <w:rPr>
                <w:rFonts w:hint="eastAsia" w:ascii="Times New Roman" w:hAnsi="宋体" w:eastAsia="宋体" w:cs="Times New Roman"/>
                <w:snapToGrid w:val="0"/>
                <w:color w:val="auto"/>
                <w:kern w:val="0"/>
                <w:sz w:val="24"/>
                <w:szCs w:val="24"/>
                <w:lang w:eastAsia="zh-CN"/>
              </w:rPr>
              <w:t>泥河、黑河</w:t>
            </w:r>
            <w:r>
              <w:rPr>
                <w:rFonts w:ascii="Times New Roman" w:hAnsi="宋体" w:eastAsia="宋体" w:cs="Times New Roman"/>
                <w:snapToGrid w:val="0"/>
                <w:color w:val="auto"/>
                <w:kern w:val="0"/>
                <w:sz w:val="24"/>
                <w:szCs w:val="24"/>
              </w:rPr>
              <w:t>执行</w:t>
            </w:r>
            <w:r>
              <w:rPr>
                <w:rFonts w:ascii="Times New Roman" w:hAnsi="宋体" w:eastAsia="宋体" w:cs="Times New Roman"/>
                <w:color w:val="auto"/>
                <w:kern w:val="0"/>
                <w:sz w:val="24"/>
                <w:szCs w:val="24"/>
              </w:rPr>
              <w:t>《地表水环境质量标准》（</w:t>
            </w:r>
            <w:r>
              <w:rPr>
                <w:rFonts w:ascii="Times New Roman" w:hAnsi="Times New Roman" w:eastAsia="宋体" w:cs="Times New Roman"/>
                <w:color w:val="auto"/>
                <w:kern w:val="0"/>
                <w:sz w:val="24"/>
                <w:szCs w:val="24"/>
              </w:rPr>
              <w:t>GB3838-2002</w:t>
            </w:r>
            <w:r>
              <w:rPr>
                <w:rFonts w:ascii="Times New Roman" w:hAnsi="宋体" w:eastAsia="宋体" w:cs="Times New Roman"/>
                <w:color w:val="auto"/>
                <w:kern w:val="0"/>
                <w:sz w:val="24"/>
                <w:szCs w:val="24"/>
              </w:rPr>
              <w:t>）</w:t>
            </w:r>
            <w:r>
              <w:rPr>
                <w:rFonts w:ascii="Times New Roman" w:hAnsi="Times New Roman" w:eastAsia="宋体" w:cs="Times New Roman"/>
                <w:color w:val="auto"/>
                <w:szCs w:val="21"/>
              </w:rPr>
              <w:t>Ⅲ</w:t>
            </w:r>
            <w:r>
              <w:rPr>
                <w:rFonts w:ascii="Times New Roman" w:hAnsi="宋体" w:eastAsia="宋体" w:cs="Times New Roman"/>
                <w:snapToGrid w:val="0"/>
                <w:color w:val="auto"/>
                <w:kern w:val="0"/>
                <w:sz w:val="24"/>
                <w:szCs w:val="24"/>
              </w:rPr>
              <w:t>类标准。</w:t>
            </w:r>
          </w:p>
          <w:p w14:paraId="56C06FD9">
            <w:pPr>
              <w:pStyle w:val="97"/>
              <w:numPr>
                <w:ilvl w:val="1"/>
                <w:numId w:val="2"/>
              </w:numPr>
              <w:tabs>
                <w:tab w:val="clear" w:pos="1440"/>
              </w:tabs>
              <w:spacing w:line="240" w:lineRule="auto"/>
              <w:ind w:left="3300" w:leftChars="0" w:hanging="1400" w:firstLineChars="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水环境质量标准  单位：mg/L（pH除外）</w:t>
            </w:r>
          </w:p>
          <w:tbl>
            <w:tblPr>
              <w:tblStyle w:val="26"/>
              <w:tblW w:w="81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2724"/>
              <w:gridCol w:w="780"/>
              <w:gridCol w:w="894"/>
              <w:gridCol w:w="894"/>
              <w:gridCol w:w="895"/>
              <w:gridCol w:w="1024"/>
            </w:tblGrid>
            <w:tr w14:paraId="09A14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5" w:type="pct"/>
                  <w:vAlign w:val="center"/>
                </w:tcPr>
                <w:p w14:paraId="7DA64F4B">
                  <w:pPr>
                    <w:widowControl/>
                    <w:spacing w:line="276" w:lineRule="auto"/>
                    <w:jc w:val="center"/>
                    <w:rPr>
                      <w:rFonts w:ascii="Times New Roman" w:hAnsi="Times New Roman" w:cs="Times New Roman"/>
                      <w:color w:val="auto"/>
                      <w:szCs w:val="21"/>
                    </w:rPr>
                  </w:pPr>
                  <w:r>
                    <w:rPr>
                      <w:rFonts w:ascii="Times New Roman" w:hAnsi="Times New Roman" w:cs="Times New Roman"/>
                      <w:color w:val="auto"/>
                      <w:szCs w:val="21"/>
                    </w:rPr>
                    <w:t>评价</w:t>
                  </w:r>
                </w:p>
                <w:p w14:paraId="3D4C5EF0">
                  <w:pPr>
                    <w:widowControl/>
                    <w:spacing w:line="276" w:lineRule="auto"/>
                    <w:jc w:val="center"/>
                    <w:rPr>
                      <w:rFonts w:ascii="Times New Roman" w:hAnsi="Times New Roman" w:cs="Times New Roman"/>
                      <w:color w:val="auto"/>
                      <w:szCs w:val="21"/>
                    </w:rPr>
                  </w:pPr>
                  <w:r>
                    <w:rPr>
                      <w:rFonts w:ascii="Times New Roman" w:hAnsi="Times New Roman" w:cs="Times New Roman"/>
                      <w:color w:val="auto"/>
                      <w:szCs w:val="21"/>
                    </w:rPr>
                    <w:t>水体</w:t>
                  </w:r>
                </w:p>
              </w:tc>
              <w:tc>
                <w:tcPr>
                  <w:tcW w:w="1674" w:type="pct"/>
                  <w:vAlign w:val="center"/>
                </w:tcPr>
                <w:p w14:paraId="79159AFE">
                  <w:pPr>
                    <w:widowControl/>
                    <w:spacing w:line="276" w:lineRule="auto"/>
                    <w:jc w:val="center"/>
                    <w:rPr>
                      <w:rFonts w:ascii="Times New Roman" w:hAnsi="Times New Roman" w:cs="Times New Roman"/>
                      <w:color w:val="auto"/>
                      <w:szCs w:val="21"/>
                    </w:rPr>
                  </w:pPr>
                  <w:r>
                    <w:rPr>
                      <w:rFonts w:ascii="Times New Roman" w:hAnsi="Times New Roman" w:cs="Times New Roman"/>
                      <w:color w:val="auto"/>
                      <w:szCs w:val="21"/>
                    </w:rPr>
                    <w:t>标准</w:t>
                  </w:r>
                </w:p>
              </w:tc>
              <w:tc>
                <w:tcPr>
                  <w:tcW w:w="479" w:type="pct"/>
                  <w:vAlign w:val="center"/>
                </w:tcPr>
                <w:p w14:paraId="7BFA587F">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pH</w:t>
                  </w:r>
                </w:p>
              </w:tc>
              <w:tc>
                <w:tcPr>
                  <w:tcW w:w="549" w:type="pct"/>
                  <w:vAlign w:val="center"/>
                </w:tcPr>
                <w:p w14:paraId="14C3A2B1">
                  <w:pPr>
                    <w:widowControl/>
                    <w:spacing w:line="276" w:lineRule="auto"/>
                    <w:jc w:val="center"/>
                    <w:rPr>
                      <w:rFonts w:ascii="Times New Roman" w:hAnsi="Times New Roman" w:cs="Times New Roman"/>
                      <w:color w:val="auto"/>
                      <w:kern w:val="0"/>
                      <w:szCs w:val="21"/>
                      <w:vertAlign w:val="subscript"/>
                    </w:rPr>
                  </w:pPr>
                  <w:r>
                    <w:rPr>
                      <w:rFonts w:ascii="Times New Roman" w:hAnsi="Times New Roman" w:cs="Times New Roman"/>
                      <w:color w:val="auto"/>
                      <w:kern w:val="0"/>
                      <w:szCs w:val="21"/>
                    </w:rPr>
                    <w:t>COD</w:t>
                  </w:r>
                  <w:r>
                    <w:rPr>
                      <w:rFonts w:ascii="Times New Roman" w:hAnsi="Times New Roman" w:cs="Times New Roman"/>
                      <w:color w:val="auto"/>
                      <w:kern w:val="0"/>
                      <w:szCs w:val="21"/>
                      <w:vertAlign w:val="subscript"/>
                    </w:rPr>
                    <w:t>Cr</w:t>
                  </w:r>
                </w:p>
              </w:tc>
              <w:tc>
                <w:tcPr>
                  <w:tcW w:w="549" w:type="pct"/>
                  <w:vAlign w:val="center"/>
                </w:tcPr>
                <w:p w14:paraId="416AD30E">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BOD</w:t>
                  </w:r>
                  <w:r>
                    <w:rPr>
                      <w:rFonts w:ascii="Times New Roman" w:hAnsi="Times New Roman" w:cs="Times New Roman"/>
                      <w:color w:val="auto"/>
                      <w:kern w:val="0"/>
                      <w:szCs w:val="21"/>
                      <w:vertAlign w:val="subscript"/>
                    </w:rPr>
                    <w:t>5</w:t>
                  </w:r>
                </w:p>
              </w:tc>
              <w:tc>
                <w:tcPr>
                  <w:tcW w:w="550" w:type="pct"/>
                  <w:vAlign w:val="center"/>
                </w:tcPr>
                <w:p w14:paraId="09ABCBF5">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NH</w:t>
                  </w:r>
                  <w:r>
                    <w:rPr>
                      <w:rFonts w:ascii="Times New Roman" w:hAnsi="Times New Roman" w:cs="Times New Roman"/>
                      <w:color w:val="auto"/>
                      <w:kern w:val="0"/>
                      <w:szCs w:val="21"/>
                      <w:vertAlign w:val="subscript"/>
                    </w:rPr>
                    <w:t>3</w:t>
                  </w:r>
                  <w:r>
                    <w:rPr>
                      <w:rFonts w:ascii="Times New Roman" w:hAnsi="Times New Roman" w:cs="Times New Roman"/>
                      <w:color w:val="auto"/>
                      <w:kern w:val="0"/>
                      <w:szCs w:val="21"/>
                    </w:rPr>
                    <w:t>-N</w:t>
                  </w:r>
                </w:p>
              </w:tc>
              <w:tc>
                <w:tcPr>
                  <w:tcW w:w="629" w:type="pct"/>
                  <w:vAlign w:val="center"/>
                </w:tcPr>
                <w:p w14:paraId="35AA8E63">
                  <w:pPr>
                    <w:widowControl/>
                    <w:spacing w:line="276" w:lineRule="auto"/>
                    <w:jc w:val="center"/>
                    <w:rPr>
                      <w:rFonts w:ascii="Times New Roman" w:hAnsi="Times New Roman" w:cs="Times New Roman"/>
                      <w:color w:val="auto"/>
                      <w:kern w:val="0"/>
                      <w:szCs w:val="21"/>
                    </w:rPr>
                  </w:pPr>
                  <w:r>
                    <w:rPr>
                      <w:rFonts w:ascii="Times New Roman" w:cs="Times New Roman"/>
                      <w:color w:val="auto"/>
                      <w:kern w:val="0"/>
                      <w:szCs w:val="21"/>
                    </w:rPr>
                    <w:t>石油类</w:t>
                  </w:r>
                </w:p>
              </w:tc>
            </w:tr>
            <w:tr w14:paraId="1BA27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5" w:type="pct"/>
                  <w:vAlign w:val="center"/>
                </w:tcPr>
                <w:p w14:paraId="6A89F437">
                  <w:pPr>
                    <w:widowControl/>
                    <w:spacing w:line="276" w:lineRule="auto"/>
                    <w:jc w:val="center"/>
                    <w:rPr>
                      <w:rFonts w:hint="eastAsia" w:ascii="Times New Roman" w:hAnsi="Times New Roman" w:cs="Times New Roman" w:eastAsiaTheme="minorEastAsia"/>
                      <w:color w:val="auto"/>
                      <w:szCs w:val="21"/>
                      <w:lang w:eastAsia="zh-CN"/>
                    </w:rPr>
                  </w:pPr>
                  <w:r>
                    <w:rPr>
                      <w:rFonts w:hint="eastAsia" w:ascii="Times New Roman" w:hAnsi="宋体" w:eastAsia="宋体" w:cs="Times New Roman"/>
                      <w:snapToGrid w:val="0"/>
                      <w:color w:val="auto"/>
                      <w:kern w:val="0"/>
                      <w:sz w:val="24"/>
                      <w:szCs w:val="24"/>
                      <w:lang w:eastAsia="zh-CN"/>
                    </w:rPr>
                    <w:t>泥河、黑河</w:t>
                  </w:r>
                </w:p>
              </w:tc>
              <w:tc>
                <w:tcPr>
                  <w:tcW w:w="1674" w:type="pct"/>
                  <w:vAlign w:val="center"/>
                </w:tcPr>
                <w:p w14:paraId="644EEF70">
                  <w:pPr>
                    <w:widowControl/>
                    <w:spacing w:line="276" w:lineRule="auto"/>
                    <w:jc w:val="center"/>
                    <w:rPr>
                      <w:rFonts w:ascii="Times New Roman" w:hAnsi="Times New Roman" w:cs="Times New Roman"/>
                      <w:color w:val="auto"/>
                      <w:szCs w:val="21"/>
                    </w:rPr>
                  </w:pPr>
                  <w:r>
                    <w:rPr>
                      <w:rFonts w:ascii="Times New Roman" w:hAnsi="Times New Roman" w:cs="Times New Roman"/>
                      <w:snapToGrid w:val="0"/>
                      <w:color w:val="auto"/>
                      <w:kern w:val="0"/>
                      <w:szCs w:val="21"/>
                    </w:rPr>
                    <w:t>《地表水环境质量标准》（GB3838-2002）</w:t>
                  </w:r>
                  <w:r>
                    <w:rPr>
                      <w:rFonts w:ascii="Times New Roman" w:hAnsi="Times New Roman" w:eastAsia="宋体" w:cs="Times New Roman"/>
                      <w:color w:val="auto"/>
                      <w:szCs w:val="21"/>
                    </w:rPr>
                    <w:t>Ⅲ</w:t>
                  </w:r>
                  <w:r>
                    <w:rPr>
                      <w:rFonts w:ascii="Times New Roman" w:hAnsi="Times New Roman" w:cs="Times New Roman"/>
                      <w:color w:val="auto"/>
                      <w:szCs w:val="21"/>
                    </w:rPr>
                    <w:t>类标准</w:t>
                  </w:r>
                </w:p>
              </w:tc>
              <w:tc>
                <w:tcPr>
                  <w:tcW w:w="479" w:type="pct"/>
                  <w:vAlign w:val="center"/>
                </w:tcPr>
                <w:p w14:paraId="22ACD1CA">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6</w:t>
                  </w:r>
                  <w:r>
                    <w:rPr>
                      <w:rFonts w:ascii="Times New Roman" w:cs="Times New Roman"/>
                      <w:color w:val="auto"/>
                      <w:kern w:val="0"/>
                      <w:szCs w:val="21"/>
                    </w:rPr>
                    <w:t>～</w:t>
                  </w:r>
                  <w:r>
                    <w:rPr>
                      <w:rFonts w:ascii="Times New Roman" w:hAnsi="Times New Roman" w:cs="Times New Roman"/>
                      <w:color w:val="auto"/>
                      <w:kern w:val="0"/>
                      <w:szCs w:val="21"/>
                    </w:rPr>
                    <w:t>9</w:t>
                  </w:r>
                </w:p>
              </w:tc>
              <w:tc>
                <w:tcPr>
                  <w:tcW w:w="549" w:type="pct"/>
                  <w:vAlign w:val="center"/>
                </w:tcPr>
                <w:p w14:paraId="30245353">
                  <w:pPr>
                    <w:spacing w:line="276" w:lineRule="auto"/>
                    <w:jc w:val="center"/>
                    <w:rPr>
                      <w:rFonts w:ascii="Times New Roman" w:hAnsi="Times New Roman" w:cs="Times New Roman"/>
                      <w:color w:val="auto"/>
                      <w:szCs w:val="21"/>
                    </w:rPr>
                  </w:pPr>
                  <w:r>
                    <w:rPr>
                      <w:rFonts w:ascii="Times New Roman" w:hAnsi="Times New Roman" w:cs="Times New Roman"/>
                      <w:color w:val="auto"/>
                      <w:kern w:val="0"/>
                      <w:szCs w:val="21"/>
                    </w:rPr>
                    <w:t>≤</w:t>
                  </w:r>
                  <w:r>
                    <w:rPr>
                      <w:rFonts w:hint="eastAsia" w:ascii="Times New Roman" w:hAnsi="Times New Roman" w:cs="Times New Roman"/>
                      <w:color w:val="auto"/>
                      <w:kern w:val="0"/>
                      <w:szCs w:val="21"/>
                    </w:rPr>
                    <w:t>20</w:t>
                  </w:r>
                </w:p>
              </w:tc>
              <w:tc>
                <w:tcPr>
                  <w:tcW w:w="549" w:type="pct"/>
                  <w:vAlign w:val="center"/>
                </w:tcPr>
                <w:p w14:paraId="594622FA">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w:t>
                  </w:r>
                  <w:r>
                    <w:rPr>
                      <w:rFonts w:hint="eastAsia" w:ascii="Times New Roman" w:hAnsi="Times New Roman" w:cs="Times New Roman"/>
                      <w:color w:val="auto"/>
                      <w:kern w:val="0"/>
                      <w:szCs w:val="21"/>
                    </w:rPr>
                    <w:t>4</w:t>
                  </w:r>
                </w:p>
              </w:tc>
              <w:tc>
                <w:tcPr>
                  <w:tcW w:w="550" w:type="pct"/>
                  <w:vAlign w:val="center"/>
                </w:tcPr>
                <w:p w14:paraId="7EE03E5E">
                  <w:pPr>
                    <w:spacing w:line="276" w:lineRule="auto"/>
                    <w:jc w:val="center"/>
                    <w:rPr>
                      <w:rFonts w:ascii="Times New Roman" w:hAnsi="Times New Roman" w:cs="Times New Roman"/>
                      <w:color w:val="auto"/>
                      <w:szCs w:val="21"/>
                    </w:rPr>
                  </w:pPr>
                  <w:r>
                    <w:rPr>
                      <w:rFonts w:ascii="Times New Roman" w:hAnsi="Times New Roman" w:cs="Times New Roman"/>
                      <w:color w:val="auto"/>
                      <w:kern w:val="0"/>
                      <w:szCs w:val="21"/>
                    </w:rPr>
                    <w:t>≤</w:t>
                  </w:r>
                  <w:r>
                    <w:rPr>
                      <w:rFonts w:hint="eastAsia" w:ascii="Times New Roman" w:hAnsi="Times New Roman" w:cs="Times New Roman"/>
                      <w:color w:val="auto"/>
                      <w:szCs w:val="21"/>
                    </w:rPr>
                    <w:t>1</w:t>
                  </w:r>
                  <w:r>
                    <w:rPr>
                      <w:rFonts w:ascii="Times New Roman" w:hAnsi="Times New Roman" w:cs="Times New Roman"/>
                      <w:color w:val="auto"/>
                      <w:szCs w:val="21"/>
                    </w:rPr>
                    <w:t>.0</w:t>
                  </w:r>
                </w:p>
              </w:tc>
              <w:tc>
                <w:tcPr>
                  <w:tcW w:w="629" w:type="pct"/>
                  <w:vAlign w:val="center"/>
                </w:tcPr>
                <w:p w14:paraId="50A67A90">
                  <w:pPr>
                    <w:widowControl/>
                    <w:spacing w:line="276" w:lineRule="auto"/>
                    <w:jc w:val="center"/>
                    <w:rPr>
                      <w:rFonts w:ascii="Times New Roman" w:hAnsi="Times New Roman" w:cs="Times New Roman"/>
                      <w:color w:val="auto"/>
                      <w:kern w:val="0"/>
                      <w:szCs w:val="21"/>
                    </w:rPr>
                  </w:pPr>
                  <w:r>
                    <w:rPr>
                      <w:rFonts w:ascii="Times New Roman" w:hAnsi="Times New Roman" w:cs="Times New Roman"/>
                      <w:color w:val="auto"/>
                      <w:kern w:val="0"/>
                      <w:szCs w:val="21"/>
                    </w:rPr>
                    <w:t>≤</w:t>
                  </w:r>
                  <w:r>
                    <w:rPr>
                      <w:rFonts w:hint="eastAsia" w:ascii="Times New Roman" w:hAnsi="Times New Roman" w:cs="Times New Roman"/>
                      <w:color w:val="auto"/>
                      <w:kern w:val="0"/>
                      <w:szCs w:val="21"/>
                    </w:rPr>
                    <w:t>0.05</w:t>
                  </w:r>
                </w:p>
              </w:tc>
            </w:tr>
          </w:tbl>
          <w:p w14:paraId="47E756FA">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（3）声环境质量标准</w:t>
            </w:r>
          </w:p>
          <w:p w14:paraId="2684FAF3">
            <w:pPr>
              <w:spacing w:line="360" w:lineRule="auto"/>
              <w:ind w:firstLine="480" w:firstLineChars="200"/>
              <w:rPr>
                <w:rFonts w:ascii="Times New Roman" w:hAnsi="Times New Roman" w:eastAsia="宋体" w:cs="Times New Roman"/>
                <w:color w:val="auto"/>
                <w:kern w:val="0"/>
                <w:sz w:val="24"/>
                <w:szCs w:val="24"/>
              </w:rPr>
            </w:pPr>
            <w:r>
              <w:rPr>
                <w:rFonts w:hint="eastAsia" w:hAnsi="宋体"/>
                <w:color w:val="auto"/>
                <w:sz w:val="24"/>
                <w:szCs w:val="24"/>
              </w:rPr>
              <w:t>评价区域</w:t>
            </w:r>
            <w:r>
              <w:rPr>
                <w:rFonts w:hint="eastAsia" w:ascii="Times New Roman" w:hAnsi="Times New Roman" w:eastAsia="宋体" w:cs="Times New Roman"/>
                <w:color w:val="auto"/>
                <w:kern w:val="0"/>
                <w:sz w:val="24"/>
                <w:szCs w:val="24"/>
              </w:rPr>
              <w:t>声环境</w:t>
            </w:r>
            <w:r>
              <w:rPr>
                <w:rFonts w:hint="eastAsia" w:ascii="Times New Roman" w:hAnsi="Times New Roman" w:eastAsia="宋体" w:cs="Times New Roman"/>
                <w:color w:val="auto"/>
                <w:kern w:val="0"/>
                <w:sz w:val="24"/>
                <w:szCs w:val="24"/>
                <w:lang w:eastAsia="zh-CN"/>
              </w:rPr>
              <w:t>质量</w:t>
            </w:r>
            <w:r>
              <w:rPr>
                <w:rFonts w:hint="eastAsia" w:ascii="Times New Roman" w:hAnsi="Times New Roman" w:eastAsia="宋体" w:cs="Times New Roman"/>
                <w:color w:val="auto"/>
                <w:kern w:val="0"/>
                <w:sz w:val="24"/>
                <w:szCs w:val="24"/>
              </w:rPr>
              <w:t>执行《声环境质量标准》（GB3096-2008）</w:t>
            </w:r>
            <w:r>
              <w:rPr>
                <w:rFonts w:hint="eastAsia"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rPr>
              <w:t>类功能区限值。</w:t>
            </w:r>
          </w:p>
          <w:p w14:paraId="5C55DF87">
            <w:pPr>
              <w:pStyle w:val="97"/>
              <w:numPr>
                <w:ilvl w:val="1"/>
                <w:numId w:val="2"/>
              </w:numPr>
              <w:tabs>
                <w:tab w:val="clear" w:pos="1440"/>
              </w:tabs>
              <w:spacing w:line="240" w:lineRule="auto"/>
              <w:ind w:left="3300" w:leftChars="0" w:hanging="1400" w:firstLineChars="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声环境质量标准  单位：dB（A）</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0"/>
              <w:gridCol w:w="2710"/>
              <w:gridCol w:w="2710"/>
            </w:tblGrid>
            <w:tr w14:paraId="5B9FE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Align w:val="center"/>
                </w:tcPr>
                <w:p w14:paraId="00466EC6">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类别</w:t>
                  </w:r>
                </w:p>
              </w:tc>
              <w:tc>
                <w:tcPr>
                  <w:tcW w:w="0" w:type="auto"/>
                  <w:vAlign w:val="center"/>
                </w:tcPr>
                <w:p w14:paraId="4319E3D5">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昼间</w:t>
                  </w:r>
                </w:p>
              </w:tc>
              <w:tc>
                <w:tcPr>
                  <w:tcW w:w="0" w:type="auto"/>
                  <w:vAlign w:val="center"/>
                </w:tcPr>
                <w:p w14:paraId="19F752E1">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夜间</w:t>
                  </w:r>
                </w:p>
              </w:tc>
            </w:tr>
            <w:tr w14:paraId="29F0F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6FD9C980">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lang w:val="en-US" w:eastAsia="zh-CN"/>
                    </w:rPr>
                    <w:t>2</w:t>
                  </w:r>
                  <w:r>
                    <w:rPr>
                      <w:rFonts w:ascii="Times New Roman" w:hAnsi="Times New Roman" w:eastAsia="宋体" w:cs="Times New Roman"/>
                      <w:color w:val="auto"/>
                      <w:szCs w:val="24"/>
                    </w:rPr>
                    <w:t>类</w:t>
                  </w:r>
                </w:p>
              </w:tc>
              <w:tc>
                <w:tcPr>
                  <w:tcW w:w="0" w:type="auto"/>
                  <w:vAlign w:val="center"/>
                </w:tcPr>
                <w:p w14:paraId="20C2EFE0">
                  <w:pPr>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60</w:t>
                  </w:r>
                </w:p>
              </w:tc>
              <w:tc>
                <w:tcPr>
                  <w:tcW w:w="0" w:type="auto"/>
                  <w:vAlign w:val="center"/>
                </w:tcPr>
                <w:p w14:paraId="071507E8">
                  <w:pPr>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50</w:t>
                  </w:r>
                </w:p>
              </w:tc>
            </w:tr>
          </w:tbl>
          <w:p w14:paraId="6780B5BE">
            <w:pPr>
              <w:spacing w:line="360" w:lineRule="auto"/>
              <w:rPr>
                <w:rFonts w:ascii="Times New Roman" w:hAnsi="Times New Roman" w:eastAsia="宋体" w:cs="Times New Roman"/>
                <w:b/>
                <w:color w:val="auto"/>
                <w:kern w:val="0"/>
                <w:sz w:val="24"/>
                <w:szCs w:val="24"/>
              </w:rPr>
            </w:pPr>
            <w:r>
              <w:rPr>
                <w:rFonts w:hint="eastAsia" w:ascii="Times New Roman" w:hAnsi="宋体" w:eastAsia="宋体" w:cs="Times New Roman"/>
                <w:b/>
                <w:color w:val="auto"/>
                <w:kern w:val="0"/>
                <w:sz w:val="24"/>
                <w:szCs w:val="24"/>
              </w:rPr>
              <w:t>2</w:t>
            </w:r>
            <w:r>
              <w:rPr>
                <w:rFonts w:ascii="Times New Roman" w:hAnsi="Times New Roman" w:eastAsia="宋体" w:cs="Times New Roman"/>
                <w:b/>
                <w:color w:val="auto"/>
                <w:kern w:val="0"/>
                <w:sz w:val="24"/>
                <w:szCs w:val="24"/>
              </w:rPr>
              <w:t>、污染物排放标准</w:t>
            </w:r>
          </w:p>
          <w:p w14:paraId="73DE9FE3">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（1）废气</w:t>
            </w:r>
          </w:p>
          <w:p w14:paraId="4CCFB082">
            <w:pPr>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本项目施工期废气颗粒物执行执行</w:t>
            </w:r>
            <w:r>
              <w:rPr>
                <w:rFonts w:hint="eastAsia" w:ascii="Times New Roman" w:hAnsi="Times New Roman" w:eastAsia="宋体" w:cs="Times New Roman"/>
                <w:color w:val="auto"/>
                <w:sz w:val="24"/>
                <w:szCs w:val="24"/>
              </w:rPr>
              <w:t>安徽省《施工场地颗粒物排放标准》（</w:t>
            </w:r>
            <w:r>
              <w:rPr>
                <w:rFonts w:ascii="Times New Roman" w:hAnsi="Times New Roman" w:eastAsia="宋体" w:cs="Times New Roman"/>
                <w:color w:val="auto"/>
                <w:sz w:val="24"/>
                <w:szCs w:val="24"/>
              </w:rPr>
              <w:t>DB34/4811-2024</w:t>
            </w:r>
            <w:r>
              <w:rPr>
                <w:rFonts w:hint="eastAsia" w:ascii="Times New Roman" w:hAnsi="Times New Roman" w:eastAsia="宋体" w:cs="Times New Roman"/>
                <w:color w:val="auto"/>
                <w:sz w:val="24"/>
                <w:szCs w:val="24"/>
              </w:rPr>
              <w:t>）</w:t>
            </w:r>
            <w:r>
              <w:rPr>
                <w:rFonts w:hint="default" w:ascii="Times New Roman" w:hAnsi="Times New Roman" w:cs="Times New Roman"/>
                <w:color w:val="auto"/>
                <w:spacing w:val="0"/>
                <w:sz w:val="24"/>
                <w:highlight w:val="none"/>
              </w:rPr>
              <w:t>中厂界大气污染物无组织监控浓度限值</w:t>
            </w:r>
            <w:r>
              <w:rPr>
                <w:rFonts w:hint="eastAsia" w:ascii="Times New Roman" w:hAnsi="Times New Roman" w:cs="Times New Roman"/>
                <w:color w:val="auto"/>
                <w:spacing w:val="0"/>
                <w:sz w:val="24"/>
                <w:highlight w:val="none"/>
                <w:lang w:val="en-US" w:eastAsia="zh-CN"/>
              </w:rPr>
              <w:t>要求</w:t>
            </w:r>
            <w:r>
              <w:rPr>
                <w:rFonts w:ascii="Times New Roman" w:hAnsi="Times New Roman" w:eastAsia="宋体" w:cs="Times New Roman"/>
                <w:color w:val="auto"/>
                <w:sz w:val="24"/>
                <w:szCs w:val="24"/>
              </w:rPr>
              <w:t>。具体标准值见下表。</w:t>
            </w:r>
          </w:p>
          <w:p w14:paraId="6D4DB98A">
            <w:pPr>
              <w:pStyle w:val="97"/>
              <w:numPr>
                <w:ilvl w:val="1"/>
                <w:numId w:val="2"/>
              </w:numPr>
              <w:tabs>
                <w:tab w:val="clear" w:pos="1440"/>
              </w:tabs>
              <w:spacing w:line="240" w:lineRule="auto"/>
              <w:ind w:left="3300" w:leftChars="0" w:hanging="1400" w:firstLineChars="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安徽省《施工场地颗粒物排放标准》</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1616"/>
              <w:gridCol w:w="2298"/>
              <w:gridCol w:w="2123"/>
            </w:tblGrid>
            <w:tr w14:paraId="705D3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286" w:type="pct"/>
                  <w:vAlign w:val="center"/>
                </w:tcPr>
                <w:p w14:paraId="20179EF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w:t>
                  </w:r>
                </w:p>
              </w:tc>
              <w:tc>
                <w:tcPr>
                  <w:tcW w:w="2408" w:type="pct"/>
                  <w:gridSpan w:val="2"/>
                  <w:vAlign w:val="center"/>
                </w:tcPr>
                <w:p w14:paraId="688A865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监控点浓度限值（μg/m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w:t>
                  </w:r>
                </w:p>
              </w:tc>
              <w:tc>
                <w:tcPr>
                  <w:tcW w:w="1306" w:type="pct"/>
                  <w:vAlign w:val="center"/>
                </w:tcPr>
                <w:p w14:paraId="7E41803A">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2EC24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86" w:type="pct"/>
                  <w:vMerge w:val="restart"/>
                  <w:vAlign w:val="center"/>
                </w:tcPr>
                <w:p w14:paraId="7BC34B7B">
                  <w:pPr>
                    <w:spacing w:line="40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颗粒物</w:t>
                  </w:r>
                </w:p>
              </w:tc>
              <w:tc>
                <w:tcPr>
                  <w:tcW w:w="994" w:type="pct"/>
                  <w:vAlign w:val="center"/>
                </w:tcPr>
                <w:p w14:paraId="181DD030">
                  <w:pPr>
                    <w:spacing w:line="40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1000</w:t>
                  </w:r>
                </w:p>
              </w:tc>
              <w:tc>
                <w:tcPr>
                  <w:tcW w:w="1414" w:type="pct"/>
                  <w:vAlign w:val="center"/>
                </w:tcPr>
                <w:p w14:paraId="11126233">
                  <w:pPr>
                    <w:spacing w:line="400" w:lineRule="exact"/>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超标次数≤1次/日</w:t>
                  </w:r>
                </w:p>
              </w:tc>
              <w:tc>
                <w:tcPr>
                  <w:tcW w:w="1306" w:type="pct"/>
                  <w:vMerge w:val="restart"/>
                  <w:vAlign w:val="center"/>
                </w:tcPr>
                <w:p w14:paraId="6DDEDA1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安徽省《施工场地颗粒物排放标准》（</w:t>
                  </w:r>
                  <w:r>
                    <w:rPr>
                      <w:rFonts w:ascii="Times New Roman" w:hAnsi="Times New Roman" w:eastAsia="宋体" w:cs="Times New Roman"/>
                      <w:color w:val="auto"/>
                      <w:szCs w:val="21"/>
                    </w:rPr>
                    <w:t>DB34/4811-2024</w:t>
                  </w:r>
                  <w:r>
                    <w:rPr>
                      <w:rFonts w:hint="eastAsia" w:ascii="Times New Roman" w:hAnsi="Times New Roman" w:eastAsia="宋体" w:cs="Times New Roman"/>
                      <w:color w:val="auto"/>
                      <w:szCs w:val="21"/>
                    </w:rPr>
                    <w:t>）</w:t>
                  </w:r>
                </w:p>
              </w:tc>
            </w:tr>
            <w:tr w14:paraId="24627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86" w:type="pct"/>
                  <w:vMerge w:val="continue"/>
                  <w:vAlign w:val="center"/>
                </w:tcPr>
                <w:p w14:paraId="48838CA9">
                  <w:pPr>
                    <w:spacing w:line="400" w:lineRule="exact"/>
                    <w:jc w:val="center"/>
                    <w:rPr>
                      <w:rFonts w:ascii="Times New Roman" w:hAnsi="Times New Roman" w:eastAsia="宋体" w:cs="Times New Roman"/>
                      <w:color w:val="auto"/>
                      <w:szCs w:val="21"/>
                      <w:highlight w:val="yellow"/>
                    </w:rPr>
                  </w:pPr>
                </w:p>
              </w:tc>
              <w:tc>
                <w:tcPr>
                  <w:tcW w:w="994" w:type="pct"/>
                  <w:vAlign w:val="center"/>
                </w:tcPr>
                <w:p w14:paraId="7384144C">
                  <w:pPr>
                    <w:spacing w:line="40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500</w:t>
                  </w:r>
                </w:p>
              </w:tc>
              <w:tc>
                <w:tcPr>
                  <w:tcW w:w="1414" w:type="pct"/>
                  <w:vAlign w:val="center"/>
                </w:tcPr>
                <w:p w14:paraId="110D556B">
                  <w:pPr>
                    <w:spacing w:line="4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超标次数≤6次/日</w:t>
                  </w:r>
                </w:p>
              </w:tc>
              <w:tc>
                <w:tcPr>
                  <w:tcW w:w="1306" w:type="pct"/>
                  <w:vMerge w:val="continue"/>
                  <w:vAlign w:val="center"/>
                </w:tcPr>
                <w:p w14:paraId="51498258">
                  <w:pPr>
                    <w:jc w:val="center"/>
                    <w:rPr>
                      <w:rFonts w:ascii="Times New Roman" w:hAnsi="Times New Roman" w:eastAsia="宋体" w:cs="Times New Roman"/>
                      <w:color w:val="auto"/>
                      <w:szCs w:val="21"/>
                    </w:rPr>
                  </w:pPr>
                </w:p>
              </w:tc>
            </w:tr>
          </w:tbl>
          <w:p w14:paraId="5140785A">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（2）废水</w:t>
            </w:r>
          </w:p>
          <w:p w14:paraId="7A125A9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本项目废水主要生活污水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生活污水经化粪池清掏后用于农田施肥，不外排。</w:t>
            </w:r>
          </w:p>
          <w:p w14:paraId="76B1F070">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（3）噪声</w:t>
            </w:r>
          </w:p>
          <w:p w14:paraId="647A7A9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施工期噪声执行《建筑施工场界环境噪声排放标准》（GB12523‐2011）中标准限值，具体标准见下表：</w:t>
            </w:r>
          </w:p>
          <w:p w14:paraId="403395AD">
            <w:pPr>
              <w:pStyle w:val="97"/>
              <w:numPr>
                <w:ilvl w:val="1"/>
                <w:numId w:val="2"/>
              </w:numPr>
              <w:tabs>
                <w:tab w:val="left" w:pos="2100"/>
                <w:tab w:val="clear" w:pos="1440"/>
              </w:tabs>
              <w:spacing w:line="240" w:lineRule="auto"/>
              <w:ind w:left="3300" w:leftChars="0" w:hanging="162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施工期厂界噪声排放标准  单位：dB(A)</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84"/>
              <w:gridCol w:w="1515"/>
              <w:gridCol w:w="1631"/>
            </w:tblGrid>
            <w:tr w14:paraId="43176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65" w:type="pct"/>
                  <w:vAlign w:val="center"/>
                </w:tcPr>
                <w:p w14:paraId="0DA1EB7F">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标准类别</w:t>
                  </w:r>
                </w:p>
              </w:tc>
              <w:tc>
                <w:tcPr>
                  <w:tcW w:w="932" w:type="pct"/>
                  <w:vAlign w:val="center"/>
                </w:tcPr>
                <w:p w14:paraId="100DF39C">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昼间</w:t>
                  </w:r>
                </w:p>
              </w:tc>
              <w:tc>
                <w:tcPr>
                  <w:tcW w:w="1003" w:type="pct"/>
                  <w:vAlign w:val="center"/>
                </w:tcPr>
                <w:p w14:paraId="5351BD31">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夜间</w:t>
                  </w:r>
                </w:p>
              </w:tc>
            </w:tr>
            <w:tr w14:paraId="1B7F6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5" w:type="pct"/>
                  <w:vAlign w:val="center"/>
                </w:tcPr>
                <w:p w14:paraId="74A5976F">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《建筑施工场界环境噪声排放标准》（GB12523‐2011）</w:t>
                  </w:r>
                </w:p>
              </w:tc>
              <w:tc>
                <w:tcPr>
                  <w:tcW w:w="932" w:type="pct"/>
                  <w:vAlign w:val="center"/>
                </w:tcPr>
                <w:p w14:paraId="7A304915">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70</w:t>
                  </w:r>
                </w:p>
              </w:tc>
              <w:tc>
                <w:tcPr>
                  <w:tcW w:w="1003" w:type="pct"/>
                  <w:vAlign w:val="center"/>
                </w:tcPr>
                <w:p w14:paraId="79D61BCB">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55</w:t>
                  </w:r>
                </w:p>
              </w:tc>
            </w:tr>
          </w:tbl>
          <w:p w14:paraId="32BB4F31">
            <w:pPr>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（4）固体废物</w:t>
            </w:r>
          </w:p>
          <w:p w14:paraId="71435AE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rPr>
              <w:t>本项目固体废物</w:t>
            </w:r>
            <w:r>
              <w:rPr>
                <w:rFonts w:ascii="Times New Roman" w:hAnsi="Times New Roman" w:eastAsia="宋体" w:cs="Times New Roman"/>
                <w:color w:val="auto"/>
                <w:kern w:val="0"/>
                <w:sz w:val="24"/>
                <w:szCs w:val="24"/>
              </w:rPr>
              <w:t>贮存、处置</w:t>
            </w:r>
            <w:r>
              <w:rPr>
                <w:rFonts w:hint="eastAsia" w:ascii="Times New Roman" w:hAnsi="Times New Roman" w:eastAsia="宋体" w:cs="Times New Roman"/>
                <w:color w:val="auto"/>
                <w:kern w:val="0"/>
                <w:sz w:val="24"/>
                <w:szCs w:val="24"/>
              </w:rPr>
              <w:t>应严格按照</w:t>
            </w:r>
            <w:r>
              <w:rPr>
                <w:rFonts w:ascii="Times New Roman" w:cs="Times New Roman"/>
                <w:color w:val="auto"/>
                <w:kern w:val="0"/>
                <w:sz w:val="24"/>
                <w:szCs w:val="24"/>
              </w:rPr>
              <w:t>《</w:t>
            </w:r>
            <w:r>
              <w:rPr>
                <w:rFonts w:hint="eastAsia" w:ascii="Times New Roman" w:cs="Times New Roman"/>
                <w:color w:val="auto"/>
                <w:kern w:val="0"/>
                <w:sz w:val="24"/>
                <w:szCs w:val="24"/>
              </w:rPr>
              <w:t>中华人民共和国固体废物污染环境防治法</w:t>
            </w:r>
            <w:r>
              <w:rPr>
                <w:rFonts w:ascii="Times New Roman" w:cs="Times New Roman"/>
                <w:color w:val="auto"/>
                <w:kern w:val="0"/>
                <w:sz w:val="24"/>
                <w:szCs w:val="24"/>
              </w:rPr>
              <w:t>》</w:t>
            </w:r>
            <w:r>
              <w:rPr>
                <w:rFonts w:hint="eastAsia" w:ascii="Times New Roman" w:cs="Times New Roman"/>
                <w:color w:val="auto"/>
                <w:kern w:val="0"/>
                <w:sz w:val="24"/>
                <w:szCs w:val="24"/>
              </w:rPr>
              <w:t>（中华人民共和国主席令第三十一号）</w:t>
            </w:r>
            <w:r>
              <w:rPr>
                <w:rFonts w:hint="eastAsia" w:ascii="Times New Roman" w:hAnsi="Times New Roman" w:eastAsia="宋体" w:cs="Times New Roman"/>
                <w:color w:val="auto"/>
                <w:kern w:val="0"/>
                <w:sz w:val="24"/>
                <w:szCs w:val="24"/>
              </w:rPr>
              <w:t>要求</w:t>
            </w:r>
            <w:r>
              <w:rPr>
                <w:rFonts w:hint="eastAsia" w:ascii="Times New Roman" w:cs="Times New Roman"/>
                <w:color w:val="auto"/>
                <w:kern w:val="0"/>
                <w:sz w:val="24"/>
                <w:szCs w:val="24"/>
              </w:rPr>
              <w:t>执行。一般工业固体废物</w:t>
            </w:r>
            <w:r>
              <w:rPr>
                <w:rFonts w:ascii="Times New Roman" w:hAnsi="Times New Roman" w:eastAsia="宋体" w:cs="Times New Roman"/>
                <w:color w:val="auto"/>
                <w:kern w:val="0"/>
                <w:sz w:val="24"/>
                <w:szCs w:val="24"/>
              </w:rPr>
              <w:t>参照执行《一般工业固体废物贮存和填埋污染控制标准》（GB 18599-2020），</w:t>
            </w:r>
            <w:r>
              <w:rPr>
                <w:rFonts w:ascii="Times New Roman" w:cs="Times New Roman"/>
                <w:color w:val="auto"/>
                <w:kern w:val="0"/>
                <w:sz w:val="24"/>
                <w:szCs w:val="24"/>
              </w:rPr>
              <w:t>危险废物贮存</w:t>
            </w:r>
            <w:r>
              <w:rPr>
                <w:rFonts w:hint="eastAsia" w:ascii="Times New Roman" w:cs="Times New Roman"/>
                <w:color w:val="auto"/>
                <w:kern w:val="0"/>
                <w:sz w:val="24"/>
                <w:szCs w:val="24"/>
              </w:rPr>
              <w:t>、处置</w:t>
            </w:r>
            <w:r>
              <w:rPr>
                <w:rFonts w:ascii="Times New Roman" w:cs="Times New Roman"/>
                <w:color w:val="auto"/>
                <w:kern w:val="0"/>
                <w:sz w:val="24"/>
                <w:szCs w:val="24"/>
              </w:rPr>
              <w:t>执行《危险废物贮存污染控制标准》（</w:t>
            </w:r>
            <w:r>
              <w:rPr>
                <w:rFonts w:ascii="Times New Roman" w:hAnsi="Times New Roman" w:cs="Times New Roman"/>
                <w:color w:val="auto"/>
                <w:kern w:val="0"/>
                <w:sz w:val="24"/>
                <w:szCs w:val="24"/>
              </w:rPr>
              <w:t>GB18597-2023</w:t>
            </w:r>
            <w:r>
              <w:rPr>
                <w:rFonts w:ascii="Times New Roman" w:cs="Times New Roman"/>
                <w:color w:val="auto"/>
                <w:kern w:val="0"/>
                <w:sz w:val="24"/>
                <w:szCs w:val="24"/>
              </w:rPr>
              <w:t>）</w:t>
            </w:r>
            <w:r>
              <w:rPr>
                <w:rFonts w:ascii="Times New Roman" w:hAnsi="Times New Roman" w:eastAsia="宋体" w:cs="Times New Roman"/>
                <w:color w:val="auto"/>
                <w:sz w:val="24"/>
                <w:szCs w:val="24"/>
              </w:rPr>
              <w:t>。</w:t>
            </w:r>
          </w:p>
        </w:tc>
      </w:tr>
      <w:tr w14:paraId="700F9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04" w:type="dxa"/>
            <w:vAlign w:val="center"/>
          </w:tcPr>
          <w:p w14:paraId="544811CE">
            <w:pPr>
              <w:adjustRightInd w:val="0"/>
              <w:snapToGrid w:val="0"/>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其他</w:t>
            </w:r>
          </w:p>
        </w:tc>
        <w:tc>
          <w:tcPr>
            <w:tcW w:w="8253" w:type="dxa"/>
            <w:vAlign w:val="center"/>
          </w:tcPr>
          <w:p w14:paraId="721F4817">
            <w:pPr>
              <w:spacing w:line="360" w:lineRule="auto"/>
              <w:ind w:firstLine="480" w:firstLineChars="200"/>
              <w:rPr>
                <w:rFonts w:ascii="宋体" w:hAnsi="宋体" w:eastAsia="宋体" w:cs="宋体"/>
                <w:color w:val="auto"/>
                <w:kern w:val="0"/>
                <w:szCs w:val="21"/>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运营期无废水废气产生</w:t>
            </w:r>
            <w:r>
              <w:rPr>
                <w:rFonts w:ascii="Times New Roman" w:hAnsi="Times New Roman" w:eastAsia="宋体" w:cs="Times New Roman"/>
                <w:color w:val="auto"/>
                <w:sz w:val="24"/>
                <w:szCs w:val="24"/>
              </w:rPr>
              <w:t>，无需申请总量控制指标。</w:t>
            </w:r>
          </w:p>
        </w:tc>
      </w:tr>
    </w:tbl>
    <w:p w14:paraId="267FED72">
      <w:pPr>
        <w:widowControl/>
        <w:spacing w:before="100" w:beforeAutospacing="1" w:after="100" w:afterAutospacing="1"/>
        <w:jc w:val="center"/>
        <w:outlineLvl w:val="0"/>
        <w:rPr>
          <w:rFonts w:ascii="黑体" w:hAnsi="黑体" w:eastAsia="黑体" w:cs="Times New Roman"/>
          <w:snapToGrid w:val="0"/>
          <w:color w:val="auto"/>
          <w:kern w:val="0"/>
          <w:sz w:val="30"/>
          <w:szCs w:val="30"/>
        </w:rPr>
        <w:sectPr>
          <w:pgSz w:w="11906" w:h="16838"/>
          <w:pgMar w:top="1440" w:right="1797" w:bottom="1440" w:left="1797" w:header="851" w:footer="1077" w:gutter="0"/>
          <w:cols w:space="425" w:num="1"/>
          <w:docGrid w:type="lines" w:linePitch="312" w:charSpace="0"/>
        </w:sectPr>
      </w:pPr>
    </w:p>
    <w:p w14:paraId="6A563748">
      <w:pPr>
        <w:widowControl/>
        <w:spacing w:before="100" w:beforeAutospacing="1" w:after="100" w:afterAutospacing="1"/>
        <w:jc w:val="center"/>
        <w:outlineLvl w:val="0"/>
        <w:rPr>
          <w:rFonts w:ascii="黑体" w:hAnsi="黑体" w:eastAsia="黑体" w:cs="Times New Roman"/>
          <w:snapToGrid w:val="0"/>
          <w:color w:val="auto"/>
          <w:kern w:val="0"/>
          <w:sz w:val="30"/>
          <w:szCs w:val="30"/>
        </w:rPr>
      </w:pPr>
      <w:r>
        <w:rPr>
          <w:rFonts w:hint="eastAsia" w:ascii="黑体" w:hAnsi="黑体" w:eastAsia="黑体" w:cs="Times New Roman"/>
          <w:snapToGrid w:val="0"/>
          <w:color w:val="auto"/>
          <w:kern w:val="0"/>
          <w:sz w:val="30"/>
          <w:szCs w:val="30"/>
        </w:rPr>
        <w:t>四、生态环境影响分析</w:t>
      </w:r>
    </w:p>
    <w:tbl>
      <w:tblPr>
        <w:tblStyle w:val="26"/>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14:paraId="3F1EF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879" w:type="dxa"/>
            <w:tcMar>
              <w:left w:w="28" w:type="dxa"/>
              <w:right w:w="28" w:type="dxa"/>
            </w:tcMar>
            <w:vAlign w:val="center"/>
          </w:tcPr>
          <w:p w14:paraId="0D96CAE6">
            <w:pPr>
              <w:adjustRightInd w:val="0"/>
              <w:snapToGrid w:val="0"/>
              <w:jc w:val="center"/>
              <w:rPr>
                <w:rFonts w:ascii="Times New Roman" w:hAnsi="Times New Roman" w:eastAsia="宋体" w:cs="宋体"/>
                <w:b w:val="0"/>
                <w:bCs w:val="0"/>
                <w:color w:val="auto"/>
                <w:szCs w:val="21"/>
              </w:rPr>
            </w:pPr>
            <w:bookmarkStart w:id="4" w:name="_Hlk49796138"/>
            <w:r>
              <w:rPr>
                <w:rFonts w:hint="eastAsia" w:ascii="宋体" w:hAnsi="宋体" w:eastAsia="宋体" w:cs="宋体"/>
                <w:b w:val="0"/>
                <w:bCs w:val="0"/>
                <w:color w:val="auto"/>
                <w:kern w:val="0"/>
                <w:sz w:val="24"/>
                <w:szCs w:val="24"/>
              </w:rPr>
              <w:t>施工期生态环境影响分析</w:t>
            </w:r>
            <w:bookmarkEnd w:id="4"/>
          </w:p>
        </w:tc>
        <w:tc>
          <w:tcPr>
            <w:tcW w:w="8363" w:type="dxa"/>
          </w:tcPr>
          <w:p w14:paraId="660200FD">
            <w:pPr>
              <w:widowControl/>
              <w:spacing w:line="360" w:lineRule="auto"/>
              <w:ind w:firstLine="480" w:firstLineChars="200"/>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1、施工期生态环境影响分析</w:t>
            </w:r>
          </w:p>
          <w:p w14:paraId="3A658E3C">
            <w:pPr>
              <w:spacing w:line="360" w:lineRule="auto"/>
              <w:ind w:firstLine="484" w:firstLineChars="202"/>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（1）项目占地对区域土地利用影响分析</w:t>
            </w:r>
          </w:p>
          <w:p w14:paraId="29D57551">
            <w:pPr>
              <w:spacing w:line="360" w:lineRule="auto"/>
              <w:ind w:firstLine="484" w:firstLineChars="202"/>
              <w:rPr>
                <w:rFonts w:ascii="Times New Roman" w:hAnsi="Times New Roman" w:eastAsia="宋体" w:cs="Times New Roman"/>
                <w:b w:val="0"/>
                <w:bCs w:val="0"/>
                <w:color w:val="auto"/>
                <w:sz w:val="24"/>
                <w:szCs w:val="24"/>
              </w:rPr>
            </w:pPr>
            <w:r>
              <w:rPr>
                <w:rFonts w:hint="eastAsia" w:ascii="Times New Roman" w:hAnsi="宋体" w:eastAsia="宋体" w:cs="Times New Roman"/>
                <w:b w:val="0"/>
                <w:bCs w:val="0"/>
                <w:color w:val="auto"/>
                <w:sz w:val="24"/>
                <w:szCs w:val="24"/>
              </w:rPr>
              <w:t>本项目</w:t>
            </w:r>
            <w:r>
              <w:rPr>
                <w:rFonts w:hint="eastAsia" w:ascii="Times New Roman" w:hAnsi="Times New Roman" w:eastAsia="宋体" w:cs="Times New Roman"/>
                <w:b w:val="0"/>
                <w:bCs w:val="0"/>
                <w:color w:val="auto"/>
                <w:sz w:val="24"/>
                <w:szCs w:val="24"/>
                <w:lang w:eastAsia="zh-CN"/>
              </w:rPr>
              <w:t>施工总占地面积</w:t>
            </w:r>
            <w:r>
              <w:rPr>
                <w:rFonts w:hint="eastAsia" w:ascii="Times New Roman" w:hAnsi="Times New Roman" w:eastAsia="宋体" w:cs="Times New Roman"/>
                <w:b w:val="0"/>
                <w:bCs w:val="0"/>
                <w:color w:val="auto"/>
                <w:sz w:val="24"/>
                <w:szCs w:val="24"/>
                <w:lang w:val="en-US" w:eastAsia="zh-CN"/>
              </w:rPr>
              <w:t>15107平方，</w:t>
            </w:r>
            <w:r>
              <w:rPr>
                <w:rFonts w:hint="eastAsia" w:ascii="Times New Roman" w:hAnsi="宋体" w:eastAsia="宋体" w:cs="Times New Roman"/>
                <w:b w:val="0"/>
                <w:bCs w:val="0"/>
                <w:color w:val="auto"/>
                <w:sz w:val="24"/>
                <w:szCs w:val="24"/>
                <w:lang w:val="en-US" w:eastAsia="zh-CN"/>
              </w:rPr>
              <w:t>均为潘集镇小圩村集体土地，用地性质为农用地，现状种植有当季农作物。</w:t>
            </w:r>
            <w:r>
              <w:rPr>
                <w:rFonts w:hint="eastAsia" w:ascii="Times New Roman" w:hAnsi="宋体" w:eastAsia="宋体" w:cs="Times New Roman"/>
                <w:b w:val="0"/>
                <w:bCs w:val="0"/>
                <w:color w:val="auto"/>
                <w:sz w:val="24"/>
                <w:szCs w:val="24"/>
                <w:lang w:eastAsia="zh-CN"/>
              </w:rPr>
              <w:t>项目用地已</w:t>
            </w:r>
            <w:r>
              <w:rPr>
                <w:rFonts w:hint="eastAsia" w:ascii="Times New Roman" w:hAnsi="宋体" w:eastAsia="宋体" w:cs="Times New Roman"/>
                <w:b w:val="0"/>
                <w:bCs w:val="0"/>
                <w:color w:val="auto"/>
                <w:sz w:val="24"/>
                <w:szCs w:val="24"/>
              </w:rPr>
              <w:t>取得了</w:t>
            </w:r>
            <w:r>
              <w:rPr>
                <w:rFonts w:hint="eastAsia" w:ascii="Times New Roman" w:hAnsi="宋体" w:eastAsia="宋体" w:cs="Times New Roman"/>
                <w:b w:val="0"/>
                <w:bCs w:val="0"/>
                <w:color w:val="auto"/>
                <w:sz w:val="24"/>
                <w:szCs w:val="24"/>
                <w:lang w:eastAsia="zh-CN"/>
              </w:rPr>
              <w:t>淮南市自然资源和规划局</w:t>
            </w:r>
            <w:r>
              <w:rPr>
                <w:rFonts w:hint="eastAsia" w:ascii="Times New Roman" w:hAnsi="宋体" w:eastAsia="宋体" w:cs="Times New Roman"/>
                <w:b w:val="0"/>
                <w:bCs w:val="0"/>
                <w:color w:val="auto"/>
                <w:sz w:val="24"/>
                <w:szCs w:val="24"/>
              </w:rPr>
              <w:t>出具的项目临时用地批复，临时用地期限为2年</w:t>
            </w:r>
            <w:r>
              <w:rPr>
                <w:rFonts w:ascii="Times New Roman" w:hAnsi="Times New Roman" w:eastAsia="宋体" w:cs="Times New Roman"/>
                <w:b w:val="0"/>
                <w:bCs w:val="0"/>
                <w:color w:val="auto"/>
                <w:sz w:val="24"/>
                <w:szCs w:val="24"/>
              </w:rPr>
              <w:t>。</w:t>
            </w:r>
          </w:p>
          <w:p w14:paraId="308D313D">
            <w:pPr>
              <w:spacing w:line="360" w:lineRule="auto"/>
              <w:ind w:firstLine="484" w:firstLineChars="202"/>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eastAsia="zh-CN"/>
              </w:rPr>
              <w:t>根据本项目设计文件，项目钻场钻井施工约</w:t>
            </w:r>
            <w:r>
              <w:rPr>
                <w:rFonts w:hint="eastAsia" w:ascii="Times New Roman" w:hAnsi="Times New Roman" w:eastAsia="宋体" w:cs="Times New Roman"/>
                <w:b w:val="0"/>
                <w:bCs w:val="0"/>
                <w:color w:val="auto"/>
                <w:sz w:val="24"/>
                <w:szCs w:val="24"/>
                <w:lang w:val="en-US" w:eastAsia="zh-CN"/>
              </w:rPr>
              <w:t>10个月，施工完成后建设单位将</w:t>
            </w:r>
            <w:r>
              <w:rPr>
                <w:rFonts w:ascii="Times New Roman" w:hAnsi="Times New Roman" w:eastAsia="宋体" w:cs="Times New Roman"/>
                <w:b w:val="0"/>
                <w:bCs w:val="0"/>
                <w:color w:val="auto"/>
                <w:sz w:val="24"/>
                <w:szCs w:val="24"/>
              </w:rPr>
              <w:t>在较短时间内</w:t>
            </w:r>
            <w:r>
              <w:rPr>
                <w:rFonts w:hint="eastAsia" w:ascii="Times New Roman" w:hAnsi="Times New Roman" w:eastAsia="宋体" w:cs="Times New Roman"/>
                <w:b w:val="0"/>
                <w:bCs w:val="0"/>
                <w:color w:val="auto"/>
                <w:sz w:val="24"/>
                <w:szCs w:val="24"/>
                <w:lang w:eastAsia="zh-CN"/>
              </w:rPr>
              <w:t>进行土地复垦，恢复区域原貌</w:t>
            </w:r>
            <w:r>
              <w:rPr>
                <w:rFonts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eastAsia="zh-CN"/>
              </w:rPr>
              <w:t>项目施工占用期间对</w:t>
            </w:r>
            <w:r>
              <w:rPr>
                <w:rFonts w:ascii="Times New Roman" w:hAnsi="Times New Roman" w:eastAsia="宋体" w:cs="Times New Roman"/>
                <w:b w:val="0"/>
                <w:bCs w:val="0"/>
                <w:color w:val="auto"/>
                <w:sz w:val="24"/>
                <w:szCs w:val="24"/>
              </w:rPr>
              <w:t>区域土地利用格局造成轻微影响，对农业生产的直接影响主要体现为因临时占用农用地而造成经济作物减产，对于临时占地造成的农作物减产，除应对耕种农户进行经济补偿外，工程开工前，应先剥离占地范围内表土，独立堆存并做好水保措施；在施工结束后，按照土地复垦方案对临时占地进行复垦，进行必要的土壤抚育，多使用有机肥，恢复临时占用耕地的生产力。</w:t>
            </w:r>
          </w:p>
          <w:p w14:paraId="0056BFCE">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（2）对植被的影响分析</w:t>
            </w:r>
          </w:p>
          <w:p w14:paraId="3FB05C35">
            <w:pPr>
              <w:spacing w:line="360" w:lineRule="auto"/>
              <w:ind w:firstLine="480" w:firstLineChars="200"/>
              <w:rPr>
                <w:color w:val="auto"/>
                <w:kern w:val="0"/>
                <w:sz w:val="24"/>
                <w:lang w:bidi="ar"/>
              </w:rPr>
            </w:pPr>
            <w:r>
              <w:rPr>
                <w:color w:val="auto"/>
                <w:kern w:val="0"/>
                <w:sz w:val="24"/>
                <w:lang w:bidi="ar"/>
              </w:rPr>
              <w:t>工程施工不可避免的对地表产生扰动，进而对地表植物资源产生影响。本工程</w:t>
            </w:r>
            <w:r>
              <w:rPr>
                <w:rFonts w:hint="eastAsia"/>
                <w:color w:val="auto"/>
                <w:kern w:val="0"/>
                <w:sz w:val="24"/>
                <w:lang w:eastAsia="zh-CN" w:bidi="ar"/>
              </w:rPr>
              <w:t>施工临时占用</w:t>
            </w:r>
            <w:r>
              <w:rPr>
                <w:rFonts w:ascii="Times New Roman" w:hAnsi="Times New Roman" w:eastAsia="宋体" w:cs="Times New Roman"/>
                <w:bCs/>
                <w:color w:val="auto"/>
                <w:sz w:val="24"/>
                <w:szCs w:val="24"/>
              </w:rPr>
              <w:t>农用地</w:t>
            </w:r>
            <w:r>
              <w:rPr>
                <w:color w:val="auto"/>
                <w:kern w:val="0"/>
                <w:sz w:val="24"/>
                <w:lang w:bidi="ar"/>
              </w:rPr>
              <w:t>，在一定程度上将导致施工迹地表面裸露，使区域环境中绿地的数量较施工前相对减少，植被局部空间分布有所改变；施工噪声、汽车尾气和扬尘造成</w:t>
            </w:r>
            <w:r>
              <w:rPr>
                <w:rFonts w:hint="eastAsia"/>
                <w:color w:val="auto"/>
                <w:kern w:val="0"/>
                <w:sz w:val="24"/>
                <w:lang w:eastAsia="zh-CN" w:bidi="ar"/>
              </w:rPr>
              <w:t>植被</w:t>
            </w:r>
            <w:r>
              <w:rPr>
                <w:color w:val="auto"/>
                <w:kern w:val="0"/>
                <w:sz w:val="24"/>
                <w:lang w:bidi="ar"/>
              </w:rPr>
              <w:t>蒙尘，影响开花、受粉、结实，对作物生长、发育及繁殖带来不利影响。</w:t>
            </w:r>
          </w:p>
          <w:p w14:paraId="280A08B6">
            <w:pPr>
              <w:spacing w:line="360" w:lineRule="auto"/>
              <w:ind w:firstLine="480" w:firstLineChars="200"/>
              <w:rPr>
                <w:color w:val="auto"/>
              </w:rPr>
            </w:pPr>
            <w:r>
              <w:rPr>
                <w:color w:val="auto"/>
                <w:kern w:val="0"/>
                <w:sz w:val="24"/>
                <w:lang w:bidi="ar"/>
              </w:rPr>
              <w:t>本工程要求对所占</w:t>
            </w:r>
            <w:r>
              <w:rPr>
                <w:rFonts w:hint="eastAsia"/>
                <w:color w:val="auto"/>
                <w:kern w:val="0"/>
                <w:sz w:val="24"/>
                <w:lang w:eastAsia="zh-CN" w:bidi="ar"/>
              </w:rPr>
              <w:t>农用地</w:t>
            </w:r>
            <w:r>
              <w:rPr>
                <w:color w:val="auto"/>
                <w:kern w:val="0"/>
                <w:sz w:val="24"/>
                <w:lang w:bidi="ar"/>
              </w:rPr>
              <w:t>耕作层土壤剥离集中堆放加以保留，待施工结束后用于所占土地的复垦，这将在一定程度上减小对区域土壤生产力的影响。施工期加强管理，严格控制施工面积，采取降低施工噪声、定期洒水以降低扬尘量等措施，基本可以使施工作业对植物的影响控制在较小范围内</w:t>
            </w:r>
            <w:r>
              <w:rPr>
                <w:rFonts w:hint="eastAsia"/>
                <w:color w:val="auto"/>
                <w:kern w:val="0"/>
                <w:sz w:val="24"/>
                <w:lang w:eastAsia="zh-CN" w:bidi="ar"/>
              </w:rPr>
              <w:t>，</w:t>
            </w:r>
            <w:r>
              <w:rPr>
                <w:color w:val="auto"/>
                <w:kern w:val="0"/>
                <w:sz w:val="24"/>
                <w:lang w:bidi="ar"/>
              </w:rPr>
              <w:t>工程</w:t>
            </w:r>
            <w:r>
              <w:rPr>
                <w:rFonts w:hint="eastAsia"/>
                <w:color w:val="auto"/>
                <w:kern w:val="0"/>
                <w:sz w:val="24"/>
                <w:lang w:eastAsia="zh-CN" w:bidi="ar"/>
              </w:rPr>
              <w:t>施工</w:t>
            </w:r>
            <w:r>
              <w:rPr>
                <w:color w:val="auto"/>
                <w:kern w:val="0"/>
                <w:sz w:val="24"/>
                <w:lang w:bidi="ar"/>
              </w:rPr>
              <w:t>对</w:t>
            </w:r>
            <w:r>
              <w:rPr>
                <w:rFonts w:hint="eastAsia"/>
                <w:color w:val="auto"/>
                <w:kern w:val="0"/>
                <w:sz w:val="24"/>
                <w:lang w:eastAsia="zh-CN" w:bidi="ar"/>
              </w:rPr>
              <w:t>区域内植被</w:t>
            </w:r>
            <w:r>
              <w:rPr>
                <w:color w:val="auto"/>
                <w:kern w:val="0"/>
                <w:sz w:val="24"/>
                <w:lang w:bidi="ar"/>
              </w:rPr>
              <w:t>影响不大。</w:t>
            </w:r>
          </w:p>
          <w:p w14:paraId="5C6D75F0">
            <w:pPr>
              <w:numPr>
                <w:ilvl w:val="0"/>
                <w:numId w:val="0"/>
              </w:numPr>
              <w:spacing w:line="360" w:lineRule="auto"/>
              <w:ind w:firstLine="480" w:firstLineChars="20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（3） 对野生动物影响分析</w:t>
            </w:r>
          </w:p>
          <w:p w14:paraId="23D5858A">
            <w:pPr>
              <w:spacing w:line="360" w:lineRule="auto"/>
              <w:ind w:firstLine="484" w:firstLineChars="202"/>
              <w:rPr>
                <w:bCs/>
                <w:color w:val="auto"/>
                <w:sz w:val="24"/>
              </w:rPr>
            </w:pPr>
            <w:r>
              <w:rPr>
                <w:bCs/>
                <w:color w:val="auto"/>
                <w:sz w:val="24"/>
              </w:rPr>
              <w:t>拟建项目在施工过程中对野生动物的影响主要表现为工作人员的施工活动对动物栖息地生境的干扰和破坏；施工机械噪声对动物的干扰</w:t>
            </w:r>
            <w:r>
              <w:rPr>
                <w:rFonts w:hint="eastAsia"/>
                <w:bCs/>
                <w:color w:val="auto"/>
                <w:sz w:val="24"/>
                <w:lang w:eastAsia="zh-CN"/>
              </w:rPr>
              <w:t>，</w:t>
            </w:r>
            <w:r>
              <w:rPr>
                <w:bCs/>
                <w:color w:val="auto"/>
                <w:sz w:val="24"/>
              </w:rPr>
              <w:t>会惊吓干扰植被中生活的某些野生动物。由于上述原因的影响，大部分两栖类和兽类迁移它处，远离项目区范围</w:t>
            </w:r>
            <w:r>
              <w:rPr>
                <w:rFonts w:hint="eastAsia"/>
                <w:bCs/>
                <w:color w:val="auto"/>
                <w:sz w:val="24"/>
                <w:lang w:eastAsia="zh-CN"/>
              </w:rPr>
              <w:t>，</w:t>
            </w:r>
            <w:r>
              <w:rPr>
                <w:bCs/>
                <w:color w:val="auto"/>
                <w:sz w:val="24"/>
              </w:rPr>
              <w:t>一部分鸟类和爬行类动物会通过迁移和飞翔来避免项目采掘面下方结构层施工所造成的影响，导致项目区周围环境的动物数量有所减少，但是距离项目区较远的区域中被影响驱赶的动物会相对集中而重新分布，因此本项目对动物种类多样性和种群数量不会产生大的影响，更不会导致动物多样性降低。在工程完工后项目区施工噪声等影响减弱后又会回到原来比较适宜生存和活动的地域。总体上本项目对周围的野生动物有一定的干扰，但是对其生存及种群数量、种类影响很小。</w:t>
            </w:r>
          </w:p>
          <w:p w14:paraId="52B6EEA4">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（4）对水土流失影响分析</w:t>
            </w:r>
          </w:p>
          <w:p w14:paraId="64CFE0BE">
            <w:pPr>
              <w:spacing w:line="360" w:lineRule="auto"/>
              <w:ind w:firstLine="484" w:firstLineChars="202"/>
              <w:rPr>
                <w:bCs/>
                <w:color w:val="auto"/>
                <w:sz w:val="24"/>
              </w:rPr>
            </w:pPr>
            <w:r>
              <w:rPr>
                <w:bCs/>
                <w:color w:val="auto"/>
                <w:sz w:val="24"/>
              </w:rPr>
              <w:t>项目区土壤疏松，土壤侵蚀特征为：以风力侵蚀为主，兼有季节性水力侵蚀。施工活动对地形地貌、地表组成物质和植被产生扰动、破坏或再塑，使其失去原有的固土防冲能力，造成新的水土流失。</w:t>
            </w:r>
          </w:p>
          <w:p w14:paraId="051C8F63">
            <w:pPr>
              <w:spacing w:line="360" w:lineRule="auto"/>
              <w:ind w:firstLine="484" w:firstLineChars="202"/>
              <w:rPr>
                <w:bCs/>
                <w:color w:val="auto"/>
                <w:sz w:val="24"/>
              </w:rPr>
            </w:pPr>
            <w:r>
              <w:rPr>
                <w:bCs/>
                <w:color w:val="auto"/>
                <w:sz w:val="24"/>
                <w:lang w:bidi="en-US"/>
              </w:rPr>
              <w:t>因本项目</w:t>
            </w:r>
            <w:r>
              <w:rPr>
                <w:bCs/>
                <w:color w:val="auto"/>
                <w:sz w:val="24"/>
              </w:rPr>
              <w:t>属于施工阶段，占地面积较小，且</w:t>
            </w:r>
            <w:r>
              <w:rPr>
                <w:bCs/>
                <w:color w:val="auto"/>
                <w:sz w:val="24"/>
                <w:lang w:bidi="en-US"/>
              </w:rPr>
              <w:t>通过加强施工管理，认真做好施工</w:t>
            </w:r>
            <w:r>
              <w:rPr>
                <w:rFonts w:hint="eastAsia"/>
                <w:bCs/>
                <w:color w:val="auto"/>
                <w:sz w:val="24"/>
                <w:lang w:eastAsia="zh-CN" w:bidi="en-US"/>
              </w:rPr>
              <w:t>期的水土保持措施和</w:t>
            </w:r>
            <w:r>
              <w:rPr>
                <w:bCs/>
                <w:color w:val="auto"/>
                <w:sz w:val="24"/>
                <w:lang w:bidi="en-US"/>
              </w:rPr>
              <w:t>结束后的场地恢复工作，</w:t>
            </w:r>
            <w:r>
              <w:rPr>
                <w:rFonts w:hint="eastAsia"/>
                <w:bCs/>
                <w:color w:val="auto"/>
                <w:sz w:val="24"/>
                <w:lang w:eastAsia="zh-CN" w:bidi="en-US"/>
              </w:rPr>
              <w:t>可以</w:t>
            </w:r>
            <w:r>
              <w:rPr>
                <w:bCs/>
                <w:color w:val="auto"/>
                <w:sz w:val="24"/>
                <w:lang w:bidi="en-US"/>
              </w:rPr>
              <w:t>最大程度减轻水土流失</w:t>
            </w:r>
            <w:r>
              <w:rPr>
                <w:rFonts w:hint="eastAsia"/>
                <w:bCs/>
                <w:color w:val="auto"/>
                <w:sz w:val="24"/>
                <w:lang w:eastAsia="zh-CN" w:bidi="en-US"/>
              </w:rPr>
              <w:t>的影响</w:t>
            </w:r>
            <w:r>
              <w:rPr>
                <w:bCs/>
                <w:color w:val="auto"/>
                <w:sz w:val="24"/>
                <w:lang w:bidi="en-US"/>
              </w:rPr>
              <w:t>。</w:t>
            </w:r>
          </w:p>
          <w:p w14:paraId="54572CCB">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（5）对土壤环境的影响分析</w:t>
            </w:r>
          </w:p>
          <w:p w14:paraId="4B3D81A3">
            <w:pPr>
              <w:spacing w:line="360" w:lineRule="auto"/>
              <w:ind w:firstLine="484" w:firstLineChars="202"/>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项目施工过程中对土壤的影响主要为工程建设期的开挖对土壤结构的破坏。施工时场地平整产生的剥离表层土应独立集中临时堆放，钻井结束后用于场地复垦回填用土。表层土堆放区应设置截、排水沟等严格的水保措施防止水土流失。通过对井场内各池体采取防腐防渗处理，钻井泥浆对土壤影响很小。项目施工结束后，建设单位负责恢复土壤肥力，在恢复期对土壤进行熟化和培肥，直至恢复到原来的生产力水平。通过上述措施，项目建设对当地土壤环境影响在可接受范围内。</w:t>
            </w:r>
          </w:p>
          <w:p w14:paraId="4E33B088">
            <w:pPr>
              <w:numPr>
                <w:ilvl w:val="0"/>
                <w:numId w:val="0"/>
              </w:numPr>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（6）景观影响分析</w:t>
            </w:r>
          </w:p>
          <w:p w14:paraId="1C2411AC">
            <w:pPr>
              <w:spacing w:line="360" w:lineRule="auto"/>
              <w:ind w:firstLine="484" w:firstLineChars="202"/>
              <w:rPr>
                <w:bCs/>
                <w:color w:val="auto"/>
                <w:sz w:val="24"/>
              </w:rPr>
            </w:pPr>
            <w:r>
              <w:rPr>
                <w:rFonts w:hint="eastAsia"/>
                <w:bCs/>
                <w:color w:val="auto"/>
                <w:sz w:val="24"/>
                <w:lang w:eastAsia="zh-CN"/>
              </w:rPr>
              <w:t>项目</w:t>
            </w:r>
            <w:r>
              <w:rPr>
                <w:bCs/>
                <w:color w:val="auto"/>
                <w:sz w:val="24"/>
              </w:rPr>
              <w:t>施工期各种车辆行驶</w:t>
            </w:r>
            <w:r>
              <w:rPr>
                <w:rFonts w:hint="eastAsia"/>
                <w:bCs/>
                <w:color w:val="auto"/>
                <w:sz w:val="24"/>
                <w:lang w:val="en-US" w:eastAsia="zh-CN"/>
              </w:rPr>
              <w:t>及井场设备搭建</w:t>
            </w:r>
            <w:r>
              <w:rPr>
                <w:bCs/>
                <w:color w:val="auto"/>
                <w:sz w:val="24"/>
              </w:rPr>
              <w:t>，使景观的基本构成要素廊道的数量增加，影响生态系统中的能流、物流的流动，对植物物种传播和动物的迁徙有一定的影响。</w:t>
            </w:r>
            <w:r>
              <w:rPr>
                <w:rFonts w:hint="eastAsia" w:ascii="Times New Roman" w:hAnsi="Times New Roman" w:eastAsia="宋体" w:cs="Times New Roman"/>
                <w:bCs/>
                <w:color w:val="auto"/>
                <w:sz w:val="24"/>
                <w:szCs w:val="24"/>
              </w:rPr>
              <w:t>施工</w:t>
            </w:r>
            <w:r>
              <w:rPr>
                <w:rFonts w:ascii="Times New Roman" w:hAnsi="Times New Roman" w:eastAsia="宋体" w:cs="Times New Roman"/>
                <w:bCs/>
                <w:color w:val="auto"/>
                <w:sz w:val="24"/>
                <w:szCs w:val="24"/>
              </w:rPr>
              <w:t>活动会形成新的堆土、钻探场等人工建筑景观、改变原有的景观，造成视觉干扰。但这一影响随施工作业的完成而结束。针对本项目，从环境保护角度来讲，施工工程对整个景观的影响</w:t>
            </w:r>
            <w:r>
              <w:rPr>
                <w:rFonts w:hint="eastAsia" w:cs="Times New Roman"/>
                <w:bCs/>
                <w:color w:val="auto"/>
                <w:sz w:val="24"/>
                <w:szCs w:val="24"/>
                <w:lang w:eastAsia="zh-CN"/>
              </w:rPr>
              <w:t>是</w:t>
            </w:r>
            <w:r>
              <w:rPr>
                <w:rFonts w:hint="eastAsia" w:ascii="Times New Roman" w:hAnsi="Times New Roman" w:eastAsia="宋体" w:cs="Times New Roman"/>
                <w:bCs/>
                <w:color w:val="auto"/>
                <w:sz w:val="24"/>
                <w:szCs w:val="24"/>
              </w:rPr>
              <w:t>可接受</w:t>
            </w:r>
            <w:r>
              <w:rPr>
                <w:rFonts w:ascii="Times New Roman" w:hAnsi="Times New Roman" w:eastAsia="宋体" w:cs="Times New Roman"/>
                <w:bCs/>
                <w:color w:val="auto"/>
                <w:sz w:val="24"/>
                <w:szCs w:val="24"/>
              </w:rPr>
              <w:t>。</w:t>
            </w:r>
          </w:p>
          <w:p w14:paraId="687C6F76">
            <w:pPr>
              <w:spacing w:line="360" w:lineRule="auto"/>
              <w:ind w:firstLine="484" w:firstLineChars="202"/>
              <w:rPr>
                <w:rFonts w:ascii="Times New Roman" w:hAnsi="Times New Roman" w:eastAsia="宋体" w:cs="Times New Roman"/>
                <w:b w:val="0"/>
                <w:bCs w:val="0"/>
                <w:color w:val="auto"/>
                <w:sz w:val="24"/>
                <w:szCs w:val="24"/>
              </w:rPr>
            </w:pPr>
          </w:p>
          <w:p w14:paraId="282E4BEF">
            <w:pPr>
              <w:widowControl/>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2、其他环境要素影响分析</w:t>
            </w:r>
          </w:p>
          <w:p w14:paraId="59457E5E">
            <w:pPr>
              <w:widowControl/>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本项目拟</w:t>
            </w:r>
            <w:r>
              <w:rPr>
                <w:rFonts w:hint="eastAsia" w:ascii="Times New Roman" w:hAnsi="Times New Roman" w:eastAsia="宋体" w:cs="Times New Roman"/>
                <w:b w:val="0"/>
                <w:bCs w:val="0"/>
                <w:color w:val="auto"/>
                <w:sz w:val="24"/>
                <w:szCs w:val="24"/>
                <w:lang w:eastAsia="zh-CN"/>
              </w:rPr>
              <w:t>施工</w:t>
            </w:r>
            <w:r>
              <w:rPr>
                <w:rFonts w:hint="eastAsia" w:ascii="Times New Roman" w:hAnsi="Times New Roman" w:eastAsia="宋体" w:cs="Times New Roman"/>
                <w:b w:val="0"/>
                <w:bCs w:val="0"/>
                <w:color w:val="auto"/>
                <w:sz w:val="24"/>
                <w:szCs w:val="24"/>
                <w:lang w:val="en-US" w:eastAsia="zh-CN"/>
              </w:rPr>
              <w:t>5</w:t>
            </w:r>
            <w:r>
              <w:rPr>
                <w:rFonts w:ascii="Times New Roman" w:hAnsi="Times New Roman" w:eastAsia="宋体" w:cs="Times New Roman"/>
                <w:b w:val="0"/>
                <w:bCs w:val="0"/>
                <w:color w:val="auto"/>
                <w:sz w:val="24"/>
                <w:szCs w:val="24"/>
              </w:rPr>
              <w:t>个地面钻孔，</w:t>
            </w:r>
            <w:r>
              <w:rPr>
                <w:rFonts w:hint="eastAsia" w:ascii="Times New Roman" w:hAnsi="Times New Roman" w:eastAsia="宋体" w:cs="Times New Roman"/>
                <w:b w:val="0"/>
                <w:bCs w:val="0"/>
                <w:color w:val="auto"/>
                <w:sz w:val="24"/>
                <w:szCs w:val="24"/>
                <w:lang w:eastAsia="zh-CN"/>
              </w:rPr>
              <w:t>设置</w:t>
            </w:r>
            <w:r>
              <w:rPr>
                <w:rFonts w:hint="eastAsia" w:ascii="Times New Roman" w:hAnsi="Times New Roman" w:eastAsia="宋体" w:cs="Times New Roman"/>
                <w:b w:val="0"/>
                <w:bCs w:val="0"/>
                <w:color w:val="auto"/>
                <w:sz w:val="24"/>
                <w:szCs w:val="24"/>
                <w:lang w:val="en-US" w:eastAsia="zh-CN"/>
              </w:rPr>
              <w:t>3个地面施工场地，</w:t>
            </w:r>
            <w:r>
              <w:rPr>
                <w:rFonts w:hint="eastAsia" w:ascii="Times New Roman" w:hAnsi="Times New Roman" w:eastAsia="宋体" w:cs="Times New Roman"/>
                <w:b w:val="0"/>
                <w:bCs w:val="0"/>
                <w:color w:val="auto"/>
                <w:sz w:val="24"/>
                <w:szCs w:val="24"/>
                <w:highlight w:val="none"/>
                <w:lang w:val="en-US" w:eastAsia="zh-CN"/>
              </w:rPr>
              <w:t>钻孔施工时间约10个月</w:t>
            </w:r>
            <w:r>
              <w:rPr>
                <w:rFonts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val="en-US" w:eastAsia="zh-CN"/>
              </w:rPr>
              <w:t>3个场地施工总人数约30人，场地</w:t>
            </w:r>
            <w:r>
              <w:rPr>
                <w:rFonts w:ascii="Times New Roman" w:hAnsi="Times New Roman" w:eastAsia="宋体" w:cs="Times New Roman"/>
                <w:b w:val="0"/>
                <w:bCs w:val="0"/>
                <w:color w:val="auto"/>
                <w:sz w:val="24"/>
                <w:szCs w:val="24"/>
              </w:rPr>
              <w:t>不设置施工营地，不提供食宿。施工活动的主要环境影响为废气、废水、噪声以及固体废物。</w:t>
            </w:r>
          </w:p>
          <w:p w14:paraId="5232B7E9">
            <w:pPr>
              <w:widowControl/>
              <w:spacing w:line="360" w:lineRule="auto"/>
              <w:ind w:firstLine="480" w:firstLineChars="200"/>
              <w:rPr>
                <w:rFonts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sz w:val="24"/>
                <w:szCs w:val="24"/>
              </w:rPr>
              <w:t>（1）</w:t>
            </w:r>
            <w:r>
              <w:rPr>
                <w:rFonts w:ascii="Times New Roman" w:hAnsi="Times New Roman" w:eastAsia="宋体" w:cs="Times New Roman"/>
                <w:b w:val="0"/>
                <w:bCs w:val="0"/>
                <w:color w:val="auto"/>
                <w:kern w:val="0"/>
                <w:sz w:val="24"/>
                <w:szCs w:val="24"/>
              </w:rPr>
              <w:t>大气污染环境影响分析</w:t>
            </w:r>
          </w:p>
          <w:p w14:paraId="222D0A6D">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施工期大气环境影响主要来源于</w:t>
            </w:r>
            <w:r>
              <w:rPr>
                <w:rFonts w:hint="default" w:ascii="Times New Roman" w:hAnsi="Times New Roman" w:cs="Times New Roman"/>
                <w:b w:val="0"/>
                <w:bCs w:val="0"/>
                <w:color w:val="auto"/>
                <w:sz w:val="24"/>
                <w:highlight w:val="none"/>
              </w:rPr>
              <w:t>施工现场作业过程中扬起的灰尘</w:t>
            </w:r>
            <w:r>
              <w:rPr>
                <w:rFonts w:ascii="Times New Roman" w:hAnsi="Times New Roman" w:eastAsia="宋体" w:cs="Times New Roman"/>
                <w:b w:val="0"/>
                <w:bCs w:val="0"/>
                <w:color w:val="auto"/>
                <w:kern w:val="0"/>
                <w:sz w:val="24"/>
                <w:szCs w:val="24"/>
              </w:rPr>
              <w:t>与车辆尾气</w:t>
            </w:r>
            <w:r>
              <w:rPr>
                <w:rFonts w:hint="eastAsia" w:ascii="Times New Roman" w:hAnsi="Times New Roman" w:eastAsia="宋体" w:cs="Times New Roman"/>
                <w:b w:val="0"/>
                <w:bCs w:val="0"/>
                <w:color w:val="auto"/>
                <w:kern w:val="0"/>
                <w:sz w:val="24"/>
                <w:szCs w:val="24"/>
                <w:lang w:eastAsia="zh-CN"/>
              </w:rPr>
              <w:t>。</w:t>
            </w:r>
            <w:r>
              <w:rPr>
                <w:rFonts w:ascii="Times New Roman" w:hAnsi="Times New Roman" w:eastAsia="宋体" w:cs="Times New Roman"/>
                <w:b w:val="0"/>
                <w:bCs w:val="0"/>
                <w:color w:val="auto"/>
                <w:kern w:val="0"/>
                <w:sz w:val="24"/>
                <w:szCs w:val="24"/>
              </w:rPr>
              <w:t>这些污染物将对环境空气造成一定程度的污染，但这种污染是短期的，工程结束后，将不复存在。</w:t>
            </w:r>
          </w:p>
          <w:p w14:paraId="19FD8476">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①</w:t>
            </w:r>
            <w:r>
              <w:rPr>
                <w:rFonts w:ascii="Times New Roman" w:hAnsi="Times New Roman" w:eastAsia="宋体" w:cs="Times New Roman"/>
                <w:b w:val="0"/>
                <w:bCs w:val="0"/>
                <w:color w:val="auto"/>
                <w:kern w:val="0"/>
                <w:sz w:val="24"/>
                <w:szCs w:val="24"/>
              </w:rPr>
              <w:t>施工扬尘</w:t>
            </w:r>
          </w:p>
          <w:p w14:paraId="199F5D85">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根据有关资料，在施工现场，近地面的粉尘浓度一般为1.5～30mg/m</w:t>
            </w:r>
            <w:r>
              <w:rPr>
                <w:rFonts w:ascii="Times New Roman" w:hAnsi="Times New Roman" w:eastAsia="宋体" w:cs="Times New Roman"/>
                <w:b w:val="0"/>
                <w:bCs w:val="0"/>
                <w:color w:val="auto"/>
                <w:kern w:val="0"/>
                <w:sz w:val="24"/>
                <w:szCs w:val="24"/>
                <w:vertAlign w:val="superscript"/>
              </w:rPr>
              <w:t>3</w:t>
            </w:r>
            <w:r>
              <w:rPr>
                <w:rFonts w:ascii="Times New Roman" w:hAnsi="Times New Roman" w:eastAsia="宋体" w:cs="Times New Roman"/>
                <w:b w:val="0"/>
                <w:bCs w:val="0"/>
                <w:color w:val="auto"/>
                <w:kern w:val="0"/>
                <w:sz w:val="24"/>
                <w:szCs w:val="24"/>
              </w:rPr>
              <w:t>，超过GB3095-2012二级标准中日均值0.3mg/m</w:t>
            </w:r>
            <w:r>
              <w:rPr>
                <w:rFonts w:ascii="Times New Roman" w:hAnsi="Times New Roman" w:eastAsia="宋体" w:cs="Times New Roman"/>
                <w:b w:val="0"/>
                <w:bCs w:val="0"/>
                <w:color w:val="auto"/>
                <w:kern w:val="0"/>
                <w:sz w:val="24"/>
                <w:szCs w:val="24"/>
                <w:vertAlign w:val="superscript"/>
              </w:rPr>
              <w:t>3</w:t>
            </w:r>
            <w:r>
              <w:rPr>
                <w:rFonts w:ascii="Times New Roman" w:hAnsi="Times New Roman" w:eastAsia="宋体" w:cs="Times New Roman"/>
                <w:b w:val="0"/>
                <w:bCs w:val="0"/>
                <w:color w:val="auto"/>
                <w:kern w:val="0"/>
                <w:sz w:val="24"/>
                <w:szCs w:val="24"/>
              </w:rPr>
              <w:t>的5～100倍；物料运输车辆在一般行车道路两侧近距离内产生的扬尘浓度可达8~10mg/m</w:t>
            </w:r>
            <w:r>
              <w:rPr>
                <w:rFonts w:ascii="Times New Roman" w:hAnsi="Times New Roman" w:eastAsia="宋体" w:cs="Times New Roman"/>
                <w:b w:val="0"/>
                <w:bCs w:val="0"/>
                <w:color w:val="auto"/>
                <w:kern w:val="0"/>
                <w:sz w:val="24"/>
                <w:szCs w:val="24"/>
                <w:vertAlign w:val="superscript"/>
              </w:rPr>
              <w:t>3</w:t>
            </w:r>
            <w:r>
              <w:rPr>
                <w:rFonts w:ascii="Times New Roman" w:hAnsi="Times New Roman" w:eastAsia="宋体" w:cs="Times New Roman"/>
                <w:b w:val="0"/>
                <w:bCs w:val="0"/>
                <w:color w:val="auto"/>
                <w:kern w:val="0"/>
                <w:sz w:val="24"/>
                <w:szCs w:val="24"/>
              </w:rPr>
              <w:t>，超过《环境空气质量标准》（GB3095-</w:t>
            </w:r>
            <w:r>
              <w:rPr>
                <w:rFonts w:hint="eastAsia" w:ascii="Times New Roman" w:hAnsi="Times New Roman" w:eastAsia="宋体" w:cs="Times New Roman"/>
                <w:b w:val="0"/>
                <w:bCs w:val="0"/>
                <w:color w:val="auto"/>
                <w:kern w:val="0"/>
                <w:sz w:val="24"/>
                <w:szCs w:val="24"/>
                <w:lang w:val="en-US" w:eastAsia="zh-CN"/>
              </w:rPr>
              <w:t>2012</w:t>
            </w:r>
            <w:r>
              <w:rPr>
                <w:rFonts w:ascii="Times New Roman" w:hAnsi="Times New Roman" w:eastAsia="宋体" w:cs="Times New Roman"/>
                <w:b w:val="0"/>
                <w:bCs w:val="0"/>
                <w:color w:val="auto"/>
                <w:kern w:val="0"/>
                <w:sz w:val="24"/>
                <w:szCs w:val="24"/>
              </w:rPr>
              <w:t>）中的二级标准要求，扬尘影响范围一般在</w:t>
            </w:r>
            <w:r>
              <w:rPr>
                <w:rFonts w:hint="eastAsia" w:ascii="Times New Roman" w:hAnsi="Times New Roman" w:eastAsia="宋体" w:cs="Times New Roman"/>
                <w:b w:val="0"/>
                <w:bCs w:val="0"/>
                <w:color w:val="auto"/>
                <w:kern w:val="0"/>
                <w:sz w:val="24"/>
                <w:szCs w:val="24"/>
              </w:rPr>
              <w:t>施工</w:t>
            </w:r>
            <w:r>
              <w:rPr>
                <w:rFonts w:ascii="Times New Roman" w:hAnsi="Times New Roman" w:eastAsia="宋体" w:cs="Times New Roman"/>
                <w:b w:val="0"/>
                <w:bCs w:val="0"/>
                <w:color w:val="auto"/>
                <w:kern w:val="0"/>
                <w:sz w:val="24"/>
                <w:szCs w:val="24"/>
              </w:rPr>
              <w:t>区域50m以内。</w:t>
            </w:r>
          </w:p>
          <w:p w14:paraId="2B89F197">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根据《安徽省建筑工程施工扬尘污染防治规定》《安徽省大气污染防治行动计划实施方</w:t>
            </w:r>
            <w:r>
              <w:rPr>
                <w:rFonts w:ascii="Times New Roman" w:cs="Times New Roman" w:hAnsiTheme="minorEastAsia"/>
                <w:b w:val="0"/>
                <w:bCs w:val="0"/>
                <w:color w:val="auto"/>
                <w:kern w:val="0"/>
                <w:sz w:val="24"/>
                <w:szCs w:val="24"/>
              </w:rPr>
              <w:t>案》《</w:t>
            </w:r>
            <w:r>
              <w:rPr>
                <w:rFonts w:ascii="Times New Roman" w:cs="Times New Roman" w:hAnsiTheme="minorEastAsia"/>
                <w:b w:val="0"/>
                <w:bCs w:val="0"/>
                <w:color w:val="auto"/>
                <w:sz w:val="24"/>
                <w:szCs w:val="24"/>
              </w:rPr>
              <w:t>淮南市扬尘污染防治条例</w:t>
            </w:r>
            <w:r>
              <w:rPr>
                <w:rFonts w:ascii="Times New Roman" w:cs="Times New Roman" w:hAnsiTheme="minorEastAsia"/>
                <w:b w:val="0"/>
                <w:bCs w:val="0"/>
                <w:color w:val="auto"/>
                <w:kern w:val="0"/>
                <w:sz w:val="24"/>
                <w:szCs w:val="24"/>
              </w:rPr>
              <w:t>》等规定</w:t>
            </w:r>
            <w:r>
              <w:rPr>
                <w:rFonts w:ascii="Times New Roman" w:hAnsi="Times New Roman" w:eastAsia="宋体" w:cs="Times New Roman"/>
                <w:b w:val="0"/>
                <w:bCs w:val="0"/>
                <w:color w:val="auto"/>
                <w:kern w:val="0"/>
                <w:sz w:val="24"/>
                <w:szCs w:val="24"/>
              </w:rPr>
              <w:t>和方案，结合本项目的施工特点，项目施工应当遵守下列规定，采取有效措施防治粉尘的污染：</w:t>
            </w:r>
          </w:p>
          <w:p w14:paraId="4BDA6305">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a、施工中</w:t>
            </w:r>
            <w:r>
              <w:rPr>
                <w:rFonts w:hint="eastAsia" w:ascii="Times New Roman" w:hAnsi="Times New Roman" w:eastAsia="宋体" w:cs="Times New Roman"/>
                <w:b w:val="0"/>
                <w:bCs w:val="0"/>
                <w:color w:val="auto"/>
                <w:kern w:val="0"/>
                <w:sz w:val="24"/>
                <w:szCs w:val="24"/>
                <w:lang w:eastAsia="zh-CN"/>
              </w:rPr>
              <w:t>易起尘作业</w:t>
            </w:r>
            <w:r>
              <w:rPr>
                <w:rFonts w:ascii="Times New Roman" w:hAnsi="Times New Roman" w:eastAsia="宋体" w:cs="Times New Roman"/>
                <w:b w:val="0"/>
                <w:bCs w:val="0"/>
                <w:color w:val="auto"/>
                <w:kern w:val="0"/>
                <w:sz w:val="24"/>
                <w:szCs w:val="24"/>
              </w:rPr>
              <w:t>应采用湿法作业抑制扬尘，</w:t>
            </w:r>
            <w:r>
              <w:rPr>
                <w:rFonts w:hint="eastAsia" w:ascii="Times New Roman" w:hAnsi="Times New Roman" w:eastAsia="宋体" w:cs="Times New Roman"/>
                <w:b w:val="0"/>
                <w:bCs w:val="0"/>
                <w:color w:val="auto"/>
                <w:kern w:val="0"/>
                <w:sz w:val="24"/>
                <w:szCs w:val="24"/>
                <w:lang w:eastAsia="zh-CN"/>
              </w:rPr>
              <w:t>表土堆存的</w:t>
            </w:r>
            <w:r>
              <w:rPr>
                <w:rFonts w:ascii="Times New Roman" w:hAnsi="Times New Roman" w:eastAsia="宋体" w:cs="Times New Roman"/>
                <w:b w:val="0"/>
                <w:bCs w:val="0"/>
                <w:color w:val="auto"/>
                <w:kern w:val="0"/>
                <w:sz w:val="24"/>
                <w:szCs w:val="24"/>
              </w:rPr>
              <w:t>土方应集中堆放，</w:t>
            </w:r>
            <w:r>
              <w:rPr>
                <w:rFonts w:hint="eastAsia" w:ascii="Times New Roman" w:hAnsi="Times New Roman" w:eastAsia="宋体" w:cs="Times New Roman"/>
                <w:b w:val="0"/>
                <w:bCs w:val="0"/>
                <w:color w:val="auto"/>
                <w:kern w:val="0"/>
                <w:sz w:val="24"/>
                <w:szCs w:val="24"/>
                <w:lang w:eastAsia="zh-CN"/>
              </w:rPr>
              <w:t>上部苫盖，</w:t>
            </w:r>
            <w:r>
              <w:rPr>
                <w:rFonts w:ascii="Times New Roman" w:hAnsi="Times New Roman" w:eastAsia="宋体" w:cs="Times New Roman"/>
                <w:b w:val="0"/>
                <w:bCs w:val="0"/>
                <w:color w:val="auto"/>
                <w:kern w:val="0"/>
                <w:sz w:val="24"/>
                <w:szCs w:val="24"/>
              </w:rPr>
              <w:t>及时回填，</w:t>
            </w:r>
            <w:r>
              <w:rPr>
                <w:rFonts w:hint="eastAsia" w:ascii="Times New Roman" w:hAnsi="Times New Roman" w:eastAsia="宋体" w:cs="Times New Roman"/>
                <w:b w:val="0"/>
                <w:bCs w:val="0"/>
                <w:color w:val="auto"/>
                <w:kern w:val="0"/>
                <w:sz w:val="24"/>
                <w:szCs w:val="24"/>
                <w:lang w:eastAsia="zh-CN"/>
              </w:rPr>
              <w:t>减小</w:t>
            </w:r>
            <w:r>
              <w:rPr>
                <w:rFonts w:ascii="Times New Roman" w:hAnsi="Times New Roman" w:eastAsia="宋体" w:cs="Times New Roman"/>
                <w:b w:val="0"/>
                <w:bCs w:val="0"/>
                <w:color w:val="auto"/>
                <w:kern w:val="0"/>
                <w:sz w:val="24"/>
                <w:szCs w:val="24"/>
              </w:rPr>
              <w:t>粉尘影响范围</w:t>
            </w:r>
            <w:r>
              <w:rPr>
                <w:rFonts w:hint="eastAsia" w:ascii="Times New Roman" w:hAnsi="Times New Roman" w:eastAsia="宋体" w:cs="Times New Roman"/>
                <w:b w:val="0"/>
                <w:bCs w:val="0"/>
                <w:color w:val="auto"/>
                <w:kern w:val="0"/>
                <w:sz w:val="24"/>
                <w:szCs w:val="24"/>
                <w:lang w:eastAsia="zh-CN"/>
              </w:rPr>
              <w:t>和</w:t>
            </w:r>
            <w:r>
              <w:rPr>
                <w:rFonts w:ascii="Times New Roman" w:hAnsi="Times New Roman" w:eastAsia="宋体" w:cs="Times New Roman"/>
                <w:b w:val="0"/>
                <w:bCs w:val="0"/>
                <w:color w:val="auto"/>
                <w:kern w:val="0"/>
                <w:sz w:val="24"/>
                <w:szCs w:val="24"/>
              </w:rPr>
              <w:t>时间。</w:t>
            </w:r>
          </w:p>
          <w:p w14:paraId="6CCACE59">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b、加强运输车辆的管理，合理安排施工车辆行驶路线，尽量避开居民集中区，路经居民区集中区域应尽量减缓行驶车速。</w:t>
            </w:r>
          </w:p>
          <w:p w14:paraId="66CAD606">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c</w:t>
            </w:r>
            <w:r>
              <w:rPr>
                <w:rFonts w:ascii="Times New Roman" w:hAnsi="宋体"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施工作业应尽量避开大风天气，对施工场地和运输车辆行驶路面定期洒水，防止浮尘产生，如在大风日则加大洒水量及洒水次数。</w:t>
            </w:r>
          </w:p>
          <w:p w14:paraId="13D3CEDC">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d</w:t>
            </w:r>
            <w:r>
              <w:rPr>
                <w:rFonts w:ascii="Times New Roman" w:hAnsi="宋体"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施工车辆实行限速行驶，</w:t>
            </w:r>
            <w:r>
              <w:rPr>
                <w:rFonts w:hint="eastAsia" w:ascii="Times New Roman" w:hAnsi="Times New Roman" w:eastAsia="宋体" w:cs="Times New Roman"/>
                <w:b w:val="0"/>
                <w:bCs w:val="0"/>
                <w:color w:val="auto"/>
                <w:kern w:val="0"/>
                <w:sz w:val="24"/>
                <w:szCs w:val="24"/>
                <w:lang w:eastAsia="zh-CN"/>
              </w:rPr>
              <w:t>物料</w:t>
            </w:r>
            <w:r>
              <w:rPr>
                <w:rFonts w:ascii="Times New Roman" w:hAnsi="Times New Roman" w:eastAsia="宋体" w:cs="Times New Roman"/>
                <w:b w:val="0"/>
                <w:bCs w:val="0"/>
                <w:color w:val="auto"/>
                <w:kern w:val="0"/>
                <w:sz w:val="24"/>
                <w:szCs w:val="24"/>
              </w:rPr>
              <w:t>运输过程中应加盖封闭并适量装车，以防运输过程中撒落引起二次扬尘；运输车辆在离开施工区时检查装车质量，防止扬尘污染。</w:t>
            </w:r>
          </w:p>
          <w:p w14:paraId="2AA2C9D7">
            <w:pPr>
              <w:spacing w:line="360" w:lineRule="auto"/>
              <w:ind w:firstLine="480"/>
              <w:rPr>
                <w:rFonts w:hint="eastAsia" w:ascii="Times New Roman" w:hAnsi="Times New Roman" w:eastAsia="宋体" w:cs="Times New Roman"/>
                <w:b w:val="0"/>
                <w:bCs w:val="0"/>
                <w:color w:val="auto"/>
                <w:kern w:val="0"/>
                <w:sz w:val="24"/>
                <w:szCs w:val="20"/>
                <w:lang w:eastAsia="zh-CN"/>
              </w:rPr>
            </w:pPr>
            <w:r>
              <w:rPr>
                <w:rFonts w:ascii="Times New Roman" w:hAnsi="Times New Roman" w:eastAsia="宋体" w:cs="Times New Roman"/>
                <w:b w:val="0"/>
                <w:bCs w:val="0"/>
                <w:color w:val="auto"/>
                <w:kern w:val="0"/>
                <w:sz w:val="24"/>
                <w:szCs w:val="24"/>
              </w:rPr>
              <w:t>e</w:t>
            </w:r>
            <w:r>
              <w:rPr>
                <w:rFonts w:ascii="Times New Roman" w:hAnsi="宋体"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0"/>
              </w:rPr>
              <w:t>施工现场出入口、场内道路、作业区等地面必须进行硬化，非作业地面裸露的场地</w:t>
            </w:r>
            <w:r>
              <w:rPr>
                <w:rFonts w:hint="eastAsia" w:ascii="Times New Roman" w:hAnsi="Times New Roman" w:eastAsia="宋体" w:cs="Times New Roman"/>
                <w:b w:val="0"/>
                <w:bCs w:val="0"/>
                <w:color w:val="auto"/>
                <w:kern w:val="0"/>
                <w:sz w:val="24"/>
                <w:szCs w:val="20"/>
                <w:lang w:eastAsia="zh-CN"/>
              </w:rPr>
              <w:t>采取</w:t>
            </w:r>
            <w:r>
              <w:rPr>
                <w:rFonts w:ascii="Times New Roman" w:hAnsi="Times New Roman" w:eastAsia="宋体" w:cs="Times New Roman"/>
                <w:b w:val="0"/>
                <w:bCs w:val="0"/>
                <w:color w:val="auto"/>
                <w:kern w:val="0"/>
                <w:sz w:val="24"/>
                <w:szCs w:val="20"/>
              </w:rPr>
              <w:t>绿化或严密覆盖，施工过程中通过洒水车运水至场地</w:t>
            </w:r>
            <w:r>
              <w:rPr>
                <w:rFonts w:hint="eastAsia" w:ascii="Times New Roman" w:hAnsi="Times New Roman" w:eastAsia="宋体" w:cs="Times New Roman"/>
                <w:b w:val="0"/>
                <w:bCs w:val="0"/>
                <w:color w:val="auto"/>
                <w:kern w:val="0"/>
                <w:sz w:val="24"/>
                <w:szCs w:val="20"/>
                <w:lang w:eastAsia="zh-CN"/>
              </w:rPr>
              <w:t>及</w:t>
            </w:r>
            <w:r>
              <w:rPr>
                <w:rFonts w:ascii="Times New Roman" w:hAnsi="Times New Roman" w:eastAsia="宋体" w:cs="Times New Roman"/>
                <w:b w:val="0"/>
                <w:bCs w:val="0"/>
                <w:color w:val="auto"/>
                <w:kern w:val="0"/>
                <w:sz w:val="24"/>
                <w:szCs w:val="20"/>
              </w:rPr>
              <w:t>运输通道，及时洒水以减少扬尘</w:t>
            </w:r>
            <w:r>
              <w:rPr>
                <w:rFonts w:hint="eastAsia" w:ascii="Times New Roman" w:hAnsi="Times New Roman" w:eastAsia="宋体" w:cs="Times New Roman"/>
                <w:b w:val="0"/>
                <w:bCs w:val="0"/>
                <w:color w:val="auto"/>
                <w:kern w:val="0"/>
                <w:sz w:val="24"/>
                <w:szCs w:val="20"/>
                <w:lang w:eastAsia="zh-CN"/>
              </w:rPr>
              <w:t>产生。</w:t>
            </w:r>
          </w:p>
          <w:p w14:paraId="37F94D37">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lang w:eastAsia="zh-CN"/>
              </w:rPr>
              <w:t>②</w:t>
            </w:r>
            <w:r>
              <w:rPr>
                <w:rFonts w:ascii="Times New Roman" w:hAnsi="Times New Roman" w:eastAsia="宋体" w:cs="Times New Roman"/>
                <w:b w:val="0"/>
                <w:bCs w:val="0"/>
                <w:color w:val="auto"/>
                <w:kern w:val="0"/>
                <w:sz w:val="24"/>
                <w:szCs w:val="24"/>
              </w:rPr>
              <w:t>车辆尾气</w:t>
            </w:r>
          </w:p>
          <w:p w14:paraId="6DA47267">
            <w:pPr>
              <w:autoSpaceDE w:val="0"/>
              <w:autoSpaceDN w:val="0"/>
              <w:spacing w:line="360" w:lineRule="auto"/>
              <w:ind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项目施工过程中各类燃油动力机械</w:t>
            </w:r>
            <w:r>
              <w:rPr>
                <w:rFonts w:hint="eastAsia" w:ascii="Times New Roman" w:hAnsi="Times New Roman" w:eastAsia="宋体" w:cs="Times New Roman"/>
                <w:b w:val="0"/>
                <w:bCs w:val="0"/>
                <w:color w:val="auto"/>
                <w:sz w:val="24"/>
                <w:szCs w:val="24"/>
                <w:lang w:eastAsia="zh-CN"/>
              </w:rPr>
              <w:t>作业时</w:t>
            </w:r>
            <w:r>
              <w:rPr>
                <w:rFonts w:hint="default" w:ascii="Times New Roman" w:hAnsi="Times New Roman" w:eastAsia="宋体" w:cs="Times New Roman"/>
                <w:b w:val="0"/>
                <w:bCs w:val="0"/>
                <w:color w:val="auto"/>
                <w:sz w:val="24"/>
                <w:szCs w:val="24"/>
                <w:lang w:eastAsia="zh-CN"/>
              </w:rPr>
              <w:t>排放的废气中含CO和NOx等污染物</w:t>
            </w:r>
            <w:r>
              <w:rPr>
                <w:rFonts w:hint="eastAsia" w:ascii="Times New Roman" w:hAnsi="Times New Roman" w:eastAsia="宋体" w:cs="Times New Roman"/>
                <w:b w:val="0"/>
                <w:bCs w:val="0"/>
                <w:color w:val="auto"/>
                <w:sz w:val="24"/>
                <w:szCs w:val="24"/>
                <w:lang w:eastAsia="zh-CN"/>
              </w:rPr>
              <w:t>。本项目施工过程中主要以电力作为施工动力，仅在施工前期及运输过程中使用燃油机械及设备，</w:t>
            </w:r>
            <w:r>
              <w:rPr>
                <w:rFonts w:hint="default" w:ascii="Times New Roman" w:hAnsi="Times New Roman" w:eastAsia="宋体" w:cs="Times New Roman"/>
                <w:b w:val="0"/>
                <w:bCs w:val="0"/>
                <w:color w:val="auto"/>
                <w:sz w:val="24"/>
                <w:szCs w:val="24"/>
                <w:lang w:eastAsia="zh-CN"/>
              </w:rPr>
              <w:t>由于燃油机械</w:t>
            </w:r>
            <w:r>
              <w:rPr>
                <w:rFonts w:hint="eastAsia" w:ascii="Times New Roman" w:hAnsi="Times New Roman" w:eastAsia="宋体" w:cs="Times New Roman"/>
                <w:b w:val="0"/>
                <w:bCs w:val="0"/>
                <w:color w:val="auto"/>
                <w:sz w:val="24"/>
                <w:szCs w:val="24"/>
                <w:lang w:eastAsia="zh-CN"/>
              </w:rPr>
              <w:t>使用</w:t>
            </w:r>
            <w:r>
              <w:rPr>
                <w:rFonts w:hint="default" w:ascii="Times New Roman" w:hAnsi="Times New Roman" w:eastAsia="宋体" w:cs="Times New Roman"/>
                <w:b w:val="0"/>
                <w:bCs w:val="0"/>
                <w:color w:val="auto"/>
                <w:sz w:val="24"/>
                <w:szCs w:val="24"/>
                <w:lang w:eastAsia="zh-CN"/>
              </w:rPr>
              <w:t>为间断</w:t>
            </w:r>
            <w:r>
              <w:rPr>
                <w:rFonts w:hint="eastAsia" w:ascii="Times New Roman" w:hAnsi="Times New Roman" w:eastAsia="宋体" w:cs="Times New Roman"/>
                <w:b w:val="0"/>
                <w:bCs w:val="0"/>
                <w:color w:val="auto"/>
                <w:sz w:val="24"/>
                <w:szCs w:val="24"/>
                <w:lang w:eastAsia="zh-CN"/>
              </w:rPr>
              <w:t>使用</w:t>
            </w:r>
            <w:r>
              <w:rPr>
                <w:rFonts w:hint="default" w:ascii="Times New Roman" w:hAnsi="Times New Roman" w:eastAsia="宋体" w:cs="Times New Roman"/>
                <w:b w:val="0"/>
                <w:bCs w:val="0"/>
                <w:color w:val="auto"/>
                <w:sz w:val="24"/>
                <w:szCs w:val="24"/>
                <w:lang w:eastAsia="zh-CN"/>
              </w:rPr>
              <w:t>，污染物排放量小，对环境空气的不利影响很小，施工结束后，影响将消失。</w:t>
            </w:r>
          </w:p>
          <w:p w14:paraId="6E49B15B">
            <w:pPr>
              <w:widowControl/>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（2）</w:t>
            </w:r>
            <w:r>
              <w:rPr>
                <w:rFonts w:ascii="Times New Roman" w:hAnsi="Times New Roman" w:eastAsia="宋体" w:cs="Times New Roman"/>
                <w:b w:val="0"/>
                <w:bCs w:val="0"/>
                <w:color w:val="auto"/>
                <w:sz w:val="24"/>
                <w:szCs w:val="24"/>
              </w:rPr>
              <w:t>水</w:t>
            </w:r>
            <w:r>
              <w:rPr>
                <w:rFonts w:hint="eastAsia" w:ascii="Times New Roman" w:hAnsi="Times New Roman" w:eastAsia="宋体" w:cs="Times New Roman"/>
                <w:b w:val="0"/>
                <w:bCs w:val="0"/>
                <w:color w:val="auto"/>
                <w:sz w:val="24"/>
                <w:szCs w:val="24"/>
                <w:lang w:eastAsia="zh-CN"/>
              </w:rPr>
              <w:t>环境</w:t>
            </w:r>
            <w:r>
              <w:rPr>
                <w:rFonts w:ascii="Times New Roman" w:hAnsi="Times New Roman" w:eastAsia="宋体" w:cs="Times New Roman"/>
                <w:b w:val="0"/>
                <w:bCs w:val="0"/>
                <w:color w:val="auto"/>
                <w:sz w:val="24"/>
                <w:szCs w:val="24"/>
              </w:rPr>
              <w:t>环境影响分析</w:t>
            </w:r>
          </w:p>
          <w:p w14:paraId="3E46CFA3">
            <w:pPr>
              <w:widowControl/>
              <w:spacing w:line="360" w:lineRule="auto"/>
              <w:ind w:firstLine="480" w:firstLineChars="200"/>
              <w:rPr>
                <w:rFonts w:hint="default"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本</w:t>
            </w:r>
            <w:r>
              <w:rPr>
                <w:rFonts w:hint="default" w:ascii="Times New Roman" w:hAnsi="Times New Roman" w:eastAsia="宋体" w:cs="Times New Roman"/>
                <w:b w:val="0"/>
                <w:bCs w:val="0"/>
                <w:color w:val="auto"/>
                <w:sz w:val="24"/>
                <w:szCs w:val="24"/>
                <w:lang w:eastAsia="zh-CN"/>
              </w:rPr>
              <w:t>项目</w:t>
            </w:r>
            <w:r>
              <w:rPr>
                <w:rFonts w:hint="eastAsia" w:ascii="Times New Roman" w:hAnsi="Times New Roman" w:eastAsia="宋体" w:cs="Times New Roman"/>
                <w:b w:val="0"/>
                <w:bCs w:val="0"/>
                <w:color w:val="auto"/>
                <w:sz w:val="24"/>
                <w:szCs w:val="24"/>
                <w:lang w:eastAsia="zh-CN"/>
              </w:rPr>
              <w:t>施工过程中</w:t>
            </w:r>
            <w:r>
              <w:rPr>
                <w:rFonts w:hint="default" w:ascii="Times New Roman" w:hAnsi="Times New Roman" w:eastAsia="宋体" w:cs="Times New Roman"/>
                <w:b w:val="0"/>
                <w:bCs w:val="0"/>
                <w:color w:val="auto"/>
                <w:sz w:val="24"/>
                <w:szCs w:val="24"/>
                <w:lang w:eastAsia="zh-CN"/>
              </w:rPr>
              <w:t>产生的废水主要为</w:t>
            </w:r>
            <w:r>
              <w:rPr>
                <w:rFonts w:hint="eastAsia" w:ascii="Times New Roman" w:hAnsi="Times New Roman" w:eastAsia="宋体" w:cs="Times New Roman"/>
                <w:b w:val="0"/>
                <w:bCs w:val="0"/>
                <w:color w:val="auto"/>
                <w:sz w:val="24"/>
                <w:szCs w:val="24"/>
                <w:lang w:eastAsia="zh-CN"/>
              </w:rPr>
              <w:t>员工生活污水</w:t>
            </w:r>
            <w:r>
              <w:rPr>
                <w:rFonts w:hint="default" w:ascii="Times New Roman" w:hAnsi="Times New Roman" w:eastAsia="宋体" w:cs="Times New Roman"/>
                <w:b w:val="0"/>
                <w:bCs w:val="0"/>
                <w:color w:val="auto"/>
                <w:sz w:val="24"/>
                <w:szCs w:val="24"/>
                <w:lang w:eastAsia="zh-CN"/>
              </w:rPr>
              <w:t>。</w:t>
            </w:r>
          </w:p>
          <w:p w14:paraId="3455C0AD">
            <w:pPr>
              <w:widowControl/>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eastAsia="zh-CN"/>
              </w:rPr>
              <w:t>生活</w:t>
            </w:r>
            <w:r>
              <w:rPr>
                <w:rFonts w:hint="eastAsia" w:ascii="Times New Roman" w:hAnsi="Times New Roman" w:eastAsia="宋体" w:cs="Times New Roman"/>
                <w:b w:val="0"/>
                <w:bCs w:val="0"/>
                <w:color w:val="auto"/>
                <w:sz w:val="24"/>
                <w:szCs w:val="24"/>
                <w:lang w:eastAsia="zh-CN"/>
              </w:rPr>
              <w:t>污水</w:t>
            </w:r>
            <w:r>
              <w:rPr>
                <w:rFonts w:hint="default"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本项目</w:t>
            </w:r>
            <w:r>
              <w:rPr>
                <w:rFonts w:hint="default" w:ascii="Times New Roman" w:hAnsi="Times New Roman" w:eastAsia="宋体" w:cs="Times New Roman"/>
                <w:b w:val="0"/>
                <w:bCs w:val="0"/>
                <w:color w:val="auto"/>
                <w:sz w:val="24"/>
                <w:szCs w:val="24"/>
                <w:lang w:eastAsia="zh-CN"/>
              </w:rPr>
              <w:t>生活污水产生量为</w:t>
            </w:r>
            <w:r>
              <w:rPr>
                <w:rFonts w:hint="eastAsia" w:ascii="Times New Roman" w:hAnsi="Times New Roman" w:eastAsia="宋体" w:cs="Times New Roman"/>
                <w:color w:val="auto"/>
                <w:sz w:val="24"/>
                <w:szCs w:val="24"/>
                <w:lang w:val="en-US" w:eastAsia="zh-CN"/>
              </w:rPr>
              <w:t>1.08</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/d</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rPr>
              <w:t>生活污水</w:t>
            </w:r>
            <w:r>
              <w:rPr>
                <w:rFonts w:hint="eastAsia" w:ascii="Times New Roman" w:hAnsi="Times New Roman" w:eastAsia="宋体" w:cs="Times New Roman"/>
                <w:b w:val="0"/>
                <w:bCs w:val="0"/>
                <w:color w:val="auto"/>
                <w:sz w:val="24"/>
                <w:szCs w:val="24"/>
                <w:lang w:eastAsia="zh-CN"/>
              </w:rPr>
              <w:t>主要污染因子为COD：300mg/L、SS：150mg/L、氨氮：30mg/L、BOD5：150mg/L，</w:t>
            </w:r>
            <w:r>
              <w:rPr>
                <w:rFonts w:hint="default" w:ascii="Times New Roman" w:hAnsi="Times New Roman" w:eastAsia="宋体" w:cs="Times New Roman"/>
                <w:b w:val="0"/>
                <w:bCs w:val="0"/>
                <w:color w:val="auto"/>
                <w:sz w:val="24"/>
                <w:szCs w:val="24"/>
                <w:lang w:eastAsia="zh-CN"/>
              </w:rPr>
              <w:t>经</w:t>
            </w:r>
            <w:r>
              <w:rPr>
                <w:rFonts w:hint="eastAsia" w:ascii="Times New Roman" w:hAnsi="Times New Roman" w:eastAsia="宋体" w:cs="Times New Roman"/>
                <w:b w:val="0"/>
                <w:bCs w:val="0"/>
                <w:color w:val="auto"/>
                <w:sz w:val="24"/>
                <w:szCs w:val="24"/>
                <w:lang w:eastAsia="zh-CN"/>
              </w:rPr>
              <w:t>场地设置的化粪池</w:t>
            </w:r>
            <w:r>
              <w:rPr>
                <w:rFonts w:hint="default" w:ascii="Times New Roman" w:hAnsi="Times New Roman" w:eastAsia="宋体" w:cs="Times New Roman"/>
                <w:b w:val="0"/>
                <w:bCs w:val="0"/>
                <w:color w:val="auto"/>
                <w:sz w:val="24"/>
                <w:szCs w:val="24"/>
                <w:lang w:eastAsia="zh-CN"/>
              </w:rPr>
              <w:t>预处理后</w:t>
            </w:r>
            <w:r>
              <w:rPr>
                <w:rFonts w:hint="default" w:ascii="Times New Roman" w:hAnsi="Times New Roman" w:eastAsia="宋体" w:cs="Times New Roman"/>
                <w:b w:val="0"/>
                <w:bCs w:val="0"/>
                <w:color w:val="auto"/>
                <w:sz w:val="24"/>
                <w:szCs w:val="24"/>
              </w:rPr>
              <w:t>，用作周边农田施肥，不外排。</w:t>
            </w:r>
          </w:p>
          <w:p w14:paraId="7866972A">
            <w:pPr>
              <w:widowControl/>
              <w:spacing w:line="360" w:lineRule="auto"/>
              <w:ind w:firstLine="480" w:firstLineChars="200"/>
              <w:rPr>
                <w:rFonts w:hint="eastAsia" w:ascii="Times New Roman" w:hAnsi="Times New Roman" w:eastAsia="宋体" w:cs="Times New Roman"/>
                <w:b w:val="0"/>
                <w:bCs w:val="0"/>
                <w:color w:val="auto"/>
                <w:sz w:val="24"/>
                <w:szCs w:val="24"/>
                <w:highlight w:val="yellow"/>
                <w:lang w:eastAsia="zh-CN"/>
              </w:rPr>
            </w:pPr>
            <w:r>
              <w:rPr>
                <w:rFonts w:hint="eastAsia" w:ascii="Times New Roman" w:hAnsi="Times New Roman" w:eastAsia="宋体" w:cs="Times New Roman"/>
                <w:b w:val="0"/>
                <w:bCs w:val="0"/>
                <w:color w:val="auto"/>
                <w:sz w:val="24"/>
                <w:szCs w:val="24"/>
                <w:highlight w:val="none"/>
                <w:lang w:eastAsia="zh-CN"/>
              </w:rPr>
              <w:t>项目钻井用的泥浆出井口后经固控系统</w:t>
            </w:r>
            <w:r>
              <w:rPr>
                <w:rFonts w:hint="eastAsia" w:ascii="Times New Roman" w:hAnsi="Times New Roman" w:eastAsia="宋体" w:cs="Times New Roman"/>
                <w:b w:val="0"/>
                <w:bCs w:val="0"/>
                <w:color w:val="auto"/>
                <w:sz w:val="24"/>
                <w:szCs w:val="24"/>
                <w:lang w:eastAsia="zh-CN"/>
              </w:rPr>
              <w:t>处理后大部分可循环利用，少部分因性能不合格而会被废弃进入废浆池作为固废处置，施工过程中无钻井废水产生。</w:t>
            </w:r>
          </w:p>
          <w:p w14:paraId="48AF997F">
            <w:pPr>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（3）</w:t>
            </w:r>
            <w:r>
              <w:rPr>
                <w:rFonts w:hint="eastAsia" w:ascii="Times New Roman" w:hAnsi="Times New Roman" w:eastAsia="宋体" w:cs="Times New Roman"/>
                <w:b w:val="0"/>
                <w:bCs w:val="0"/>
                <w:color w:val="auto"/>
                <w:kern w:val="0"/>
                <w:sz w:val="24"/>
                <w:szCs w:val="24"/>
              </w:rPr>
              <w:t>噪声</w:t>
            </w:r>
            <w:r>
              <w:rPr>
                <w:rFonts w:ascii="Times New Roman" w:hAnsi="Times New Roman" w:eastAsia="宋体" w:cs="Times New Roman"/>
                <w:b w:val="0"/>
                <w:bCs w:val="0"/>
                <w:color w:val="auto"/>
                <w:kern w:val="0"/>
                <w:sz w:val="24"/>
                <w:szCs w:val="24"/>
              </w:rPr>
              <w:t>污染环境影响分析</w:t>
            </w:r>
          </w:p>
          <w:p w14:paraId="4336459E">
            <w:pPr>
              <w:widowControl/>
              <w:spacing w:line="360" w:lineRule="auto"/>
              <w:ind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eastAsia="zh-CN"/>
              </w:rPr>
              <w:t>本项目仅有施工期噪声影响，施工时间约</w:t>
            </w:r>
            <w:r>
              <w:rPr>
                <w:rFonts w:hint="eastAsia" w:ascii="Times New Roman" w:hAnsi="Times New Roman" w:eastAsia="宋体" w:cs="Times New Roman"/>
                <w:b w:val="0"/>
                <w:bCs w:val="0"/>
                <w:color w:val="auto"/>
                <w:sz w:val="24"/>
                <w:szCs w:val="24"/>
                <w:highlight w:val="none"/>
                <w:lang w:val="en-US" w:eastAsia="zh-CN"/>
              </w:rPr>
              <w:t>10个月，</w:t>
            </w:r>
            <w:r>
              <w:rPr>
                <w:rFonts w:hint="eastAsia" w:ascii="Times New Roman" w:hAnsi="Times New Roman" w:eastAsia="宋体" w:cs="Times New Roman"/>
                <w:b w:val="0"/>
                <w:bCs w:val="0"/>
                <w:color w:val="auto"/>
                <w:sz w:val="24"/>
                <w:szCs w:val="24"/>
                <w:highlight w:val="none"/>
                <w:lang w:eastAsia="zh-CN"/>
              </w:rPr>
              <w:t>无运营期噪声影响。</w:t>
            </w:r>
            <w:r>
              <w:rPr>
                <w:rFonts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kern w:val="0"/>
                <w:sz w:val="24"/>
                <w:szCs w:val="24"/>
                <w:highlight w:val="none"/>
                <w:lang w:val="en-US" w:eastAsia="zh-CN" w:bidi="ar-SA"/>
              </w:rPr>
              <w:t>施工期各种施工机械设备运转会产生噪声</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lang w:val="en-US" w:eastAsia="zh-CN"/>
              </w:rPr>
              <w:t>主要高噪声设备为钻机、泥浆泵、固控系统等。</w:t>
            </w:r>
            <w:r>
              <w:rPr>
                <w:rFonts w:hint="default" w:ascii="Times New Roman" w:hAnsi="Times New Roman" w:eastAsia="宋体" w:cs="Times New Roman"/>
                <w:b w:val="0"/>
                <w:bCs w:val="0"/>
                <w:color w:val="auto"/>
                <w:sz w:val="24"/>
                <w:szCs w:val="24"/>
                <w:highlight w:val="none"/>
                <w:lang w:val="en-US" w:eastAsia="zh-CN"/>
              </w:rPr>
              <w:t>其噪声</w:t>
            </w:r>
            <w:r>
              <w:rPr>
                <w:rFonts w:hint="eastAsia" w:ascii="Times New Roman" w:hAnsi="Times New Roman" w:eastAsia="宋体" w:cs="Times New Roman"/>
                <w:b w:val="0"/>
                <w:bCs w:val="0"/>
                <w:color w:val="auto"/>
                <w:sz w:val="24"/>
                <w:szCs w:val="24"/>
                <w:highlight w:val="none"/>
                <w:lang w:val="en-US" w:eastAsia="zh-CN"/>
              </w:rPr>
              <w:t>值在75</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85</w:t>
            </w:r>
            <w:r>
              <w:rPr>
                <w:rFonts w:hint="default" w:ascii="Times New Roman" w:hAnsi="Times New Roman" w:eastAsia="宋体" w:cs="Times New Roman"/>
                <w:b w:val="0"/>
                <w:bCs w:val="0"/>
                <w:color w:val="auto"/>
                <w:sz w:val="24"/>
                <w:szCs w:val="24"/>
                <w:highlight w:val="none"/>
                <w:lang w:val="en-US" w:eastAsia="zh-CN"/>
              </w:rPr>
              <w:t>dB（A）之间。</w:t>
            </w:r>
          </w:p>
          <w:p w14:paraId="5C198793">
            <w:pPr>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根据项目设备声源特征和声学环境的特点，同时根据业主提供资料，视设备声源为点源，声场为半自由声场，依据《环境影响评价技术导则声环境》，</w:t>
            </w:r>
            <w:r>
              <w:rPr>
                <w:rFonts w:ascii="Times New Roman" w:hAnsi="Times New Roman" w:eastAsia="宋体" w:cs="Times New Roman"/>
                <w:b w:val="0"/>
                <w:bCs w:val="0"/>
                <w:color w:val="auto"/>
                <w:sz w:val="24"/>
                <w:szCs w:val="24"/>
                <w:highlight w:val="none"/>
              </w:rPr>
              <w:t>选用无指向性声源几何发散衰减预测模式预测噪声</w:t>
            </w:r>
            <w:r>
              <w:rPr>
                <w:rFonts w:hint="eastAsia" w:ascii="Times New Roman" w:hAnsi="Times New Roman" w:eastAsia="宋体" w:cs="Times New Roman"/>
                <w:b w:val="0"/>
                <w:bCs w:val="0"/>
                <w:color w:val="auto"/>
                <w:sz w:val="24"/>
                <w:szCs w:val="24"/>
                <w:highlight w:val="none"/>
                <w:lang w:eastAsia="zh-CN"/>
              </w:rPr>
              <w:t>影响</w:t>
            </w:r>
            <w:r>
              <w:rPr>
                <w:rFonts w:ascii="Times New Roman" w:hAnsi="Times New Roman" w:eastAsia="宋体" w:cs="Times New Roman"/>
                <w:b w:val="0"/>
                <w:bCs w:val="0"/>
                <w:color w:val="auto"/>
                <w:sz w:val="24"/>
                <w:szCs w:val="24"/>
                <w:highlight w:val="none"/>
              </w:rPr>
              <w:t>。</w:t>
            </w:r>
          </w:p>
          <w:p w14:paraId="0E25588B">
            <w:pPr>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①</w:t>
            </w:r>
            <w:r>
              <w:rPr>
                <w:rFonts w:ascii="Times New Roman" w:hAnsi="Times New Roman" w:eastAsia="宋体" w:cs="Times New Roman"/>
                <w:b w:val="0"/>
                <w:bCs w:val="0"/>
                <w:color w:val="auto"/>
                <w:sz w:val="24"/>
                <w:szCs w:val="24"/>
              </w:rPr>
              <w:t>点声源预测模式</w:t>
            </w:r>
          </w:p>
          <w:p w14:paraId="6E36195A">
            <w:pPr>
              <w:spacing w:line="360" w:lineRule="auto"/>
              <w:ind w:firstLine="480" w:firstLineChars="200"/>
              <w:jc w:val="center"/>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LA(r)=LWA–20lg(r/r0)</w:t>
            </w:r>
          </w:p>
          <w:p w14:paraId="16E3B478">
            <w:pPr>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式中：LA(r)——距噪声源r处的声级（dB(A)）；</w:t>
            </w:r>
          </w:p>
          <w:p w14:paraId="5DCFAB17">
            <w:pPr>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LWA——点声源的A声级（dB(A)）；</w:t>
            </w:r>
          </w:p>
          <w:p w14:paraId="7655AB65">
            <w:pPr>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r——预测点与声源之间的距离（m）；</w:t>
            </w:r>
          </w:p>
          <w:p w14:paraId="0F3F1973">
            <w:pPr>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r0 ——参考处与声源之间的距离（m）；</w:t>
            </w:r>
          </w:p>
          <w:p w14:paraId="696C9BDC">
            <w:pPr>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②</w:t>
            </w:r>
            <w:r>
              <w:rPr>
                <w:rFonts w:ascii="Times New Roman" w:hAnsi="Times New Roman" w:eastAsia="宋体" w:cs="Times New Roman"/>
                <w:b w:val="0"/>
                <w:bCs w:val="0"/>
                <w:color w:val="auto"/>
                <w:sz w:val="24"/>
                <w:szCs w:val="24"/>
              </w:rPr>
              <w:t>多声源叠加模式中：</w:t>
            </w:r>
          </w:p>
          <w:p w14:paraId="423AABD0">
            <w:pPr>
              <w:spacing w:line="360" w:lineRule="auto"/>
              <w:jc w:val="center"/>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drawing>
                <wp:inline distT="0" distB="0" distL="0" distR="0">
                  <wp:extent cx="1457325" cy="619125"/>
                  <wp:effectExtent l="19050" t="0" r="9525" b="0"/>
                  <wp:docPr id="2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5"/>
                          <pic:cNvPicPr>
                            <a:picLocks noChangeAspect="1" noChangeArrowheads="1"/>
                          </pic:cNvPicPr>
                        </pic:nvPicPr>
                        <pic:blipFill>
                          <a:blip r:embed="rId24" cstate="print"/>
                          <a:srcRect/>
                          <a:stretch>
                            <a:fillRect/>
                          </a:stretch>
                        </pic:blipFill>
                        <pic:spPr>
                          <a:xfrm>
                            <a:off x="0" y="0"/>
                            <a:ext cx="1457325" cy="619125"/>
                          </a:xfrm>
                          <a:prstGeom prst="rect">
                            <a:avLst/>
                          </a:prstGeom>
                          <a:noFill/>
                          <a:ln w="9525">
                            <a:noFill/>
                            <a:miter lim="800000"/>
                            <a:headEnd/>
                            <a:tailEnd/>
                          </a:ln>
                        </pic:spPr>
                      </pic:pic>
                    </a:graphicData>
                  </a:graphic>
                </wp:inline>
              </w:drawing>
            </w:r>
          </w:p>
          <w:p w14:paraId="54AC3EC6">
            <w:pPr>
              <w:autoSpaceDE w:val="0"/>
              <w:autoSpaceDN w:val="0"/>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L0——叠加后总声压级，dB(A)；</w:t>
            </w:r>
          </w:p>
          <w:p w14:paraId="34319823">
            <w:pPr>
              <w:autoSpaceDE w:val="0"/>
              <w:autoSpaceDN w:val="0"/>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n——声源级数；</w:t>
            </w:r>
          </w:p>
          <w:p w14:paraId="1A1976F9">
            <w:pPr>
              <w:autoSpaceDE w:val="0"/>
              <w:autoSpaceDN w:val="0"/>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Li——各声源对某点的声压值，dB(A)。</w:t>
            </w:r>
          </w:p>
          <w:p w14:paraId="469F9F6E">
            <w:pPr>
              <w:autoSpaceDE w:val="0"/>
              <w:autoSpaceDN w:val="0"/>
              <w:spacing w:line="360" w:lineRule="auto"/>
              <w:ind w:firstLine="480" w:firstLineChars="200"/>
              <w:jc w:val="left"/>
              <w:rPr>
                <w:rFonts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③</w:t>
            </w:r>
            <w:r>
              <w:rPr>
                <w:rFonts w:ascii="Times New Roman" w:hAnsi="Times New Roman" w:eastAsia="宋体" w:cs="Times New Roman"/>
                <w:b w:val="0"/>
                <w:bCs w:val="0"/>
                <w:color w:val="auto"/>
                <w:kern w:val="0"/>
                <w:sz w:val="24"/>
                <w:szCs w:val="24"/>
              </w:rPr>
              <w:t>预测结果分析</w:t>
            </w:r>
          </w:p>
          <w:p w14:paraId="2F809D54">
            <w:pPr>
              <w:autoSpaceDE w:val="0"/>
              <w:autoSpaceDN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a</w:t>
            </w:r>
            <w:r>
              <w:rPr>
                <w:rFonts w:ascii="Times New Roman" w:hAnsi="宋体"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单台施工机械在满负荷工作时不同距离处的噪声级预测结果见下表。</w:t>
            </w:r>
          </w:p>
          <w:p w14:paraId="3983409F">
            <w:pPr>
              <w:pStyle w:val="97"/>
              <w:numPr>
                <w:ilvl w:val="1"/>
                <w:numId w:val="2"/>
              </w:numPr>
              <w:tabs>
                <w:tab w:val="left" w:pos="2100"/>
                <w:tab w:val="clear" w:pos="1440"/>
              </w:tabs>
              <w:spacing w:line="240" w:lineRule="auto"/>
              <w:ind w:left="3300" w:leftChars="0" w:hanging="1620" w:firstLineChars="0"/>
              <w:jc w:val="both"/>
              <w:rPr>
                <w:rFonts w:hint="eastAsia" w:ascii="宋体" w:hAnsi="宋体" w:eastAsia="宋体" w:cs="宋体"/>
                <w:color w:val="auto"/>
                <w:sz w:val="24"/>
                <w:szCs w:val="24"/>
              </w:rPr>
            </w:pPr>
            <w:r>
              <w:rPr>
                <w:rFonts w:hint="eastAsia" w:ascii="宋体" w:hAnsi="宋体" w:eastAsia="宋体" w:cs="宋体"/>
                <w:b w:val="0"/>
                <w:bCs w:val="0"/>
                <w:color w:val="auto"/>
                <w:sz w:val="24"/>
                <w:szCs w:val="24"/>
              </w:rPr>
              <w:t>工程各类噪声源不同距离处噪声值</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单位：dB（A）</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966"/>
              <w:gridCol w:w="839"/>
              <w:gridCol w:w="839"/>
              <w:gridCol w:w="839"/>
              <w:gridCol w:w="839"/>
              <w:gridCol w:w="751"/>
              <w:gridCol w:w="860"/>
            </w:tblGrid>
            <w:tr w14:paraId="06E80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357" w:type="pct"/>
                  <w:vMerge w:val="restart"/>
                  <w:tcBorders>
                    <w:tl2br w:val="single" w:color="auto" w:sz="4" w:space="0"/>
                  </w:tcBorders>
                  <w:noWrap w:val="0"/>
                  <w:vAlign w:val="center"/>
                </w:tcPr>
                <w:p w14:paraId="3F8FF621">
                  <w:pPr>
                    <w:autoSpaceDE w:val="0"/>
                    <w:autoSpaceDN w:val="0"/>
                    <w:ind w:firstLine="420" w:firstLineChars="20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      声级</w:t>
                  </w:r>
                </w:p>
                <w:p w14:paraId="482B664A">
                  <w:pPr>
                    <w:autoSpaceDE w:val="0"/>
                    <w:autoSpaceDN w:val="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噪声源</w:t>
                  </w:r>
                </w:p>
              </w:tc>
              <w:tc>
                <w:tcPr>
                  <w:tcW w:w="3642" w:type="pct"/>
                  <w:gridSpan w:val="7"/>
                  <w:noWrap w:val="0"/>
                  <w:vAlign w:val="center"/>
                </w:tcPr>
                <w:p w14:paraId="0DD7BC90">
                  <w:pPr>
                    <w:autoSpaceDE w:val="0"/>
                    <w:autoSpaceDN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测点距声源距离（m）</w:t>
                  </w:r>
                </w:p>
              </w:tc>
            </w:tr>
            <w:tr w14:paraId="21C88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357" w:type="pct"/>
                  <w:vMerge w:val="continue"/>
                  <w:noWrap w:val="0"/>
                  <w:vAlign w:val="center"/>
                </w:tcPr>
                <w:p w14:paraId="68EFD829">
                  <w:pPr>
                    <w:autoSpaceDE w:val="0"/>
                    <w:autoSpaceDN w:val="0"/>
                    <w:jc w:val="center"/>
                    <w:rPr>
                      <w:rFonts w:ascii="Times New Roman" w:hAnsi="Times New Roman" w:eastAsia="宋体" w:cs="Times New Roman"/>
                      <w:color w:val="auto"/>
                      <w:kern w:val="0"/>
                      <w:szCs w:val="21"/>
                    </w:rPr>
                  </w:pPr>
                </w:p>
              </w:tc>
              <w:tc>
                <w:tcPr>
                  <w:tcW w:w="593" w:type="pct"/>
                  <w:noWrap w:val="0"/>
                  <w:vAlign w:val="center"/>
                </w:tcPr>
                <w:p w14:paraId="3DE461F2">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515" w:type="pct"/>
                  <w:noWrap w:val="0"/>
                  <w:vAlign w:val="center"/>
                </w:tcPr>
                <w:p w14:paraId="2D4FB534">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w:t>
                  </w:r>
                </w:p>
              </w:tc>
              <w:tc>
                <w:tcPr>
                  <w:tcW w:w="515" w:type="pct"/>
                  <w:noWrap w:val="0"/>
                  <w:vAlign w:val="center"/>
                </w:tcPr>
                <w:p w14:paraId="42BF6991">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w:t>
                  </w:r>
                </w:p>
              </w:tc>
              <w:tc>
                <w:tcPr>
                  <w:tcW w:w="515" w:type="pct"/>
                  <w:noWrap w:val="0"/>
                  <w:vAlign w:val="center"/>
                </w:tcPr>
                <w:p w14:paraId="004D4419">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w:t>
                  </w:r>
                </w:p>
              </w:tc>
              <w:tc>
                <w:tcPr>
                  <w:tcW w:w="515" w:type="pct"/>
                  <w:noWrap w:val="0"/>
                  <w:vAlign w:val="center"/>
                </w:tcPr>
                <w:p w14:paraId="0034EE97">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80</w:t>
                  </w:r>
                </w:p>
              </w:tc>
              <w:tc>
                <w:tcPr>
                  <w:tcW w:w="461" w:type="pct"/>
                  <w:noWrap w:val="0"/>
                  <w:vAlign w:val="center"/>
                </w:tcPr>
                <w:p w14:paraId="63CFB06B">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100</w:t>
                  </w:r>
                </w:p>
              </w:tc>
              <w:tc>
                <w:tcPr>
                  <w:tcW w:w="527" w:type="pct"/>
                  <w:noWrap w:val="0"/>
                  <w:vAlign w:val="center"/>
                </w:tcPr>
                <w:p w14:paraId="3A23B341">
                  <w:pPr>
                    <w:autoSpaceDE w:val="0"/>
                    <w:autoSpaceDN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200</w:t>
                  </w:r>
                </w:p>
              </w:tc>
            </w:tr>
            <w:tr w14:paraId="35FF7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357" w:type="pct"/>
                  <w:noWrap w:val="0"/>
                  <w:vAlign w:val="top"/>
                </w:tcPr>
                <w:p w14:paraId="0697859E">
                  <w:pPr>
                    <w:widowControl/>
                    <w:tabs>
                      <w:tab w:val="left" w:pos="966"/>
                    </w:tabs>
                    <w:adjustRightInd w:val="0"/>
                    <w:snapToGrid w:val="0"/>
                    <w:jc w:val="center"/>
                    <w:rPr>
                      <w:rFonts w:ascii="Times New Roman" w:hAnsi="Times New Roman" w:eastAsia="宋体" w:cs="Times New Roman"/>
                      <w:color w:val="auto"/>
                      <w:kern w:val="0"/>
                      <w:szCs w:val="21"/>
                    </w:rPr>
                  </w:pPr>
                  <w:r>
                    <w:rPr>
                      <w:rFonts w:hint="default" w:ascii="Times New Roman" w:hAnsi="Times New Roman" w:cs="Times New Roman"/>
                      <w:bCs/>
                      <w:color w:val="auto"/>
                      <w:kern w:val="0"/>
                      <w:sz w:val="21"/>
                      <w:szCs w:val="21"/>
                      <w:lang w:val="en-US" w:eastAsia="zh-CN" w:bidi="ar"/>
                    </w:rPr>
                    <w:t>钻机</w:t>
                  </w:r>
                </w:p>
              </w:tc>
              <w:tc>
                <w:tcPr>
                  <w:tcW w:w="593" w:type="pct"/>
                  <w:noWrap w:val="0"/>
                  <w:vAlign w:val="center"/>
                </w:tcPr>
                <w:p w14:paraId="3BC3FC71">
                  <w:pPr>
                    <w:spacing w:line="240" w:lineRule="atLeast"/>
                    <w:jc w:val="center"/>
                    <w:rPr>
                      <w:rFonts w:hint="default" w:ascii="Times New Roman" w:hAnsi="Times New Roman" w:eastAsia="宋体" w:cs="Times New Roman"/>
                      <w:color w:val="auto"/>
                      <w:kern w:val="0"/>
                      <w:szCs w:val="21"/>
                      <w:lang w:val="en-US"/>
                    </w:rPr>
                  </w:pPr>
                  <w:r>
                    <w:rPr>
                      <w:rFonts w:hint="eastAsia" w:ascii="Times New Roman" w:hAnsi="Times New Roman" w:cs="Times New Roman"/>
                      <w:color w:val="auto"/>
                      <w:sz w:val="21"/>
                      <w:szCs w:val="21"/>
                      <w:lang w:val="en-US" w:eastAsia="zh-CN"/>
                    </w:rPr>
                    <w:t>80</w:t>
                  </w:r>
                </w:p>
              </w:tc>
              <w:tc>
                <w:tcPr>
                  <w:tcW w:w="515" w:type="pct"/>
                  <w:noWrap w:val="0"/>
                  <w:vAlign w:val="center"/>
                </w:tcPr>
                <w:p w14:paraId="210548C6">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53.98</w:t>
                  </w:r>
                </w:p>
              </w:tc>
              <w:tc>
                <w:tcPr>
                  <w:tcW w:w="515" w:type="pct"/>
                  <w:noWrap w:val="0"/>
                  <w:vAlign w:val="center"/>
                </w:tcPr>
                <w:p w14:paraId="6A9A6738">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47.96</w:t>
                  </w:r>
                </w:p>
              </w:tc>
              <w:tc>
                <w:tcPr>
                  <w:tcW w:w="515" w:type="pct"/>
                  <w:noWrap w:val="0"/>
                  <w:vAlign w:val="center"/>
                </w:tcPr>
                <w:p w14:paraId="19C85D0E">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44.44</w:t>
                  </w:r>
                </w:p>
              </w:tc>
              <w:tc>
                <w:tcPr>
                  <w:tcW w:w="515" w:type="pct"/>
                  <w:noWrap w:val="0"/>
                  <w:vAlign w:val="center"/>
                </w:tcPr>
                <w:p w14:paraId="78524C67">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41.94</w:t>
                  </w:r>
                </w:p>
              </w:tc>
              <w:tc>
                <w:tcPr>
                  <w:tcW w:w="461" w:type="pct"/>
                  <w:noWrap w:val="0"/>
                  <w:vAlign w:val="center"/>
                </w:tcPr>
                <w:p w14:paraId="77B415D2">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40</w:t>
                  </w:r>
                </w:p>
              </w:tc>
              <w:tc>
                <w:tcPr>
                  <w:tcW w:w="527" w:type="pct"/>
                  <w:noWrap w:val="0"/>
                  <w:vAlign w:val="center"/>
                </w:tcPr>
                <w:p w14:paraId="29E14BBF">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33.98</w:t>
                  </w:r>
                </w:p>
              </w:tc>
            </w:tr>
            <w:tr w14:paraId="17BB7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357" w:type="pct"/>
                  <w:shd w:val="clear" w:color="auto" w:fill="auto"/>
                  <w:noWrap w:val="0"/>
                  <w:vAlign w:val="center"/>
                </w:tcPr>
                <w:p w14:paraId="39779397">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rPr>
                    <w:t>泥浆泵</w:t>
                  </w:r>
                </w:p>
              </w:tc>
              <w:tc>
                <w:tcPr>
                  <w:tcW w:w="593" w:type="pct"/>
                  <w:shd w:val="clear" w:color="auto" w:fill="auto"/>
                  <w:noWrap w:val="0"/>
                  <w:vAlign w:val="center"/>
                </w:tcPr>
                <w:p w14:paraId="6119832C">
                  <w:pPr>
                    <w:spacing w:line="240" w:lineRule="atLeas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85</w:t>
                  </w:r>
                </w:p>
              </w:tc>
              <w:tc>
                <w:tcPr>
                  <w:tcW w:w="515" w:type="pct"/>
                  <w:shd w:val="clear" w:color="auto" w:fill="auto"/>
                  <w:noWrap w:val="0"/>
                  <w:vAlign w:val="center"/>
                </w:tcPr>
                <w:p w14:paraId="188A879C">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58.98</w:t>
                  </w:r>
                </w:p>
              </w:tc>
              <w:tc>
                <w:tcPr>
                  <w:tcW w:w="515" w:type="pct"/>
                  <w:shd w:val="clear" w:color="auto" w:fill="auto"/>
                  <w:noWrap w:val="0"/>
                  <w:vAlign w:val="center"/>
                </w:tcPr>
                <w:p w14:paraId="47979A33">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52.96</w:t>
                  </w:r>
                </w:p>
              </w:tc>
              <w:tc>
                <w:tcPr>
                  <w:tcW w:w="515" w:type="pct"/>
                  <w:shd w:val="clear" w:color="auto" w:fill="auto"/>
                  <w:noWrap w:val="0"/>
                  <w:vAlign w:val="center"/>
                </w:tcPr>
                <w:p w14:paraId="745B0D4F">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49.44</w:t>
                  </w:r>
                </w:p>
              </w:tc>
              <w:tc>
                <w:tcPr>
                  <w:tcW w:w="515" w:type="pct"/>
                  <w:shd w:val="clear" w:color="auto" w:fill="auto"/>
                  <w:noWrap w:val="0"/>
                  <w:vAlign w:val="center"/>
                </w:tcPr>
                <w:p w14:paraId="4CA6DB6B">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46.94</w:t>
                  </w:r>
                </w:p>
              </w:tc>
              <w:tc>
                <w:tcPr>
                  <w:tcW w:w="461" w:type="pct"/>
                  <w:shd w:val="clear" w:color="auto" w:fill="auto"/>
                  <w:noWrap w:val="0"/>
                  <w:vAlign w:val="center"/>
                </w:tcPr>
                <w:p w14:paraId="7089D2B8">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45</w:t>
                  </w:r>
                </w:p>
              </w:tc>
              <w:tc>
                <w:tcPr>
                  <w:tcW w:w="527" w:type="pct"/>
                  <w:shd w:val="clear" w:color="auto" w:fill="auto"/>
                  <w:noWrap w:val="0"/>
                  <w:vAlign w:val="center"/>
                </w:tcPr>
                <w:p w14:paraId="7FA68B45">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38.98</w:t>
                  </w:r>
                </w:p>
              </w:tc>
            </w:tr>
            <w:tr w14:paraId="7338B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357" w:type="pct"/>
                  <w:shd w:val="clear" w:color="auto" w:fill="auto"/>
                  <w:noWrap w:val="0"/>
                  <w:vAlign w:val="center"/>
                </w:tcPr>
                <w:p w14:paraId="755C7283">
                  <w:pPr>
                    <w:widowControl/>
                    <w:adjustRightInd w:val="0"/>
                    <w:snapToGrid w:val="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固控系统</w:t>
                  </w:r>
                </w:p>
              </w:tc>
              <w:tc>
                <w:tcPr>
                  <w:tcW w:w="593" w:type="pct"/>
                  <w:shd w:val="clear" w:color="auto" w:fill="auto"/>
                  <w:noWrap w:val="0"/>
                  <w:vAlign w:val="center"/>
                </w:tcPr>
                <w:p w14:paraId="176609B4">
                  <w:pPr>
                    <w:spacing w:line="240" w:lineRule="atLeas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80</w:t>
                  </w:r>
                </w:p>
              </w:tc>
              <w:tc>
                <w:tcPr>
                  <w:tcW w:w="515" w:type="pct"/>
                  <w:shd w:val="clear" w:color="auto" w:fill="auto"/>
                  <w:noWrap w:val="0"/>
                  <w:vAlign w:val="center"/>
                </w:tcPr>
                <w:p w14:paraId="5D588633">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53.98</w:t>
                  </w:r>
                </w:p>
              </w:tc>
              <w:tc>
                <w:tcPr>
                  <w:tcW w:w="515" w:type="pct"/>
                  <w:shd w:val="clear" w:color="auto" w:fill="auto"/>
                  <w:noWrap w:val="0"/>
                  <w:vAlign w:val="center"/>
                </w:tcPr>
                <w:p w14:paraId="05538E84">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47.96</w:t>
                  </w:r>
                </w:p>
              </w:tc>
              <w:tc>
                <w:tcPr>
                  <w:tcW w:w="515" w:type="pct"/>
                  <w:shd w:val="clear" w:color="auto" w:fill="auto"/>
                  <w:noWrap w:val="0"/>
                  <w:vAlign w:val="center"/>
                </w:tcPr>
                <w:p w14:paraId="306232A5">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44.44</w:t>
                  </w:r>
                </w:p>
              </w:tc>
              <w:tc>
                <w:tcPr>
                  <w:tcW w:w="515" w:type="pct"/>
                  <w:shd w:val="clear" w:color="auto" w:fill="auto"/>
                  <w:noWrap w:val="0"/>
                  <w:vAlign w:val="center"/>
                </w:tcPr>
                <w:p w14:paraId="799C4A88">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41.94</w:t>
                  </w:r>
                </w:p>
              </w:tc>
              <w:tc>
                <w:tcPr>
                  <w:tcW w:w="461" w:type="pct"/>
                  <w:shd w:val="clear" w:color="auto" w:fill="auto"/>
                  <w:noWrap w:val="0"/>
                  <w:vAlign w:val="center"/>
                </w:tcPr>
                <w:p w14:paraId="2B345230">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40</w:t>
                  </w:r>
                </w:p>
              </w:tc>
              <w:tc>
                <w:tcPr>
                  <w:tcW w:w="527" w:type="pct"/>
                  <w:shd w:val="clear" w:color="auto" w:fill="auto"/>
                  <w:noWrap w:val="0"/>
                  <w:vAlign w:val="center"/>
                </w:tcPr>
                <w:p w14:paraId="1564AD77">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33.98</w:t>
                  </w:r>
                </w:p>
              </w:tc>
            </w:tr>
            <w:tr w14:paraId="7165C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57" w:type="pct"/>
                  <w:shd w:val="clear" w:color="auto" w:fill="auto"/>
                  <w:noWrap w:val="0"/>
                  <w:vAlign w:val="center"/>
                </w:tcPr>
                <w:p w14:paraId="43E3C063">
                  <w:pPr>
                    <w:widowControl/>
                    <w:adjustRightInd w:val="0"/>
                    <w:snapToGrid w:val="0"/>
                    <w:jc w:val="center"/>
                    <w:textAlignment w:val="center"/>
                    <w:rPr>
                      <w:rFonts w:hint="default" w:ascii="Times New Roman" w:hAnsi="Times New Roman" w:cs="Times New Roman" w:eastAsiaTheme="minorEastAsia"/>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钻井时噪声叠加（钻机、泥浆泵、固控系统运行）</w:t>
                  </w:r>
                </w:p>
              </w:tc>
              <w:tc>
                <w:tcPr>
                  <w:tcW w:w="593" w:type="pct"/>
                  <w:shd w:val="clear" w:color="auto" w:fill="auto"/>
                  <w:noWrap w:val="0"/>
                  <w:vAlign w:val="center"/>
                </w:tcPr>
                <w:p w14:paraId="7F6624AF">
                  <w:pPr>
                    <w:spacing w:line="240" w:lineRule="atLeast"/>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87.13</w:t>
                  </w:r>
                </w:p>
              </w:tc>
              <w:tc>
                <w:tcPr>
                  <w:tcW w:w="515" w:type="pct"/>
                  <w:shd w:val="clear" w:color="auto" w:fill="auto"/>
                  <w:noWrap w:val="0"/>
                  <w:vAlign w:val="center"/>
                </w:tcPr>
                <w:p w14:paraId="3258D258">
                  <w:pPr>
                    <w:autoSpaceDE w:val="0"/>
                    <w:autoSpaceDN w:val="0"/>
                    <w:jc w:val="center"/>
                    <w:rPr>
                      <w:rFonts w:hint="eastAsia" w:cs="Times New Roman" w:asciiTheme="minorHAnsi" w:hAnsiTheme="minorHAnsi" w:eastAsiaTheme="minorEastAsia"/>
                      <w:color w:val="auto"/>
                      <w:kern w:val="0"/>
                      <w:sz w:val="21"/>
                      <w:szCs w:val="21"/>
                      <w:lang w:val="en-US" w:eastAsia="zh-CN" w:bidi="ar-SA"/>
                    </w:rPr>
                  </w:pPr>
                  <w:r>
                    <w:rPr>
                      <w:rFonts w:hint="eastAsia" w:cs="Times New Roman"/>
                      <w:color w:val="auto"/>
                      <w:kern w:val="0"/>
                      <w:szCs w:val="21"/>
                      <w:lang w:val="en-US" w:eastAsia="zh-CN"/>
                    </w:rPr>
                    <w:t>61.1</w:t>
                  </w:r>
                </w:p>
              </w:tc>
              <w:tc>
                <w:tcPr>
                  <w:tcW w:w="515" w:type="pct"/>
                  <w:shd w:val="clear" w:color="auto" w:fill="auto"/>
                  <w:noWrap w:val="0"/>
                  <w:vAlign w:val="center"/>
                </w:tcPr>
                <w:p w14:paraId="40ED9D3E">
                  <w:pPr>
                    <w:autoSpaceDE w:val="0"/>
                    <w:autoSpaceDN w:val="0"/>
                    <w:jc w:val="center"/>
                    <w:rPr>
                      <w:rFonts w:hint="eastAsia" w:cs="Times New Roman" w:asciiTheme="minorHAnsi" w:hAnsiTheme="minorHAnsi" w:eastAsiaTheme="minorEastAsia"/>
                      <w:color w:val="auto"/>
                      <w:kern w:val="0"/>
                      <w:sz w:val="21"/>
                      <w:szCs w:val="21"/>
                      <w:lang w:val="en-US" w:eastAsia="zh-CN" w:bidi="ar-SA"/>
                    </w:rPr>
                  </w:pPr>
                  <w:r>
                    <w:rPr>
                      <w:rFonts w:hint="eastAsia" w:cs="Times New Roman"/>
                      <w:color w:val="auto"/>
                      <w:kern w:val="0"/>
                      <w:szCs w:val="21"/>
                      <w:lang w:val="en-US" w:eastAsia="zh-CN"/>
                    </w:rPr>
                    <w:t>55.08</w:t>
                  </w:r>
                </w:p>
              </w:tc>
              <w:tc>
                <w:tcPr>
                  <w:tcW w:w="515" w:type="pct"/>
                  <w:shd w:val="clear" w:color="auto" w:fill="auto"/>
                  <w:noWrap w:val="0"/>
                  <w:vAlign w:val="center"/>
                </w:tcPr>
                <w:p w14:paraId="39C25D1A">
                  <w:pPr>
                    <w:autoSpaceDE w:val="0"/>
                    <w:autoSpaceDN w:val="0"/>
                    <w:jc w:val="center"/>
                    <w:rPr>
                      <w:rFonts w:hint="eastAsia" w:cs="Times New Roman" w:asciiTheme="minorHAnsi" w:hAnsiTheme="minorHAnsi" w:eastAsiaTheme="minorEastAsia"/>
                      <w:color w:val="auto"/>
                      <w:kern w:val="0"/>
                      <w:sz w:val="21"/>
                      <w:szCs w:val="21"/>
                      <w:lang w:val="en-US" w:eastAsia="zh-CN" w:bidi="ar-SA"/>
                    </w:rPr>
                  </w:pPr>
                  <w:r>
                    <w:rPr>
                      <w:rFonts w:hint="eastAsia" w:cs="Times New Roman"/>
                      <w:color w:val="auto"/>
                      <w:kern w:val="0"/>
                      <w:szCs w:val="21"/>
                      <w:lang w:val="en-US" w:eastAsia="zh-CN"/>
                    </w:rPr>
                    <w:t>51.56</w:t>
                  </w:r>
                </w:p>
              </w:tc>
              <w:tc>
                <w:tcPr>
                  <w:tcW w:w="515" w:type="pct"/>
                  <w:shd w:val="clear" w:color="auto" w:fill="auto"/>
                  <w:noWrap w:val="0"/>
                  <w:vAlign w:val="center"/>
                </w:tcPr>
                <w:p w14:paraId="3AEE26F9">
                  <w:pPr>
                    <w:autoSpaceDE w:val="0"/>
                    <w:autoSpaceDN w:val="0"/>
                    <w:jc w:val="center"/>
                    <w:rPr>
                      <w:rFonts w:hint="eastAsia" w:cs="Times New Roman" w:asciiTheme="minorHAnsi" w:hAnsiTheme="minorHAnsi" w:eastAsiaTheme="minorEastAsia"/>
                      <w:color w:val="auto"/>
                      <w:kern w:val="0"/>
                      <w:sz w:val="21"/>
                      <w:szCs w:val="21"/>
                      <w:lang w:val="en-US" w:eastAsia="zh-CN" w:bidi="ar-SA"/>
                    </w:rPr>
                  </w:pPr>
                  <w:r>
                    <w:rPr>
                      <w:rFonts w:hint="eastAsia" w:cs="Times New Roman"/>
                      <w:color w:val="auto"/>
                      <w:kern w:val="0"/>
                      <w:szCs w:val="21"/>
                      <w:lang w:val="en-US" w:eastAsia="zh-CN"/>
                    </w:rPr>
                    <w:t>49.06</w:t>
                  </w:r>
                </w:p>
              </w:tc>
              <w:tc>
                <w:tcPr>
                  <w:tcW w:w="461" w:type="pct"/>
                  <w:shd w:val="clear" w:color="auto" w:fill="auto"/>
                  <w:noWrap w:val="0"/>
                  <w:vAlign w:val="center"/>
                </w:tcPr>
                <w:p w14:paraId="6B3266D7">
                  <w:pPr>
                    <w:autoSpaceDE w:val="0"/>
                    <w:autoSpaceDN w:val="0"/>
                    <w:jc w:val="center"/>
                    <w:rPr>
                      <w:rFonts w:hint="eastAsia" w:cs="Times New Roman" w:asciiTheme="minorHAnsi" w:hAnsiTheme="minorHAnsi" w:eastAsiaTheme="minorEastAsia"/>
                      <w:color w:val="auto"/>
                      <w:kern w:val="0"/>
                      <w:sz w:val="21"/>
                      <w:szCs w:val="21"/>
                      <w:lang w:val="en-US" w:eastAsia="zh-CN" w:bidi="ar-SA"/>
                    </w:rPr>
                  </w:pPr>
                  <w:r>
                    <w:rPr>
                      <w:rFonts w:hint="eastAsia" w:cs="Times New Roman"/>
                      <w:color w:val="auto"/>
                      <w:kern w:val="0"/>
                      <w:szCs w:val="21"/>
                      <w:lang w:val="en-US" w:eastAsia="zh-CN"/>
                    </w:rPr>
                    <w:t>47.13</w:t>
                  </w:r>
                </w:p>
              </w:tc>
              <w:tc>
                <w:tcPr>
                  <w:tcW w:w="527" w:type="pct"/>
                  <w:shd w:val="clear" w:color="auto" w:fill="auto"/>
                  <w:noWrap w:val="0"/>
                  <w:vAlign w:val="center"/>
                </w:tcPr>
                <w:p w14:paraId="065C8033">
                  <w:pPr>
                    <w:autoSpaceDE w:val="0"/>
                    <w:autoSpaceDN w:val="0"/>
                    <w:jc w:val="center"/>
                    <w:rPr>
                      <w:rFonts w:hint="eastAsia" w:cs="Times New Roman" w:asciiTheme="minorHAnsi" w:hAnsiTheme="minorHAnsi" w:eastAsiaTheme="minorEastAsia"/>
                      <w:color w:val="auto"/>
                      <w:kern w:val="0"/>
                      <w:sz w:val="21"/>
                      <w:szCs w:val="21"/>
                      <w:lang w:val="en-US" w:eastAsia="zh-CN" w:bidi="ar-SA"/>
                    </w:rPr>
                  </w:pPr>
                  <w:r>
                    <w:rPr>
                      <w:rFonts w:hint="eastAsia" w:cs="Times New Roman"/>
                      <w:color w:val="auto"/>
                      <w:kern w:val="0"/>
                      <w:szCs w:val="21"/>
                      <w:lang w:val="en-US" w:eastAsia="zh-CN"/>
                    </w:rPr>
                    <w:t>41.10</w:t>
                  </w:r>
                </w:p>
              </w:tc>
            </w:tr>
          </w:tbl>
          <w:p w14:paraId="739A98D1">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ascii="Times New Roman" w:hAnsi="Times New Roman" w:eastAsia="宋体" w:cs="Times New Roman"/>
                <w:color w:val="auto"/>
                <w:kern w:val="0"/>
                <w:sz w:val="24"/>
                <w:szCs w:val="24"/>
              </w:rPr>
              <w:t>由</w:t>
            </w:r>
            <w:r>
              <w:rPr>
                <w:rFonts w:hint="eastAsia" w:cs="Times New Roman"/>
                <w:color w:val="auto"/>
                <w:kern w:val="0"/>
                <w:sz w:val="24"/>
                <w:szCs w:val="24"/>
                <w:lang w:eastAsia="zh-CN"/>
              </w:rPr>
              <w:t>上表</w:t>
            </w:r>
            <w:r>
              <w:rPr>
                <w:rFonts w:ascii="Times New Roman" w:hAnsi="Times New Roman" w:eastAsia="宋体" w:cs="Times New Roman"/>
                <w:color w:val="auto"/>
                <w:kern w:val="0"/>
                <w:sz w:val="24"/>
                <w:szCs w:val="24"/>
              </w:rPr>
              <w:t>可知，</w:t>
            </w:r>
            <w:r>
              <w:rPr>
                <w:rFonts w:hint="eastAsia" w:cs="Times New Roman"/>
                <w:color w:val="auto"/>
                <w:kern w:val="0"/>
                <w:sz w:val="24"/>
                <w:szCs w:val="24"/>
                <w:lang w:eastAsia="zh-CN"/>
              </w:rPr>
              <w:t>本项目噪声影响较大的时段为工程夜间施工，夜间</w:t>
            </w:r>
            <w:r>
              <w:rPr>
                <w:rFonts w:ascii="Times New Roman" w:hAnsi="Times New Roman" w:eastAsia="宋体" w:cs="Times New Roman"/>
                <w:b w:val="0"/>
                <w:bCs w:val="0"/>
                <w:color w:val="auto"/>
                <w:kern w:val="0"/>
                <w:sz w:val="24"/>
                <w:szCs w:val="24"/>
              </w:rPr>
              <w:t>在</w:t>
            </w:r>
            <w:r>
              <w:rPr>
                <w:rFonts w:hint="eastAsia" w:ascii="Times New Roman" w:hAnsi="Times New Roman" w:eastAsia="宋体" w:cs="Times New Roman"/>
                <w:b w:val="0"/>
                <w:bCs w:val="0"/>
                <w:color w:val="auto"/>
                <w:kern w:val="0"/>
                <w:sz w:val="24"/>
                <w:szCs w:val="24"/>
                <w:lang w:val="en-US" w:eastAsia="zh-CN"/>
              </w:rPr>
              <w:t>40</w:t>
            </w:r>
            <w:r>
              <w:rPr>
                <w:rFonts w:ascii="Times New Roman" w:hAnsi="Times New Roman" w:eastAsia="宋体" w:cs="Times New Roman"/>
                <w:b w:val="0"/>
                <w:bCs w:val="0"/>
                <w:color w:val="auto"/>
                <w:kern w:val="0"/>
                <w:sz w:val="24"/>
                <w:szCs w:val="24"/>
              </w:rPr>
              <w:t>m处能够达到《建筑施工场界环境噪声排放标准》（GB12523-2011）中规定限值要求</w:t>
            </w:r>
            <w:r>
              <w:rPr>
                <w:rFonts w:hint="eastAsia" w:ascii="Times New Roman" w:hAnsi="Times New Roman" w:eastAsia="宋体" w:cs="Times New Roman"/>
                <w:b w:val="0"/>
                <w:bCs w:val="0"/>
                <w:color w:val="auto"/>
                <w:kern w:val="0"/>
                <w:sz w:val="24"/>
                <w:szCs w:val="24"/>
                <w:lang w:eastAsia="zh-CN"/>
              </w:rPr>
              <w:t>。</w:t>
            </w:r>
            <w:r>
              <w:rPr>
                <w:rFonts w:hint="eastAsia" w:cs="Times New Roman"/>
                <w:color w:val="auto"/>
                <w:kern w:val="0"/>
                <w:sz w:val="24"/>
                <w:szCs w:val="24"/>
                <w:highlight w:val="none"/>
                <w:lang w:eastAsia="zh-CN"/>
              </w:rPr>
              <w:t>本项目施工场地附近最近的敏感点距离本项目约</w:t>
            </w:r>
            <w:r>
              <w:rPr>
                <w:rFonts w:hint="eastAsia" w:cs="Times New Roman"/>
                <w:color w:val="auto"/>
                <w:kern w:val="0"/>
                <w:sz w:val="24"/>
                <w:szCs w:val="24"/>
                <w:highlight w:val="none"/>
                <w:lang w:val="en-US" w:eastAsia="zh-CN"/>
              </w:rPr>
              <w:t>299米，因此项目施工对周边声环境影响很小。</w:t>
            </w:r>
          </w:p>
          <w:p w14:paraId="46D19EB5">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lang w:val="en-US" w:eastAsia="zh-CN" w:bidi="ar-SA"/>
              </w:rPr>
              <w:t>为了尽可能的降低施工对周边噪声环境的影响，本次评价要求</w:t>
            </w:r>
            <w:r>
              <w:rPr>
                <w:rFonts w:ascii="Times New Roman" w:hAnsi="Times New Roman" w:eastAsia="宋体" w:cs="Times New Roman"/>
                <w:color w:val="auto"/>
                <w:kern w:val="0"/>
                <w:sz w:val="24"/>
                <w:szCs w:val="24"/>
                <w:lang w:val="en-US" w:eastAsia="zh-CN" w:bidi="ar-SA"/>
              </w:rPr>
              <w:t>建设单位</w:t>
            </w:r>
            <w:r>
              <w:rPr>
                <w:rFonts w:hint="eastAsia" w:ascii="Times New Roman" w:hAnsi="Times New Roman" w:eastAsia="宋体" w:cs="Times New Roman"/>
                <w:color w:val="auto"/>
                <w:kern w:val="0"/>
                <w:sz w:val="24"/>
                <w:szCs w:val="24"/>
                <w:lang w:val="en-US" w:eastAsia="zh-CN" w:bidi="ar-SA"/>
              </w:rPr>
              <w:t>施工期间</w:t>
            </w:r>
            <w:r>
              <w:rPr>
                <w:rFonts w:ascii="Times New Roman" w:hAnsi="Times New Roman" w:eastAsia="宋体" w:cs="Times New Roman"/>
                <w:color w:val="auto"/>
                <w:kern w:val="0"/>
                <w:sz w:val="24"/>
                <w:szCs w:val="24"/>
                <w:lang w:val="en-US" w:eastAsia="zh-CN" w:bidi="ar-SA"/>
              </w:rPr>
              <w:t>应</w:t>
            </w:r>
            <w:r>
              <w:rPr>
                <w:rFonts w:hint="eastAsia" w:ascii="Times New Roman" w:hAnsi="Times New Roman" w:eastAsia="宋体" w:cs="Times New Roman"/>
                <w:color w:val="auto"/>
                <w:kern w:val="0"/>
                <w:sz w:val="24"/>
                <w:szCs w:val="24"/>
                <w:lang w:val="en-US" w:eastAsia="zh-CN" w:bidi="ar-SA"/>
              </w:rPr>
              <w:t>落实以下</w:t>
            </w:r>
            <w:r>
              <w:rPr>
                <w:rFonts w:ascii="Times New Roman" w:hAnsi="Times New Roman" w:eastAsia="宋体" w:cs="Times New Roman"/>
                <w:color w:val="auto"/>
                <w:kern w:val="0"/>
                <w:sz w:val="24"/>
                <w:szCs w:val="24"/>
                <w:lang w:val="en-US" w:eastAsia="zh-CN" w:bidi="ar-SA"/>
              </w:rPr>
              <w:t>噪声污染防治措施，</w:t>
            </w:r>
            <w:r>
              <w:rPr>
                <w:rFonts w:hint="eastAsia" w:ascii="Times New Roman" w:hAnsi="Times New Roman" w:eastAsia="宋体" w:cs="Times New Roman"/>
                <w:color w:val="auto"/>
                <w:kern w:val="0"/>
                <w:sz w:val="24"/>
                <w:szCs w:val="24"/>
                <w:lang w:val="en-US" w:eastAsia="zh-CN" w:bidi="ar-SA"/>
              </w:rPr>
              <w:t>尽量</w:t>
            </w:r>
            <w:r>
              <w:rPr>
                <w:rFonts w:ascii="Times New Roman" w:hAnsi="Times New Roman" w:eastAsia="宋体" w:cs="Times New Roman"/>
                <w:color w:val="auto"/>
                <w:kern w:val="0"/>
                <w:sz w:val="24"/>
                <w:szCs w:val="24"/>
                <w:lang w:val="en-US" w:eastAsia="zh-CN" w:bidi="ar-SA"/>
              </w:rPr>
              <w:t>降低施工噪声对周边环境</w:t>
            </w:r>
            <w:r>
              <w:rPr>
                <w:rFonts w:hint="eastAsia" w:ascii="Times New Roman" w:hAnsi="Times New Roman" w:eastAsia="宋体" w:cs="Times New Roman"/>
                <w:color w:val="auto"/>
                <w:kern w:val="0"/>
                <w:sz w:val="24"/>
                <w:szCs w:val="24"/>
                <w:lang w:val="en-US" w:eastAsia="zh-CN" w:bidi="ar-SA"/>
              </w:rPr>
              <w:t>的</w:t>
            </w:r>
            <w:r>
              <w:rPr>
                <w:rFonts w:ascii="Times New Roman" w:hAnsi="Times New Roman" w:eastAsia="宋体" w:cs="Times New Roman"/>
                <w:color w:val="auto"/>
                <w:kern w:val="0"/>
                <w:sz w:val="24"/>
                <w:szCs w:val="24"/>
                <w:lang w:val="en-US" w:eastAsia="zh-CN" w:bidi="ar-SA"/>
              </w:rPr>
              <w:t>影响，具体措施</w:t>
            </w:r>
            <w:r>
              <w:rPr>
                <w:rFonts w:hint="eastAsia" w:cs="Times New Roman"/>
                <w:color w:val="auto"/>
                <w:kern w:val="0"/>
                <w:sz w:val="24"/>
                <w:szCs w:val="24"/>
                <w:highlight w:val="none"/>
                <w:lang w:val="en-US" w:eastAsia="zh-CN"/>
              </w:rPr>
              <w:t>如下：</w:t>
            </w:r>
          </w:p>
          <w:p w14:paraId="462D91AD">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①合理确定施工场界：划定施工场界时，应在满足施工要求的前提下，尽量使高噪声、作业周期长的施工机械或设备的作业点与厂界保持较远的距离，以减少施工噪声的影响；</w:t>
            </w:r>
          </w:p>
          <w:p w14:paraId="625793E8">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 xml:space="preserve">②采用低噪声机械，高噪声设备定期维修、养护，减少机械设备由于松动部件的振动等而增加其工作时的声级；对闲置不用的设备及时关闭； </w:t>
            </w:r>
          </w:p>
          <w:p w14:paraId="7E905D1E">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③</w:t>
            </w:r>
            <w:r>
              <w:rPr>
                <w:rFonts w:hint="eastAsia" w:cs="Times New Roman"/>
                <w:color w:val="auto"/>
                <w:kern w:val="0"/>
                <w:sz w:val="24"/>
                <w:szCs w:val="24"/>
                <w:highlight w:val="none"/>
                <w:lang w:val="en-US" w:eastAsia="zh-CN"/>
              </w:rPr>
              <w:t xml:space="preserve">按规定操作机械设备，在施工过程中减少碰撞噪声，在支架拆卸等过程中减少碰撞噪声，减轻人为噪声对声环境的影响； </w:t>
            </w:r>
          </w:p>
          <w:p w14:paraId="6A9A0216">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 xml:space="preserve">④物料进场选择在白天，装卸材料应做到轻拿轻放，做到文明施工；运输车辆进入施工现场严禁鸣笛，做到文明施工。 </w:t>
            </w:r>
          </w:p>
          <w:p w14:paraId="052A086E">
            <w:pPr>
              <w:pStyle w:val="62"/>
              <w:pageBreakBefore w:val="0"/>
              <w:numPr>
                <w:ilvl w:val="0"/>
                <w:numId w:val="0"/>
              </w:numPr>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施工期在落实以上防治措施后，施工噪声对周边环境的影响将得到有效低,且</w:t>
            </w:r>
            <w:r>
              <w:rPr>
                <w:rFonts w:hint="default" w:ascii="Times New Roman" w:hAnsi="Times New Roman" w:eastAsia="宋体" w:cs="Times New Roman"/>
                <w:color w:val="auto"/>
                <w:kern w:val="0"/>
                <w:sz w:val="24"/>
                <w:szCs w:val="24"/>
                <w:lang w:val="en-US" w:eastAsia="zh-CN" w:bidi="ar-SA"/>
              </w:rPr>
              <w:t>施工噪声影响随工程施工的结束而消失，不会造成长期环境影响，因此，本项目施工噪声对周边环境影响不大。</w:t>
            </w:r>
          </w:p>
          <w:p w14:paraId="3A778E81">
            <w:pPr>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（4）</w:t>
            </w:r>
            <w:r>
              <w:rPr>
                <w:rFonts w:ascii="Times New Roman" w:hAnsi="Times New Roman" w:eastAsia="宋体" w:cs="Times New Roman"/>
                <w:b w:val="0"/>
                <w:bCs w:val="0"/>
                <w:color w:val="auto"/>
                <w:sz w:val="24"/>
                <w:szCs w:val="24"/>
              </w:rPr>
              <w:t>施工固体废物处理处置</w:t>
            </w:r>
          </w:p>
          <w:p w14:paraId="43521DD0">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rPr>
              <w:t>本项目产生的固体废物主要为一般固废</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生活垃圾</w:t>
            </w:r>
            <w:r>
              <w:rPr>
                <w:rFonts w:hint="eastAsia" w:ascii="Times New Roman" w:hAnsi="Times New Roman" w:eastAsia="宋体" w:cs="Times New Roman"/>
                <w:b w:val="0"/>
                <w:bCs w:val="0"/>
                <w:color w:val="auto"/>
                <w:sz w:val="24"/>
                <w:szCs w:val="24"/>
                <w:lang w:eastAsia="zh-CN"/>
              </w:rPr>
              <w:t>和危险废物</w:t>
            </w:r>
            <w:r>
              <w:rPr>
                <w:rFonts w:hint="eastAsia" w:ascii="Times New Roman" w:hAnsi="Times New Roman" w:eastAsia="宋体" w:cs="Times New Roman"/>
                <w:b w:val="0"/>
                <w:bCs w:val="0"/>
                <w:color w:val="auto"/>
                <w:sz w:val="24"/>
                <w:szCs w:val="24"/>
              </w:rPr>
              <w:t>。</w:t>
            </w:r>
          </w:p>
          <w:p w14:paraId="44FEC414">
            <w:pPr>
              <w:spacing w:line="360" w:lineRule="auto"/>
              <w:ind w:firstLine="480" w:firstLineChars="200"/>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一般固废主要为钻井</w:t>
            </w:r>
            <w:r>
              <w:rPr>
                <w:rFonts w:hint="eastAsia" w:ascii="Times New Roman" w:hAnsi="Times New Roman" w:eastAsia="宋体" w:cs="Times New Roman"/>
                <w:b w:val="0"/>
                <w:bCs w:val="0"/>
                <w:color w:val="auto"/>
                <w:sz w:val="24"/>
                <w:szCs w:val="24"/>
                <w:lang w:eastAsia="zh-CN"/>
              </w:rPr>
              <w:t>岩屑与</w:t>
            </w:r>
            <w:r>
              <w:rPr>
                <w:rFonts w:hint="eastAsia" w:ascii="Times New Roman" w:hAnsi="Times New Roman" w:eastAsia="宋体" w:cs="Times New Roman"/>
                <w:b w:val="0"/>
                <w:bCs w:val="0"/>
                <w:color w:val="auto"/>
                <w:sz w:val="24"/>
                <w:szCs w:val="24"/>
              </w:rPr>
              <w:t>泥浆、废包装材料。</w:t>
            </w:r>
          </w:p>
          <w:p w14:paraId="3164C7E0">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①</w:t>
            </w:r>
            <w:r>
              <w:rPr>
                <w:rFonts w:hint="eastAsia" w:ascii="Times New Roman" w:hAnsi="Times New Roman" w:eastAsia="宋体" w:cs="Times New Roman"/>
                <w:b w:val="0"/>
                <w:bCs w:val="0"/>
                <w:color w:val="auto"/>
                <w:sz w:val="24"/>
                <w:szCs w:val="24"/>
              </w:rPr>
              <w:t>钻井岩屑</w:t>
            </w:r>
            <w:r>
              <w:rPr>
                <w:rFonts w:hint="eastAsia" w:ascii="Times New Roman" w:hAnsi="Times New Roman" w:eastAsia="宋体" w:cs="Times New Roman"/>
                <w:b w:val="0"/>
                <w:bCs w:val="0"/>
                <w:color w:val="auto"/>
                <w:sz w:val="24"/>
                <w:szCs w:val="24"/>
                <w:lang w:eastAsia="zh-CN"/>
              </w:rPr>
              <w:t>与泥浆</w:t>
            </w:r>
          </w:p>
          <w:p w14:paraId="06D0C271">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rPr>
              <w:t>钻井岩屑是在钻井过程中钻头切屑地层岩石而产生的碎屑，并通过钻井泥浆带出至地面，</w:t>
            </w:r>
            <w:r>
              <w:rPr>
                <w:rFonts w:hint="eastAsia" w:ascii="Times New Roman" w:hAnsi="Times New Roman" w:eastAsia="宋体" w:cs="Times New Roman"/>
                <w:b w:val="0"/>
                <w:bCs w:val="0"/>
                <w:color w:val="auto"/>
                <w:sz w:val="24"/>
                <w:szCs w:val="24"/>
                <w:lang w:eastAsia="zh-CN"/>
              </w:rPr>
              <w:t>钻井</w:t>
            </w:r>
            <w:r>
              <w:rPr>
                <w:rFonts w:hint="eastAsia" w:ascii="Times New Roman" w:hAnsi="Times New Roman" w:eastAsia="宋体" w:cs="Times New Roman"/>
                <w:b w:val="0"/>
                <w:bCs w:val="0"/>
                <w:color w:val="auto"/>
                <w:sz w:val="24"/>
                <w:szCs w:val="24"/>
                <w:highlight w:val="none"/>
                <w:lang w:eastAsia="zh-CN"/>
              </w:rPr>
              <w:t>泥浆出井口后固控系统</w:t>
            </w:r>
            <w:r>
              <w:rPr>
                <w:rFonts w:hint="eastAsia" w:ascii="Times New Roman" w:hAnsi="Times New Roman" w:eastAsia="宋体" w:cs="Times New Roman"/>
                <w:b w:val="0"/>
                <w:bCs w:val="0"/>
                <w:color w:val="auto"/>
                <w:sz w:val="24"/>
                <w:szCs w:val="24"/>
                <w:lang w:eastAsia="zh-CN"/>
              </w:rPr>
              <w:t>处理后循环利用，极少部分因性能不合格而会被废弃进入废浆池中。根据建设单位施工经验，本项目施工期间废泥浆产生量约</w:t>
            </w:r>
            <w:r>
              <w:rPr>
                <w:rFonts w:hint="eastAsia" w:ascii="Times New Roman" w:hAnsi="Times New Roman" w:eastAsia="宋体" w:cs="Times New Roman"/>
                <w:b w:val="0"/>
                <w:bCs w:val="0"/>
                <w:color w:val="auto"/>
                <w:sz w:val="24"/>
                <w:szCs w:val="24"/>
                <w:lang w:val="en-US" w:eastAsia="zh-CN"/>
              </w:rPr>
              <w:t>30m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，施工完成后加入固化剂固化后用于周边道路填筑或第三方公司综合利用。固控系统过滤出的岩屑产生量约100kg，暂存于场地砂池中，自然干化用于周边道路填筑</w:t>
            </w:r>
            <w:r>
              <w:rPr>
                <w:rFonts w:hint="eastAsia" w:ascii="Times New Roman" w:hAnsi="Times New Roman" w:eastAsia="宋体" w:cs="Times New Roman"/>
                <w:b w:val="0"/>
                <w:bCs w:val="0"/>
                <w:color w:val="auto"/>
                <w:kern w:val="0"/>
                <w:sz w:val="24"/>
                <w:szCs w:val="24"/>
                <w:highlight w:val="none"/>
                <w:lang w:val="en-US" w:eastAsia="zh-CN" w:bidi="ar-SA"/>
              </w:rPr>
              <w:t>。</w:t>
            </w:r>
          </w:p>
          <w:p w14:paraId="131B756D">
            <w:pPr>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eastAsia="zh-CN"/>
              </w:rPr>
              <w:t>②</w:t>
            </w:r>
            <w:r>
              <w:rPr>
                <w:rFonts w:hint="eastAsia" w:ascii="Times New Roman" w:hAnsi="Times New Roman" w:eastAsia="宋体" w:cs="Times New Roman"/>
                <w:b w:val="0"/>
                <w:bCs w:val="0"/>
                <w:color w:val="auto"/>
                <w:sz w:val="24"/>
                <w:szCs w:val="24"/>
              </w:rPr>
              <w:t>废包装材料</w:t>
            </w:r>
          </w:p>
          <w:p w14:paraId="4CE7E9FF">
            <w:pPr>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宋体" w:eastAsia="宋体" w:cs="Times New Roman"/>
                <w:b w:val="0"/>
                <w:bCs w:val="0"/>
                <w:color w:val="auto"/>
                <w:sz w:val="24"/>
              </w:rPr>
              <w:t>主要为原辅材料拆包</w:t>
            </w:r>
            <w:r>
              <w:rPr>
                <w:rFonts w:hint="eastAsia" w:ascii="Times New Roman" w:hAnsi="宋体" w:eastAsia="宋体" w:cs="Times New Roman"/>
                <w:b w:val="0"/>
                <w:bCs w:val="0"/>
                <w:color w:val="auto"/>
                <w:sz w:val="24"/>
                <w:lang w:eastAsia="zh-CN"/>
              </w:rPr>
              <w:t>后</w:t>
            </w:r>
            <w:r>
              <w:rPr>
                <w:rFonts w:hint="eastAsia" w:ascii="Times New Roman" w:hAnsi="宋体" w:eastAsia="宋体" w:cs="Times New Roman"/>
                <w:b w:val="0"/>
                <w:bCs w:val="0"/>
                <w:color w:val="auto"/>
                <w:sz w:val="24"/>
              </w:rPr>
              <w:t>产生的废包装袋，</w:t>
            </w:r>
            <w:r>
              <w:rPr>
                <w:rFonts w:hint="eastAsia" w:ascii="Times New Roman" w:hAnsi="宋体" w:eastAsia="宋体" w:cs="Times New Roman"/>
                <w:b w:val="0"/>
                <w:bCs w:val="0"/>
                <w:color w:val="auto"/>
                <w:sz w:val="24"/>
                <w:lang w:eastAsia="zh-CN"/>
              </w:rPr>
              <w:t>根据施工经验</w:t>
            </w:r>
            <w:r>
              <w:rPr>
                <w:rFonts w:hint="eastAsia" w:ascii="Times New Roman" w:hAnsi="宋体" w:eastAsia="宋体" w:cs="Times New Roman"/>
                <w:b w:val="0"/>
                <w:bCs w:val="0"/>
                <w:color w:val="auto"/>
                <w:sz w:val="24"/>
                <w:highlight w:val="none"/>
              </w:rPr>
              <w:t>，废包装袋的产生量约为</w:t>
            </w:r>
            <w:r>
              <w:rPr>
                <w:rFonts w:hint="eastAsia" w:ascii="Times New Roman" w:hAnsi="宋体" w:eastAsia="宋体" w:cs="Times New Roman"/>
                <w:b w:val="0"/>
                <w:bCs w:val="0"/>
                <w:color w:val="auto"/>
                <w:sz w:val="24"/>
                <w:highlight w:val="none"/>
                <w:lang w:val="en-US" w:eastAsia="zh-CN"/>
              </w:rPr>
              <w:t>5kg</w:t>
            </w:r>
            <w:r>
              <w:rPr>
                <w:rFonts w:hint="eastAsia" w:ascii="Times New Roman" w:hAnsi="宋体" w:eastAsia="宋体" w:cs="Times New Roman"/>
                <w:b w:val="0"/>
                <w:bCs w:val="0"/>
                <w:color w:val="auto"/>
                <w:sz w:val="24"/>
                <w:highlight w:val="none"/>
              </w:rPr>
              <w:t>，</w:t>
            </w:r>
            <w:r>
              <w:rPr>
                <w:rFonts w:hint="eastAsia" w:ascii="Times New Roman" w:hAnsi="Times New Roman" w:eastAsia="宋体" w:cs="Times New Roman"/>
                <w:b w:val="0"/>
                <w:bCs w:val="0"/>
                <w:color w:val="auto"/>
                <w:sz w:val="24"/>
                <w:szCs w:val="24"/>
                <w:highlight w:val="none"/>
              </w:rPr>
              <w:t>废包装</w:t>
            </w:r>
            <w:r>
              <w:rPr>
                <w:rFonts w:hint="eastAsia" w:ascii="Times New Roman" w:hAnsi="Times New Roman" w:eastAsia="宋体" w:cs="Times New Roman"/>
                <w:b w:val="0"/>
                <w:bCs w:val="0"/>
                <w:color w:val="auto"/>
                <w:sz w:val="24"/>
                <w:szCs w:val="24"/>
                <w:highlight w:val="none"/>
                <w:lang w:eastAsia="zh-CN"/>
              </w:rPr>
              <w:t>袋</w:t>
            </w:r>
            <w:r>
              <w:rPr>
                <w:rFonts w:hint="eastAsia" w:ascii="Times New Roman" w:hAnsi="宋体" w:eastAsia="宋体" w:cs="Times New Roman"/>
                <w:b w:val="0"/>
                <w:bCs w:val="0"/>
                <w:color w:val="auto"/>
                <w:sz w:val="24"/>
                <w:highlight w:val="none"/>
              </w:rPr>
              <w:t>拆包</w:t>
            </w:r>
            <w:r>
              <w:rPr>
                <w:rFonts w:hint="eastAsia" w:ascii="Times New Roman" w:hAnsi="宋体" w:eastAsia="宋体" w:cs="Times New Roman"/>
                <w:b w:val="0"/>
                <w:bCs w:val="0"/>
                <w:color w:val="auto"/>
                <w:sz w:val="24"/>
                <w:highlight w:val="none"/>
                <w:lang w:eastAsia="zh-CN"/>
              </w:rPr>
              <w:t>后即外售给综合利用人员，施工场地</w:t>
            </w:r>
            <w:r>
              <w:rPr>
                <w:rFonts w:hint="eastAsia" w:ascii="Times New Roman" w:hAnsi="宋体" w:eastAsia="宋体" w:cs="Times New Roman"/>
                <w:b w:val="0"/>
                <w:bCs w:val="0"/>
                <w:color w:val="auto"/>
                <w:sz w:val="24"/>
                <w:lang w:eastAsia="zh-CN"/>
              </w:rPr>
              <w:t>不存储</w:t>
            </w:r>
            <w:r>
              <w:rPr>
                <w:rFonts w:hint="eastAsia" w:ascii="Times New Roman" w:hAnsi="宋体" w:eastAsia="宋体" w:cs="Times New Roman"/>
                <w:b w:val="0"/>
                <w:bCs w:val="0"/>
                <w:color w:val="auto"/>
                <w:sz w:val="24"/>
              </w:rPr>
              <w:t>。</w:t>
            </w:r>
          </w:p>
          <w:p w14:paraId="21CC7A90">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③生活垃圾</w:t>
            </w:r>
          </w:p>
          <w:p w14:paraId="2A293348">
            <w:pPr>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本项目劳动定员</w:t>
            </w:r>
            <w:r>
              <w:rPr>
                <w:rFonts w:hint="eastAsia" w:ascii="Times New Roman" w:hAnsi="Times New Roman" w:eastAsia="宋体" w:cs="Times New Roman"/>
                <w:b w:val="0"/>
                <w:bCs w:val="0"/>
                <w:color w:val="auto"/>
                <w:sz w:val="24"/>
                <w:szCs w:val="24"/>
                <w:lang w:val="en-US" w:eastAsia="zh-CN"/>
              </w:rPr>
              <w:t>30</w:t>
            </w:r>
            <w:r>
              <w:rPr>
                <w:rFonts w:ascii="Times New Roman" w:hAnsi="Times New Roman" w:eastAsia="宋体" w:cs="Times New Roman"/>
                <w:b w:val="0"/>
                <w:bCs w:val="0"/>
                <w:color w:val="auto"/>
                <w:sz w:val="24"/>
                <w:szCs w:val="24"/>
              </w:rPr>
              <w:t>人，施工现场不设施工营地，生活垃圾按0.5kg/人</w:t>
            </w:r>
            <w:r>
              <w:rPr>
                <w:rFonts w:hint="eastAsia" w:ascii="Times New Roman" w:hAnsi="Times New Roman" w:eastAsia="宋体" w:cs="Times New Roman"/>
                <w:b w:val="0"/>
                <w:bCs w:val="0"/>
                <w:color w:val="auto"/>
                <w:sz w:val="24"/>
                <w:szCs w:val="24"/>
                <w:lang w:val="en-US" w:eastAsia="zh-CN"/>
              </w:rPr>
              <w:t>.</w:t>
            </w:r>
            <w:r>
              <w:rPr>
                <w:rFonts w:ascii="Times New Roman" w:hAnsi="Times New Roman" w:eastAsia="宋体" w:cs="Times New Roman"/>
                <w:b w:val="0"/>
                <w:bCs w:val="0"/>
                <w:color w:val="auto"/>
                <w:sz w:val="24"/>
                <w:szCs w:val="24"/>
              </w:rPr>
              <w:t>d计算，则生活垃圾的产生量为</w:t>
            </w:r>
            <w:r>
              <w:rPr>
                <w:rFonts w:hint="eastAsia" w:ascii="Times New Roman" w:hAnsi="Times New Roman" w:eastAsia="宋体" w:cs="Times New Roman"/>
                <w:b w:val="0"/>
                <w:bCs w:val="0"/>
                <w:color w:val="auto"/>
                <w:sz w:val="24"/>
                <w:szCs w:val="24"/>
                <w:lang w:val="en-US" w:eastAsia="zh-CN"/>
              </w:rPr>
              <w:t>15</w:t>
            </w:r>
            <w:r>
              <w:rPr>
                <w:rFonts w:ascii="Times New Roman" w:hAnsi="Times New Roman" w:eastAsia="宋体" w:cs="Times New Roman"/>
                <w:b w:val="0"/>
                <w:bCs w:val="0"/>
                <w:color w:val="auto"/>
                <w:sz w:val="24"/>
                <w:szCs w:val="24"/>
              </w:rPr>
              <w:t>kg/d。产生的生活垃圾</w:t>
            </w:r>
            <w:r>
              <w:rPr>
                <w:rFonts w:hint="eastAsia" w:ascii="Times New Roman" w:hAnsi="Times New Roman" w:eastAsia="宋体" w:cs="Times New Roman"/>
                <w:b w:val="0"/>
                <w:bCs w:val="0"/>
                <w:color w:val="auto"/>
                <w:sz w:val="24"/>
                <w:szCs w:val="24"/>
                <w:lang w:eastAsia="zh-CN"/>
              </w:rPr>
              <w:t>交由当地</w:t>
            </w:r>
            <w:r>
              <w:rPr>
                <w:rFonts w:ascii="Times New Roman" w:hAnsi="Times New Roman" w:eastAsia="宋体" w:cs="Times New Roman"/>
                <w:b w:val="0"/>
                <w:bCs w:val="0"/>
                <w:color w:val="auto"/>
                <w:sz w:val="24"/>
                <w:szCs w:val="24"/>
              </w:rPr>
              <w:t>环卫部门</w:t>
            </w:r>
            <w:r>
              <w:rPr>
                <w:rFonts w:hint="eastAsia" w:ascii="Times New Roman" w:hAnsi="Times New Roman" w:eastAsia="宋体" w:cs="Times New Roman"/>
                <w:b w:val="0"/>
                <w:bCs w:val="0"/>
                <w:color w:val="auto"/>
                <w:sz w:val="24"/>
                <w:szCs w:val="24"/>
              </w:rPr>
              <w:t>清运</w:t>
            </w:r>
            <w:r>
              <w:rPr>
                <w:rFonts w:ascii="Times New Roman" w:hAnsi="Times New Roman" w:eastAsia="宋体" w:cs="Times New Roman"/>
                <w:b w:val="0"/>
                <w:bCs w:val="0"/>
                <w:color w:val="auto"/>
                <w:sz w:val="24"/>
                <w:szCs w:val="24"/>
              </w:rPr>
              <w:t>。</w:t>
            </w:r>
          </w:p>
          <w:p w14:paraId="1F48890F">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④危险废物</w:t>
            </w:r>
          </w:p>
          <w:p w14:paraId="19AD85B1">
            <w:pPr>
              <w:pStyle w:val="25"/>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施工过程中机械润滑使用的润滑油定期需进行更换，更换周期因各设备的使用情况、油品质量、性质不同而有所差异，本项目润滑油更换周期约6个月一次，整个施工期废润滑油产生量约为</w:t>
            </w:r>
            <w:r>
              <w:rPr>
                <w:rFonts w:hint="eastAsia" w:ascii="Times New Roman" w:hAnsi="Times New Roman" w:eastAsia="宋体" w:cs="Times New Roman"/>
                <w:color w:val="auto"/>
                <w:kern w:val="0"/>
                <w:sz w:val="24"/>
                <w:szCs w:val="24"/>
                <w:highlight w:val="none"/>
                <w:lang w:val="en-US" w:eastAsia="zh-CN" w:bidi="ar"/>
              </w:rPr>
              <w:t>120L，</w:t>
            </w:r>
            <w:r>
              <w:rPr>
                <w:rFonts w:hint="eastAsia" w:ascii="Times New Roman" w:hAnsi="Times New Roman" w:eastAsia="宋体" w:cs="Times New Roman"/>
                <w:color w:val="auto"/>
                <w:kern w:val="0"/>
                <w:sz w:val="24"/>
                <w:szCs w:val="24"/>
                <w:lang w:val="en-US" w:eastAsia="zh-CN" w:bidi="ar"/>
              </w:rPr>
              <w:t>代码为900-214-08。废机油由专用桶收集，暂存于井场设置的危废暂存库内，危废暂存间采取防腐防渗等保护措施，暂存后定期交有资质的单位处置。</w:t>
            </w:r>
          </w:p>
          <w:p w14:paraId="1E7078DD">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eastAsia="zh-CN"/>
              </w:rPr>
              <w:t>项目施工过程中</w:t>
            </w:r>
            <w:r>
              <w:rPr>
                <w:rFonts w:hint="eastAsia" w:ascii="Times New Roman" w:hAnsi="Times New Roman" w:eastAsia="宋体" w:cs="Times New Roman"/>
                <w:b w:val="0"/>
                <w:bCs w:val="0"/>
                <w:color w:val="auto"/>
                <w:sz w:val="24"/>
                <w:szCs w:val="24"/>
              </w:rPr>
              <w:t>机械设备运转及维护过程中会产生</w:t>
            </w:r>
            <w:r>
              <w:rPr>
                <w:rFonts w:hint="eastAsia" w:ascii="Times New Roman" w:hAnsi="Times New Roman" w:eastAsia="宋体" w:cs="Times New Roman"/>
                <w:b w:val="0"/>
                <w:bCs w:val="0"/>
                <w:color w:val="auto"/>
                <w:sz w:val="24"/>
                <w:szCs w:val="24"/>
                <w:lang w:eastAsia="zh-CN"/>
              </w:rPr>
              <w:t>少量</w:t>
            </w:r>
            <w:r>
              <w:rPr>
                <w:rFonts w:hint="eastAsia" w:ascii="Times New Roman" w:hAnsi="Times New Roman" w:eastAsia="宋体" w:cs="Times New Roman"/>
                <w:b w:val="0"/>
                <w:bCs w:val="0"/>
                <w:color w:val="auto"/>
                <w:sz w:val="24"/>
                <w:szCs w:val="24"/>
              </w:rPr>
              <w:t>废含油抹布和废含油手套</w:t>
            </w:r>
            <w:r>
              <w:rPr>
                <w:rFonts w:hint="eastAsia" w:ascii="Times New Roman" w:hAnsi="Times New Roman" w:eastAsia="宋体" w:cs="Times New Roman"/>
                <w:b w:val="0"/>
                <w:bCs w:val="0"/>
                <w:color w:val="auto"/>
                <w:sz w:val="24"/>
                <w:szCs w:val="24"/>
                <w:lang w:eastAsia="zh-CN"/>
              </w:rPr>
              <w:t>，根据建设单位施工经验，本项目施工期废含油抹布和手套产生量约</w:t>
            </w:r>
            <w:r>
              <w:rPr>
                <w:rFonts w:hint="eastAsia" w:ascii="Times New Roman" w:hAnsi="Times New Roman" w:eastAsia="宋体" w:cs="Times New Roman"/>
                <w:b w:val="0"/>
                <w:bCs w:val="0"/>
                <w:color w:val="auto"/>
                <w:sz w:val="24"/>
                <w:szCs w:val="24"/>
                <w:lang w:val="en-US" w:eastAsia="zh-CN"/>
              </w:rPr>
              <w:t>5kg，</w:t>
            </w:r>
            <w:r>
              <w:rPr>
                <w:rFonts w:hint="eastAsia" w:ascii="Times New Roman" w:hAnsi="Times New Roman" w:eastAsia="宋体" w:cs="Times New Roman"/>
                <w:b w:val="0"/>
                <w:bCs w:val="0"/>
                <w:color w:val="auto"/>
                <w:sz w:val="24"/>
                <w:szCs w:val="24"/>
              </w:rPr>
              <w:t>分类后的废含油抹布和废含油手套属于危险废物，废物类别编号为HW49，废物代码为900-041-49，集中收集暂存于</w:t>
            </w:r>
            <w:r>
              <w:rPr>
                <w:rFonts w:hint="eastAsia" w:ascii="Times New Roman" w:hAnsi="Times New Roman" w:eastAsia="宋体" w:cs="Times New Roman"/>
                <w:b w:val="0"/>
                <w:bCs w:val="0"/>
                <w:color w:val="auto"/>
                <w:sz w:val="24"/>
                <w:szCs w:val="24"/>
                <w:lang w:eastAsia="zh-CN"/>
              </w:rPr>
              <w:t>施工场地设置的</w:t>
            </w:r>
            <w:r>
              <w:rPr>
                <w:rFonts w:hint="eastAsia" w:ascii="Times New Roman" w:hAnsi="Times New Roman" w:eastAsia="宋体" w:cs="Times New Roman"/>
                <w:b w:val="0"/>
                <w:bCs w:val="0"/>
                <w:color w:val="auto"/>
                <w:sz w:val="24"/>
                <w:szCs w:val="24"/>
              </w:rPr>
              <w:t>危险废物暂存间内</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定期交由有资质单位处置。</w:t>
            </w:r>
          </w:p>
          <w:p w14:paraId="0DF19CF3">
            <w:pPr>
              <w:widowControl/>
              <w:spacing w:line="360" w:lineRule="auto"/>
              <w:ind w:firstLine="480" w:firstLineChars="200"/>
              <w:jc w:val="left"/>
              <w:rPr>
                <w:rFonts w:hint="default" w:ascii="Times New Roman" w:hAnsi="Times New Roman" w:cs="Times New Roman"/>
                <w:b w:val="0"/>
                <w:bCs w:val="0"/>
                <w:color w:val="auto"/>
                <w:sz w:val="24"/>
                <w:szCs w:val="24"/>
              </w:rPr>
            </w:pPr>
            <w:r>
              <w:rPr>
                <w:rFonts w:hint="eastAsia" w:ascii="Times New Roman" w:hAnsi="Times New Roman" w:eastAsia="宋体" w:cs="Times New Roman"/>
                <w:b w:val="0"/>
                <w:bCs w:val="0"/>
                <w:color w:val="auto"/>
                <w:sz w:val="24"/>
                <w:szCs w:val="24"/>
              </w:rPr>
              <w:t>（5）</w:t>
            </w:r>
            <w:r>
              <w:rPr>
                <w:rFonts w:hint="default" w:ascii="Times New Roman" w:hAnsi="Times New Roman" w:cs="Times New Roman"/>
                <w:b w:val="0"/>
                <w:bCs w:val="0"/>
                <w:color w:val="auto"/>
                <w:kern w:val="0"/>
                <w:sz w:val="24"/>
                <w:szCs w:val="24"/>
                <w:lang w:bidi="ar"/>
              </w:rPr>
              <w:t>地下水</w:t>
            </w:r>
            <w:r>
              <w:rPr>
                <w:rFonts w:hint="eastAsia" w:ascii="Times New Roman" w:hAnsi="Times New Roman" w:cs="Times New Roman"/>
                <w:b w:val="0"/>
                <w:bCs w:val="0"/>
                <w:color w:val="auto"/>
                <w:kern w:val="0"/>
                <w:sz w:val="24"/>
                <w:szCs w:val="24"/>
                <w:lang w:eastAsia="zh-CN" w:bidi="ar"/>
              </w:rPr>
              <w:t>环境影响分析</w:t>
            </w:r>
            <w:r>
              <w:rPr>
                <w:rFonts w:hint="default" w:ascii="Times New Roman" w:hAnsi="Times New Roman" w:cs="Times New Roman"/>
                <w:b w:val="0"/>
                <w:bCs w:val="0"/>
                <w:color w:val="auto"/>
                <w:kern w:val="0"/>
                <w:sz w:val="24"/>
                <w:szCs w:val="24"/>
                <w:lang w:bidi="ar"/>
              </w:rPr>
              <w:t xml:space="preserve"> </w:t>
            </w:r>
          </w:p>
          <w:p w14:paraId="18731CE2">
            <w:pPr>
              <w:widowControl/>
              <w:spacing w:line="360" w:lineRule="auto"/>
              <w:ind w:firstLine="480" w:firstLineChars="200"/>
              <w:jc w:val="left"/>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kern w:val="0"/>
                <w:sz w:val="24"/>
                <w:szCs w:val="24"/>
              </w:rPr>
              <w:t>根据《环境影响评价技术导则地下水》（HJ610-2016)中附录A地下水环境影响评价分类表，</w:t>
            </w:r>
            <w:r>
              <w:rPr>
                <w:rFonts w:hint="default" w:ascii="Times New Roman" w:hAnsi="Times New Roman" w:cs="Times New Roman"/>
                <w:b w:val="0"/>
                <w:bCs w:val="0"/>
                <w:color w:val="auto"/>
                <w:sz w:val="24"/>
                <w:szCs w:val="24"/>
              </w:rPr>
              <w:t>将建设项目分为</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1 \* ROMAN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I</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2 \* ROMAN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II</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3 \* ROMAN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III</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4 \* ROMAN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IV</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类四类，</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1 \* ROMAN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I</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2 \* ROMAN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II</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3 \* ROMAN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III</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类建设项目的地下水环境影响评价应执行本标准，</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4 \* ROMAN \* MERGEFORMAT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IV</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类建设项目不开展地下水环境影响评价。</w:t>
            </w:r>
            <w:r>
              <w:rPr>
                <w:rFonts w:hint="default" w:ascii="Times New Roman" w:hAnsi="Times New Roman" w:cs="Times New Roman"/>
                <w:b w:val="0"/>
                <w:bCs w:val="0"/>
                <w:color w:val="auto"/>
                <w:kern w:val="0"/>
                <w:sz w:val="24"/>
                <w:szCs w:val="24"/>
              </w:rPr>
              <w:t>本项目为</w:t>
            </w:r>
            <w:r>
              <w:rPr>
                <w:rFonts w:hint="default" w:ascii="Times New Roman" w:hAnsi="Times New Roman" w:cs="Times New Roman"/>
                <w:b w:val="0"/>
                <w:bCs w:val="0"/>
                <w:color w:val="auto"/>
                <w:kern w:val="0"/>
                <w:sz w:val="24"/>
                <w:szCs w:val="24"/>
                <w:lang w:bidi="ar"/>
              </w:rPr>
              <w:t>陆地矿产资源地质勘察，属于地下水环境影响评价类别“C地质勘察--24、矿产资源地质勘</w:t>
            </w:r>
            <w:r>
              <w:rPr>
                <w:rFonts w:hint="eastAsia" w:cs="Times New Roman"/>
                <w:b w:val="0"/>
                <w:bCs w:val="0"/>
                <w:color w:val="auto"/>
                <w:kern w:val="0"/>
                <w:sz w:val="24"/>
                <w:szCs w:val="24"/>
                <w:lang w:eastAsia="zh-CN" w:bidi="ar"/>
              </w:rPr>
              <w:t>查</w:t>
            </w:r>
            <w:r>
              <w:rPr>
                <w:rFonts w:hint="default" w:ascii="Times New Roman" w:hAnsi="Times New Roman" w:cs="Times New Roman"/>
                <w:b w:val="0"/>
                <w:bCs w:val="0"/>
                <w:color w:val="auto"/>
                <w:kern w:val="0"/>
                <w:sz w:val="24"/>
                <w:szCs w:val="24"/>
                <w:lang w:bidi="ar"/>
              </w:rPr>
              <w:t>（包括勘探活动）”</w:t>
            </w:r>
            <w:r>
              <w:rPr>
                <w:rFonts w:hint="default" w:ascii="Times New Roman" w:hAnsi="Times New Roman" w:cs="Times New Roman"/>
                <w:b w:val="0"/>
                <w:bCs w:val="0"/>
                <w:color w:val="auto"/>
                <w:kern w:val="0"/>
                <w:sz w:val="24"/>
                <w:szCs w:val="24"/>
              </w:rPr>
              <w:t>属于Ⅳ类项目，本项目可不开展地下水环境影响评价。</w:t>
            </w:r>
            <w:r>
              <w:rPr>
                <w:rFonts w:hint="default" w:ascii="Times New Roman" w:hAnsi="Times New Roman" w:cs="Times New Roman"/>
                <w:b w:val="0"/>
                <w:bCs w:val="0"/>
                <w:color w:val="auto"/>
                <w:sz w:val="24"/>
                <w:szCs w:val="24"/>
              </w:rPr>
              <w:t>本次评价仅对地下水环境做简要分析。</w:t>
            </w:r>
          </w:p>
          <w:p w14:paraId="0C2DAC03">
            <w:pPr>
              <w:widowControl/>
              <w:spacing w:line="360" w:lineRule="auto"/>
              <w:ind w:firstLine="480" w:firstLineChars="200"/>
              <w:jc w:val="left"/>
              <w:rPr>
                <w:rFonts w:hint="eastAsia"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本项目</w:t>
            </w:r>
            <w:r>
              <w:rPr>
                <w:rFonts w:hint="eastAsia" w:ascii="Times New Roman" w:hAnsi="Times New Roman" w:cs="Times New Roman"/>
                <w:b w:val="0"/>
                <w:bCs w:val="0"/>
                <w:color w:val="auto"/>
                <w:kern w:val="0"/>
                <w:sz w:val="24"/>
                <w:szCs w:val="24"/>
              </w:rPr>
              <w:t>施工钻井过程中下入石油</w:t>
            </w:r>
            <w:r>
              <w:rPr>
                <w:rFonts w:hint="default" w:ascii="Times New Roman" w:hAnsi="Times New Roman" w:cs="Times New Roman"/>
                <w:b w:val="0"/>
                <w:bCs w:val="0"/>
                <w:color w:val="auto"/>
                <w:kern w:val="0"/>
                <w:sz w:val="24"/>
                <w:szCs w:val="24"/>
              </w:rPr>
              <w:t>套管，</w:t>
            </w:r>
            <w:r>
              <w:rPr>
                <w:rFonts w:hint="eastAsia" w:ascii="Times New Roman" w:hAnsi="Times New Roman" w:cs="Times New Roman"/>
                <w:b w:val="0"/>
                <w:bCs w:val="0"/>
                <w:color w:val="auto"/>
                <w:kern w:val="0"/>
                <w:sz w:val="24"/>
                <w:szCs w:val="24"/>
              </w:rPr>
              <w:t>并用水泥固结牢固</w:t>
            </w:r>
            <w:r>
              <w:rPr>
                <w:rFonts w:hint="eastAsia" w:ascii="Times New Roman" w:hAnsi="Times New Roman" w:cs="Times New Roman"/>
                <w:b w:val="0"/>
                <w:bCs w:val="0"/>
                <w:color w:val="auto"/>
                <w:kern w:val="0"/>
                <w:sz w:val="24"/>
                <w:szCs w:val="24"/>
                <w:lang w:eastAsia="zh-CN"/>
              </w:rPr>
              <w:t>，</w:t>
            </w:r>
            <w:r>
              <w:rPr>
                <w:rFonts w:hint="eastAsia" w:ascii="Times New Roman" w:hAnsi="Times New Roman" w:cs="Times New Roman"/>
                <w:b w:val="0"/>
                <w:bCs w:val="0"/>
                <w:color w:val="auto"/>
                <w:kern w:val="0"/>
                <w:sz w:val="24"/>
                <w:szCs w:val="24"/>
              </w:rPr>
              <w:t>隔离松散地层，可减少地下水涌出</w:t>
            </w:r>
            <w:r>
              <w:rPr>
                <w:rFonts w:hint="eastAsia" w:ascii="Times New Roman" w:hAnsi="Times New Roman" w:cs="Times New Roman"/>
                <w:b w:val="0"/>
                <w:bCs w:val="0"/>
                <w:color w:val="auto"/>
                <w:kern w:val="0"/>
                <w:sz w:val="24"/>
                <w:szCs w:val="24"/>
                <w:lang w:eastAsia="zh-CN"/>
              </w:rPr>
              <w:t>，</w:t>
            </w:r>
            <w:r>
              <w:rPr>
                <w:rFonts w:hint="eastAsia" w:ascii="Times New Roman" w:hAnsi="Times New Roman" w:cs="Times New Roman"/>
                <w:b w:val="0"/>
                <w:bCs w:val="0"/>
                <w:color w:val="auto"/>
                <w:kern w:val="0"/>
                <w:sz w:val="24"/>
                <w:szCs w:val="24"/>
              </w:rPr>
              <w:t>钻</w:t>
            </w:r>
            <w:r>
              <w:rPr>
                <w:rFonts w:hint="default" w:ascii="Times New Roman" w:hAnsi="Times New Roman" w:cs="Times New Roman"/>
                <w:b w:val="0"/>
                <w:bCs w:val="0"/>
                <w:color w:val="auto"/>
                <w:kern w:val="0"/>
                <w:sz w:val="24"/>
                <w:szCs w:val="24"/>
              </w:rPr>
              <w:t>孔</w:t>
            </w:r>
            <w:r>
              <w:rPr>
                <w:rFonts w:hint="eastAsia" w:ascii="Times New Roman" w:hAnsi="Times New Roman" w:cs="Times New Roman"/>
                <w:b w:val="0"/>
                <w:bCs w:val="0"/>
                <w:color w:val="auto"/>
                <w:kern w:val="0"/>
                <w:sz w:val="24"/>
                <w:szCs w:val="24"/>
              </w:rPr>
              <w:t>过程中</w:t>
            </w:r>
            <w:r>
              <w:rPr>
                <w:rFonts w:hint="default" w:ascii="Times New Roman" w:hAnsi="Times New Roman" w:cs="Times New Roman"/>
                <w:b w:val="0"/>
                <w:bCs w:val="0"/>
                <w:color w:val="auto"/>
                <w:kern w:val="0"/>
                <w:sz w:val="24"/>
                <w:szCs w:val="24"/>
              </w:rPr>
              <w:t>泥浆添加剂无毒，水泥质量符合国家</w:t>
            </w:r>
            <w:r>
              <w:rPr>
                <w:rFonts w:hint="eastAsia" w:ascii="Times New Roman" w:hAnsi="Times New Roman" w:cs="Times New Roman"/>
                <w:b w:val="0"/>
                <w:bCs w:val="0"/>
                <w:color w:val="auto"/>
                <w:kern w:val="0"/>
                <w:sz w:val="24"/>
                <w:szCs w:val="24"/>
              </w:rPr>
              <w:t>相关</w:t>
            </w:r>
            <w:r>
              <w:rPr>
                <w:rFonts w:hint="default" w:ascii="Times New Roman" w:hAnsi="Times New Roman" w:cs="Times New Roman"/>
                <w:b w:val="0"/>
                <w:bCs w:val="0"/>
                <w:color w:val="auto"/>
                <w:kern w:val="0"/>
                <w:sz w:val="24"/>
                <w:szCs w:val="24"/>
              </w:rPr>
              <w:t>标准</w:t>
            </w:r>
            <w:r>
              <w:rPr>
                <w:rFonts w:hint="eastAsia" w:ascii="Times New Roman" w:hAnsi="Times New Roman" w:cs="Times New Roman"/>
                <w:b w:val="0"/>
                <w:bCs w:val="0"/>
                <w:color w:val="auto"/>
                <w:kern w:val="0"/>
                <w:sz w:val="24"/>
                <w:szCs w:val="24"/>
              </w:rPr>
              <w:t>要求</w:t>
            </w:r>
            <w:r>
              <w:rPr>
                <w:rFonts w:hint="eastAsia" w:ascii="Times New Roman" w:hAnsi="Times New Roman" w:cs="Times New Roman"/>
                <w:b w:val="0"/>
                <w:bCs w:val="0"/>
                <w:color w:val="auto"/>
                <w:kern w:val="0"/>
                <w:sz w:val="24"/>
                <w:szCs w:val="24"/>
                <w:lang w:eastAsia="zh-CN"/>
              </w:rPr>
              <w:t>，项目施工可能会对地下水流向产生改变，但不会对</w:t>
            </w:r>
            <w:r>
              <w:rPr>
                <w:rFonts w:hint="eastAsia" w:ascii="Times New Roman" w:hAnsi="Times New Roman" w:cs="Times New Roman"/>
                <w:b w:val="0"/>
                <w:bCs w:val="0"/>
                <w:color w:val="auto"/>
                <w:kern w:val="0"/>
                <w:sz w:val="24"/>
                <w:szCs w:val="24"/>
              </w:rPr>
              <w:t>对地下水</w:t>
            </w:r>
            <w:r>
              <w:rPr>
                <w:rFonts w:hint="eastAsia" w:ascii="Times New Roman" w:hAnsi="Times New Roman" w:cs="Times New Roman"/>
                <w:b w:val="0"/>
                <w:bCs w:val="0"/>
                <w:color w:val="auto"/>
                <w:kern w:val="0"/>
                <w:sz w:val="24"/>
                <w:szCs w:val="24"/>
                <w:lang w:eastAsia="zh-CN"/>
              </w:rPr>
              <w:t>水量及</w:t>
            </w:r>
            <w:r>
              <w:rPr>
                <w:rFonts w:hint="eastAsia" w:ascii="Times New Roman" w:hAnsi="Times New Roman" w:cs="Times New Roman"/>
                <w:b w:val="0"/>
                <w:bCs w:val="0"/>
                <w:color w:val="auto"/>
                <w:kern w:val="0"/>
                <w:sz w:val="24"/>
                <w:szCs w:val="24"/>
              </w:rPr>
              <w:t>水质产生影响。</w:t>
            </w:r>
          </w:p>
          <w:p w14:paraId="1CA618D5">
            <w:pPr>
              <w:widowControl/>
              <w:spacing w:line="360" w:lineRule="auto"/>
              <w:ind w:firstLine="480" w:firstLineChars="200"/>
              <w:jc w:val="left"/>
              <w:rPr>
                <w:rFonts w:hint="eastAsia" w:ascii="Times New Roman" w:hAnsi="Times New Roman" w:eastAsia="宋体" w:cs="Times New Roman"/>
                <w:b w:val="0"/>
                <w:bCs w:val="0"/>
                <w:color w:val="auto"/>
                <w:kern w:val="0"/>
                <w:sz w:val="24"/>
                <w:szCs w:val="24"/>
                <w:lang w:bidi="ar"/>
              </w:rPr>
            </w:pPr>
            <w:r>
              <w:rPr>
                <w:rFonts w:hint="eastAsia" w:ascii="Times New Roman" w:hAnsi="Times New Roman" w:cs="Times New Roman"/>
                <w:b w:val="0"/>
                <w:bCs w:val="0"/>
                <w:color w:val="auto"/>
                <w:kern w:val="0"/>
                <w:sz w:val="24"/>
                <w:szCs w:val="24"/>
                <w:lang w:val="en-US" w:eastAsia="zh-CN" w:bidi="ar"/>
              </w:rPr>
              <w:t>7</w:t>
            </w:r>
            <w:r>
              <w:rPr>
                <w:rFonts w:hint="default" w:ascii="Times New Roman" w:hAnsi="Times New Roman"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bidi="ar"/>
              </w:rPr>
              <w:t>土壤</w:t>
            </w:r>
          </w:p>
          <w:p w14:paraId="150B7F5B">
            <w:pPr>
              <w:spacing w:line="360" w:lineRule="auto"/>
              <w:ind w:firstLine="480" w:firstLineChars="200"/>
              <w:rPr>
                <w:b w:val="0"/>
                <w:bCs w:val="0"/>
                <w:color w:val="auto"/>
                <w:sz w:val="24"/>
                <w:szCs w:val="24"/>
              </w:rPr>
            </w:pPr>
            <w:r>
              <w:rPr>
                <w:rFonts w:hint="eastAsia"/>
                <w:b w:val="0"/>
                <w:bCs w:val="0"/>
                <w:color w:val="auto"/>
                <w:sz w:val="24"/>
                <w:szCs w:val="24"/>
              </w:rPr>
              <w:t>①污染类型</w:t>
            </w:r>
          </w:p>
          <w:p w14:paraId="270FF992">
            <w:pPr>
              <w:spacing w:line="360" w:lineRule="auto"/>
              <w:ind w:firstLine="480" w:firstLineChars="200"/>
              <w:rPr>
                <w:b w:val="0"/>
                <w:bCs w:val="0"/>
                <w:color w:val="auto"/>
                <w:sz w:val="24"/>
                <w:szCs w:val="24"/>
              </w:rPr>
            </w:pPr>
            <w:r>
              <w:rPr>
                <w:rFonts w:hint="eastAsia"/>
                <w:b w:val="0"/>
                <w:bCs w:val="0"/>
                <w:color w:val="auto"/>
                <w:sz w:val="24"/>
                <w:szCs w:val="24"/>
              </w:rPr>
              <w:t>根据《环境影响评价技术导则土壤环境（试行）》（</w:t>
            </w:r>
            <w:r>
              <w:rPr>
                <w:b w:val="0"/>
                <w:bCs w:val="0"/>
                <w:color w:val="auto"/>
                <w:sz w:val="24"/>
                <w:szCs w:val="24"/>
              </w:rPr>
              <w:t>HJ</w:t>
            </w:r>
            <w:r>
              <w:rPr>
                <w:rFonts w:hint="eastAsia"/>
                <w:b w:val="0"/>
                <w:bCs w:val="0"/>
                <w:color w:val="auto"/>
                <w:sz w:val="24"/>
                <w:szCs w:val="24"/>
              </w:rPr>
              <w:t>964</w:t>
            </w:r>
            <w:r>
              <w:rPr>
                <w:b w:val="0"/>
                <w:bCs w:val="0"/>
                <w:color w:val="auto"/>
                <w:sz w:val="24"/>
                <w:szCs w:val="24"/>
              </w:rPr>
              <w:t>-201</w:t>
            </w:r>
            <w:r>
              <w:rPr>
                <w:rFonts w:hint="eastAsia"/>
                <w:b w:val="0"/>
                <w:bCs w:val="0"/>
                <w:color w:val="auto"/>
                <w:sz w:val="24"/>
                <w:szCs w:val="24"/>
              </w:rPr>
              <w:t>8）要求，土壤环境影响划分为污染影响型和生态影响型，本项目属于生态影响型建设项目。</w:t>
            </w:r>
          </w:p>
          <w:p w14:paraId="3AAA237C">
            <w:pPr>
              <w:spacing w:line="360" w:lineRule="auto"/>
              <w:ind w:firstLine="470" w:firstLineChars="196"/>
              <w:rPr>
                <w:b w:val="0"/>
                <w:bCs w:val="0"/>
                <w:color w:val="auto"/>
                <w:sz w:val="24"/>
                <w:szCs w:val="24"/>
              </w:rPr>
            </w:pPr>
            <w:r>
              <w:rPr>
                <w:rFonts w:hint="eastAsia"/>
                <w:b w:val="0"/>
                <w:bCs w:val="0"/>
                <w:color w:val="auto"/>
                <w:sz w:val="24"/>
                <w:szCs w:val="24"/>
              </w:rPr>
              <w:t>②行业分类</w:t>
            </w:r>
          </w:p>
          <w:p w14:paraId="415D9ED2">
            <w:pPr>
              <w:spacing w:line="360" w:lineRule="auto"/>
              <w:ind w:firstLine="470" w:firstLineChars="196"/>
              <w:rPr>
                <w:rFonts w:hint="eastAsia"/>
                <w:b w:val="0"/>
                <w:bCs w:val="0"/>
                <w:color w:val="auto"/>
                <w:sz w:val="24"/>
                <w:szCs w:val="24"/>
              </w:rPr>
            </w:pPr>
            <w:r>
              <w:rPr>
                <w:b w:val="0"/>
                <w:bCs w:val="0"/>
                <w:color w:val="auto"/>
                <w:sz w:val="24"/>
                <w:szCs w:val="24"/>
              </w:rPr>
              <w:t>根据《环境影响评价技术导则土壤环境（试行）》（HJ964-2018）附录A土壤环境影响评价项目类别分类表，结合建设项目行业特征、工艺特点或规模大小，将建设项目分为</w:t>
            </w:r>
            <w:r>
              <w:rPr>
                <w:b w:val="0"/>
                <w:bCs w:val="0"/>
                <w:color w:val="auto"/>
                <w:sz w:val="24"/>
                <w:szCs w:val="24"/>
              </w:rPr>
              <w:fldChar w:fldCharType="begin"/>
            </w:r>
            <w:r>
              <w:rPr>
                <w:b w:val="0"/>
                <w:bCs w:val="0"/>
                <w:color w:val="auto"/>
                <w:sz w:val="24"/>
                <w:szCs w:val="24"/>
              </w:rPr>
              <w:instrText xml:space="preserve"> = 1 \* ROMAN \* MERGEFORMAT </w:instrText>
            </w:r>
            <w:r>
              <w:rPr>
                <w:b w:val="0"/>
                <w:bCs w:val="0"/>
                <w:color w:val="auto"/>
                <w:sz w:val="24"/>
                <w:szCs w:val="24"/>
              </w:rPr>
              <w:fldChar w:fldCharType="separate"/>
            </w:r>
            <w:r>
              <w:rPr>
                <w:b w:val="0"/>
                <w:bCs w:val="0"/>
                <w:color w:val="auto"/>
                <w:sz w:val="24"/>
                <w:szCs w:val="24"/>
              </w:rPr>
              <w:t>I</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 2 \* ROMAN \* MERGEFORMAT </w:instrText>
            </w:r>
            <w:r>
              <w:rPr>
                <w:b w:val="0"/>
                <w:bCs w:val="0"/>
                <w:color w:val="auto"/>
                <w:sz w:val="24"/>
                <w:szCs w:val="24"/>
              </w:rPr>
              <w:fldChar w:fldCharType="separate"/>
            </w:r>
            <w:r>
              <w:rPr>
                <w:b w:val="0"/>
                <w:bCs w:val="0"/>
                <w:color w:val="auto"/>
                <w:sz w:val="24"/>
                <w:szCs w:val="24"/>
              </w:rPr>
              <w:t>II</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 3 \* ROMAN \* MERGEFORMAT </w:instrText>
            </w:r>
            <w:r>
              <w:rPr>
                <w:b w:val="0"/>
                <w:bCs w:val="0"/>
                <w:color w:val="auto"/>
                <w:sz w:val="24"/>
                <w:szCs w:val="24"/>
              </w:rPr>
              <w:fldChar w:fldCharType="separate"/>
            </w:r>
            <w:r>
              <w:rPr>
                <w:b w:val="0"/>
                <w:bCs w:val="0"/>
                <w:color w:val="auto"/>
                <w:sz w:val="24"/>
                <w:szCs w:val="24"/>
              </w:rPr>
              <w:t>III</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 4 \* ROMAN \* MERGEFORMAT </w:instrText>
            </w:r>
            <w:r>
              <w:rPr>
                <w:b w:val="0"/>
                <w:bCs w:val="0"/>
                <w:color w:val="auto"/>
                <w:sz w:val="24"/>
                <w:szCs w:val="24"/>
              </w:rPr>
              <w:fldChar w:fldCharType="separate"/>
            </w:r>
            <w:r>
              <w:rPr>
                <w:b w:val="0"/>
                <w:bCs w:val="0"/>
                <w:color w:val="auto"/>
                <w:sz w:val="24"/>
                <w:szCs w:val="24"/>
              </w:rPr>
              <w:t>IV</w:t>
            </w:r>
            <w:r>
              <w:rPr>
                <w:b w:val="0"/>
                <w:bCs w:val="0"/>
                <w:color w:val="auto"/>
                <w:sz w:val="24"/>
                <w:szCs w:val="24"/>
              </w:rPr>
              <w:fldChar w:fldCharType="end"/>
            </w:r>
            <w:r>
              <w:rPr>
                <w:b w:val="0"/>
                <w:bCs w:val="0"/>
                <w:color w:val="auto"/>
                <w:sz w:val="24"/>
                <w:szCs w:val="24"/>
              </w:rPr>
              <w:t>类四类，</w:t>
            </w:r>
            <w:r>
              <w:rPr>
                <w:b w:val="0"/>
                <w:bCs w:val="0"/>
                <w:color w:val="auto"/>
                <w:sz w:val="24"/>
                <w:szCs w:val="24"/>
              </w:rPr>
              <w:fldChar w:fldCharType="begin"/>
            </w:r>
            <w:r>
              <w:rPr>
                <w:b w:val="0"/>
                <w:bCs w:val="0"/>
                <w:color w:val="auto"/>
                <w:sz w:val="24"/>
                <w:szCs w:val="24"/>
              </w:rPr>
              <w:instrText xml:space="preserve"> = 1 \* ROMAN \* MERGEFORMAT </w:instrText>
            </w:r>
            <w:r>
              <w:rPr>
                <w:b w:val="0"/>
                <w:bCs w:val="0"/>
                <w:color w:val="auto"/>
                <w:sz w:val="24"/>
                <w:szCs w:val="24"/>
              </w:rPr>
              <w:fldChar w:fldCharType="separate"/>
            </w:r>
            <w:r>
              <w:rPr>
                <w:b w:val="0"/>
                <w:bCs w:val="0"/>
                <w:color w:val="auto"/>
                <w:sz w:val="24"/>
                <w:szCs w:val="24"/>
              </w:rPr>
              <w:t>I</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 2 \* ROMAN \* MERGEFORMAT </w:instrText>
            </w:r>
            <w:r>
              <w:rPr>
                <w:b w:val="0"/>
                <w:bCs w:val="0"/>
                <w:color w:val="auto"/>
                <w:sz w:val="24"/>
                <w:szCs w:val="24"/>
              </w:rPr>
              <w:fldChar w:fldCharType="separate"/>
            </w:r>
            <w:r>
              <w:rPr>
                <w:b w:val="0"/>
                <w:bCs w:val="0"/>
                <w:color w:val="auto"/>
                <w:sz w:val="24"/>
                <w:szCs w:val="24"/>
              </w:rPr>
              <w:t>II</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 3 \* ROMAN \* MERGEFORMAT </w:instrText>
            </w:r>
            <w:r>
              <w:rPr>
                <w:b w:val="0"/>
                <w:bCs w:val="0"/>
                <w:color w:val="auto"/>
                <w:sz w:val="24"/>
                <w:szCs w:val="24"/>
              </w:rPr>
              <w:fldChar w:fldCharType="separate"/>
            </w:r>
            <w:r>
              <w:rPr>
                <w:b w:val="0"/>
                <w:bCs w:val="0"/>
                <w:color w:val="auto"/>
                <w:sz w:val="24"/>
                <w:szCs w:val="24"/>
              </w:rPr>
              <w:t>III</w:t>
            </w:r>
            <w:r>
              <w:rPr>
                <w:b w:val="0"/>
                <w:bCs w:val="0"/>
                <w:color w:val="auto"/>
                <w:sz w:val="24"/>
                <w:szCs w:val="24"/>
              </w:rPr>
              <w:fldChar w:fldCharType="end"/>
            </w:r>
            <w:r>
              <w:rPr>
                <w:b w:val="0"/>
                <w:bCs w:val="0"/>
                <w:color w:val="auto"/>
                <w:sz w:val="24"/>
                <w:szCs w:val="24"/>
              </w:rPr>
              <w:t>类</w:t>
            </w:r>
            <w:r>
              <w:rPr>
                <w:rFonts w:hint="eastAsia"/>
                <w:b w:val="0"/>
                <w:bCs w:val="0"/>
                <w:color w:val="auto"/>
                <w:sz w:val="24"/>
                <w:szCs w:val="24"/>
              </w:rPr>
              <w:t>建设项目的土壤环境影响评价应执行本标准，</w:t>
            </w:r>
            <w:r>
              <w:rPr>
                <w:b w:val="0"/>
                <w:bCs w:val="0"/>
                <w:color w:val="auto"/>
                <w:sz w:val="24"/>
                <w:szCs w:val="24"/>
              </w:rPr>
              <w:fldChar w:fldCharType="begin"/>
            </w:r>
            <w:r>
              <w:rPr>
                <w:b w:val="0"/>
                <w:bCs w:val="0"/>
                <w:color w:val="auto"/>
                <w:sz w:val="24"/>
                <w:szCs w:val="24"/>
              </w:rPr>
              <w:instrText xml:space="preserve"> = 4 \* ROMAN \* MERGEFORMAT </w:instrText>
            </w:r>
            <w:r>
              <w:rPr>
                <w:b w:val="0"/>
                <w:bCs w:val="0"/>
                <w:color w:val="auto"/>
                <w:sz w:val="24"/>
                <w:szCs w:val="24"/>
              </w:rPr>
              <w:fldChar w:fldCharType="separate"/>
            </w:r>
            <w:r>
              <w:rPr>
                <w:b w:val="0"/>
                <w:bCs w:val="0"/>
                <w:color w:val="auto"/>
                <w:sz w:val="24"/>
                <w:szCs w:val="24"/>
              </w:rPr>
              <w:t>IV</w:t>
            </w:r>
            <w:r>
              <w:rPr>
                <w:b w:val="0"/>
                <w:bCs w:val="0"/>
                <w:color w:val="auto"/>
                <w:sz w:val="24"/>
                <w:szCs w:val="24"/>
              </w:rPr>
              <w:fldChar w:fldCharType="end"/>
            </w:r>
            <w:r>
              <w:rPr>
                <w:rFonts w:hint="eastAsia"/>
                <w:b w:val="0"/>
                <w:bCs w:val="0"/>
                <w:color w:val="auto"/>
                <w:sz w:val="24"/>
                <w:szCs w:val="24"/>
              </w:rPr>
              <w:t>类建设项目不开展土壤环境影响评价。</w:t>
            </w:r>
            <w:r>
              <w:rPr>
                <w:b w:val="0"/>
                <w:bCs w:val="0"/>
                <w:color w:val="auto"/>
                <w:kern w:val="0"/>
                <w:sz w:val="24"/>
                <w:szCs w:val="24"/>
              </w:rPr>
              <w:t>本项目</w:t>
            </w:r>
            <w:r>
              <w:rPr>
                <w:rFonts w:hint="eastAsia"/>
                <w:b w:val="0"/>
                <w:bCs w:val="0"/>
                <w:color w:val="auto"/>
                <w:kern w:val="0"/>
                <w:sz w:val="24"/>
                <w:szCs w:val="24"/>
              </w:rPr>
              <w:t>为陆地矿产资源地质勘察，</w:t>
            </w:r>
            <w:r>
              <w:rPr>
                <w:b w:val="0"/>
                <w:bCs w:val="0"/>
                <w:color w:val="auto"/>
                <w:kern w:val="0"/>
                <w:sz w:val="24"/>
                <w:szCs w:val="24"/>
              </w:rPr>
              <w:t>属于土壤环境影响评价类别</w:t>
            </w:r>
            <w:r>
              <w:rPr>
                <w:rFonts w:hint="eastAsia"/>
                <w:b w:val="0"/>
                <w:bCs w:val="0"/>
                <w:color w:val="auto"/>
                <w:kern w:val="0"/>
                <w:sz w:val="24"/>
                <w:szCs w:val="24"/>
              </w:rPr>
              <w:t>“其他行业”，</w:t>
            </w:r>
            <w:r>
              <w:rPr>
                <w:b w:val="0"/>
                <w:bCs w:val="0"/>
                <w:color w:val="auto"/>
                <w:kern w:val="0"/>
                <w:sz w:val="24"/>
                <w:szCs w:val="24"/>
              </w:rPr>
              <w:t>属于</w:t>
            </w:r>
            <w:r>
              <w:rPr>
                <w:b w:val="0"/>
                <w:bCs w:val="0"/>
                <w:color w:val="auto"/>
                <w:sz w:val="24"/>
                <w:szCs w:val="24"/>
              </w:rPr>
              <w:fldChar w:fldCharType="begin"/>
            </w:r>
            <w:r>
              <w:rPr>
                <w:b w:val="0"/>
                <w:bCs w:val="0"/>
                <w:color w:val="auto"/>
                <w:sz w:val="24"/>
                <w:szCs w:val="24"/>
              </w:rPr>
              <w:instrText xml:space="preserve"> = 4 \* ROMAN \* MERGEFORMAT </w:instrText>
            </w:r>
            <w:r>
              <w:rPr>
                <w:b w:val="0"/>
                <w:bCs w:val="0"/>
                <w:color w:val="auto"/>
                <w:sz w:val="24"/>
                <w:szCs w:val="24"/>
              </w:rPr>
              <w:fldChar w:fldCharType="separate"/>
            </w:r>
            <w:r>
              <w:rPr>
                <w:b w:val="0"/>
                <w:bCs w:val="0"/>
                <w:color w:val="auto"/>
                <w:sz w:val="24"/>
                <w:szCs w:val="24"/>
              </w:rPr>
              <w:t>IV</w:t>
            </w:r>
            <w:r>
              <w:rPr>
                <w:b w:val="0"/>
                <w:bCs w:val="0"/>
                <w:color w:val="auto"/>
                <w:sz w:val="24"/>
                <w:szCs w:val="24"/>
              </w:rPr>
              <w:fldChar w:fldCharType="end"/>
            </w:r>
            <w:r>
              <w:rPr>
                <w:b w:val="0"/>
                <w:bCs w:val="0"/>
                <w:color w:val="auto"/>
                <w:kern w:val="0"/>
                <w:sz w:val="24"/>
                <w:szCs w:val="24"/>
              </w:rPr>
              <w:t>类项目</w:t>
            </w:r>
            <w:r>
              <w:rPr>
                <w:rFonts w:hint="eastAsia"/>
                <w:b w:val="0"/>
                <w:bCs w:val="0"/>
                <w:color w:val="auto"/>
                <w:sz w:val="24"/>
                <w:szCs w:val="24"/>
              </w:rPr>
              <w:t>，因此本项目不开展土壤环境影响评价，只进行简单分析。</w:t>
            </w:r>
          </w:p>
          <w:p w14:paraId="42E343EA">
            <w:pPr>
              <w:spacing w:line="360" w:lineRule="auto"/>
              <w:ind w:firstLine="470" w:firstLineChars="196"/>
              <w:rPr>
                <w:rFonts w:hint="eastAsia"/>
                <w:b w:val="0"/>
                <w:bCs w:val="0"/>
                <w:color w:val="auto"/>
                <w:sz w:val="24"/>
                <w:szCs w:val="24"/>
              </w:rPr>
            </w:pPr>
            <w:r>
              <w:rPr>
                <w:rFonts w:hint="eastAsia"/>
                <w:b w:val="0"/>
                <w:bCs w:val="0"/>
                <w:color w:val="auto"/>
                <w:sz w:val="24"/>
                <w:szCs w:val="24"/>
              </w:rPr>
              <w:t>本项目钻井过程中使用钻孔泥浆添加剂均</w:t>
            </w:r>
            <w:r>
              <w:rPr>
                <w:rFonts w:hint="eastAsia"/>
                <w:b w:val="0"/>
                <w:bCs w:val="0"/>
                <w:color w:val="auto"/>
                <w:sz w:val="24"/>
                <w:szCs w:val="24"/>
                <w:lang w:eastAsia="zh-CN"/>
              </w:rPr>
              <w:t>不含</w:t>
            </w:r>
            <w:r>
              <w:rPr>
                <w:rFonts w:hint="eastAsia"/>
                <w:b w:val="0"/>
                <w:bCs w:val="0"/>
                <w:color w:val="auto"/>
                <w:sz w:val="24"/>
                <w:szCs w:val="24"/>
              </w:rPr>
              <w:t>有毒有害成分，且用量少，</w:t>
            </w:r>
            <w:r>
              <w:rPr>
                <w:rFonts w:hint="eastAsia"/>
                <w:b w:val="0"/>
                <w:bCs w:val="0"/>
                <w:color w:val="auto"/>
                <w:sz w:val="24"/>
                <w:szCs w:val="24"/>
                <w:lang w:eastAsia="zh-CN"/>
              </w:rPr>
              <w:t>固井</w:t>
            </w:r>
            <w:r>
              <w:rPr>
                <w:rFonts w:hint="eastAsia"/>
                <w:b w:val="0"/>
                <w:bCs w:val="0"/>
                <w:color w:val="auto"/>
                <w:sz w:val="24"/>
                <w:szCs w:val="24"/>
              </w:rPr>
              <w:t>用水泥为普通/复合硅酸盐水泥，质量符合国家标准</w:t>
            </w:r>
            <w:r>
              <w:rPr>
                <w:rFonts w:hint="eastAsia"/>
                <w:b w:val="0"/>
                <w:bCs w:val="0"/>
                <w:color w:val="auto"/>
                <w:sz w:val="24"/>
                <w:szCs w:val="24"/>
                <w:lang w:eastAsia="zh-CN"/>
              </w:rPr>
              <w:t>，钻井过程中对</w:t>
            </w:r>
            <w:r>
              <w:rPr>
                <w:rFonts w:hint="eastAsia"/>
                <w:b w:val="0"/>
                <w:bCs w:val="0"/>
                <w:color w:val="auto"/>
                <w:sz w:val="24"/>
                <w:szCs w:val="24"/>
              </w:rPr>
              <w:t>土壤环境影响很小。</w:t>
            </w:r>
          </w:p>
          <w:p w14:paraId="2D8B01B1">
            <w:pPr>
              <w:spacing w:line="360" w:lineRule="auto"/>
              <w:ind w:firstLine="480" w:firstLineChars="200"/>
              <w:rPr>
                <w:rFonts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kern w:val="0"/>
                <w:sz w:val="24"/>
                <w:szCs w:val="24"/>
              </w:rPr>
              <w:t>（7）</w:t>
            </w:r>
            <w:r>
              <w:rPr>
                <w:rFonts w:ascii="Times New Roman" w:hAnsi="Times New Roman" w:eastAsia="宋体" w:cs="Times New Roman"/>
                <w:b w:val="0"/>
                <w:bCs w:val="0"/>
                <w:color w:val="auto"/>
                <w:sz w:val="24"/>
                <w:szCs w:val="24"/>
              </w:rPr>
              <w:t>环境风险分析</w:t>
            </w:r>
          </w:p>
          <w:p w14:paraId="0F139368">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①风险调查</w:t>
            </w:r>
          </w:p>
          <w:p w14:paraId="2FB8F816">
            <w:pPr>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7E4CB756">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rPr>
              <w:t>拟建项目使用的原辅材料主要为</w:t>
            </w:r>
            <w:r>
              <w:rPr>
                <w:rFonts w:hint="eastAsia" w:ascii="Times New Roman" w:hAnsi="Times New Roman" w:eastAsia="宋体" w:cs="Times New Roman"/>
                <w:b w:val="0"/>
                <w:bCs w:val="0"/>
                <w:color w:val="auto"/>
                <w:sz w:val="24"/>
                <w:szCs w:val="24"/>
                <w:lang w:eastAsia="zh-CN"/>
              </w:rPr>
              <w:t>粘土、水泥</w:t>
            </w:r>
            <w:r>
              <w:rPr>
                <w:rFonts w:hint="eastAsia" w:ascii="Times New Roman" w:hAnsi="Times New Roman" w:eastAsia="宋体" w:cs="Times New Roman"/>
                <w:b w:val="0"/>
                <w:bCs w:val="0"/>
                <w:color w:val="auto"/>
                <w:sz w:val="24"/>
                <w:szCs w:val="24"/>
              </w:rPr>
              <w:t>、纤维素、腐殖酸</w:t>
            </w:r>
            <w:r>
              <w:rPr>
                <w:rFonts w:hint="eastAsia" w:ascii="Times New Roman" w:hAnsi="Times New Roman" w:eastAsia="宋体" w:cs="Times New Roman"/>
                <w:b w:val="0"/>
                <w:bCs w:val="0"/>
                <w:color w:val="auto"/>
                <w:sz w:val="24"/>
                <w:szCs w:val="24"/>
                <w:lang w:eastAsia="zh-CN"/>
              </w:rPr>
              <w:t>等，项目涉及的环境风险物质为设备维修产生的废润滑油及桶，其储存情况见下表</w:t>
            </w:r>
          </w:p>
          <w:p w14:paraId="0071F66C">
            <w:pPr>
              <w:pStyle w:val="97"/>
              <w:numPr>
                <w:ilvl w:val="1"/>
                <w:numId w:val="2"/>
              </w:numPr>
              <w:tabs>
                <w:tab w:val="left" w:pos="2100"/>
                <w:tab w:val="clear" w:pos="1440"/>
              </w:tabs>
              <w:spacing w:line="240" w:lineRule="auto"/>
              <w:ind w:left="3300" w:leftChars="0" w:hanging="1620" w:firstLineChars="0"/>
              <w:jc w:val="both"/>
              <w:rPr>
                <w:rFonts w:hint="eastAsia" w:ascii="宋体" w:hAnsi="宋体" w:eastAsia="宋体" w:cs="宋体"/>
                <w:b w:val="0"/>
                <w:bCs w:val="0"/>
                <w:color w:val="auto"/>
                <w:kern w:val="0"/>
                <w:sz w:val="24"/>
              </w:rPr>
            </w:pPr>
            <w:r>
              <w:rPr>
                <w:rFonts w:hint="eastAsia" w:ascii="宋体" w:hAnsi="宋体" w:eastAsia="宋体" w:cs="宋体"/>
                <w:b w:val="0"/>
                <w:bCs w:val="0"/>
                <w:color w:val="auto"/>
                <w:kern w:val="0"/>
                <w:sz w:val="24"/>
              </w:rPr>
              <w:t>项目</w:t>
            </w:r>
            <w:r>
              <w:rPr>
                <w:rFonts w:hint="eastAsia" w:ascii="宋体" w:hAnsi="宋体" w:eastAsia="宋体" w:cs="宋体"/>
                <w:b w:val="0"/>
                <w:bCs w:val="0"/>
                <w:color w:val="auto"/>
                <w:kern w:val="0"/>
                <w:sz w:val="24"/>
                <w:lang w:eastAsia="zh-CN"/>
              </w:rPr>
              <w:t>风险</w:t>
            </w:r>
            <w:r>
              <w:rPr>
                <w:rFonts w:hint="eastAsia" w:ascii="宋体" w:hAnsi="宋体" w:eastAsia="宋体" w:cs="宋体"/>
                <w:b w:val="0"/>
                <w:bCs w:val="0"/>
                <w:color w:val="auto"/>
                <w:kern w:val="0"/>
                <w:sz w:val="24"/>
              </w:rPr>
              <w:t>物质数量及分布情况一览表</w:t>
            </w:r>
          </w:p>
          <w:tbl>
            <w:tblPr>
              <w:tblStyle w:val="26"/>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96"/>
              <w:gridCol w:w="793"/>
              <w:gridCol w:w="1116"/>
              <w:gridCol w:w="1059"/>
              <w:gridCol w:w="1548"/>
              <w:gridCol w:w="1170"/>
              <w:gridCol w:w="966"/>
              <w:gridCol w:w="991"/>
            </w:tblGrid>
            <w:tr w14:paraId="12C7C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04" w:type="pct"/>
                  <w:vAlign w:val="center"/>
                </w:tcPr>
                <w:p w14:paraId="01DF48A1">
                  <w:pPr>
                    <w:autoSpaceDE w:val="0"/>
                    <w:autoSpaceDN w:val="0"/>
                    <w:spacing w:line="276" w:lineRule="auto"/>
                    <w:jc w:val="center"/>
                    <w:rPr>
                      <w:rFonts w:ascii="Times New Roman" w:hAnsi="Times New Roman" w:eastAsia="宋体" w:cs="Times New Roman"/>
                      <w:b w:val="0"/>
                      <w:bCs w:val="0"/>
                      <w:color w:val="auto"/>
                      <w:kern w:val="0"/>
                      <w:szCs w:val="21"/>
                    </w:rPr>
                  </w:pPr>
                  <w:r>
                    <w:rPr>
                      <w:rFonts w:ascii="Times New Roman" w:hAnsi="Times New Roman" w:eastAsia="宋体" w:cs="Times New Roman"/>
                      <w:b w:val="0"/>
                      <w:bCs w:val="0"/>
                      <w:color w:val="auto"/>
                      <w:kern w:val="0"/>
                      <w:szCs w:val="21"/>
                    </w:rPr>
                    <w:t>序号</w:t>
                  </w:r>
                </w:p>
              </w:tc>
              <w:tc>
                <w:tcPr>
                  <w:tcW w:w="487" w:type="pct"/>
                  <w:vAlign w:val="center"/>
                </w:tcPr>
                <w:p w14:paraId="1A1501EA">
                  <w:pPr>
                    <w:autoSpaceDE w:val="0"/>
                    <w:autoSpaceDN w:val="0"/>
                    <w:spacing w:line="276" w:lineRule="auto"/>
                    <w:jc w:val="center"/>
                    <w:rPr>
                      <w:rFonts w:ascii="Times New Roman" w:hAnsi="Times New Roman" w:eastAsia="宋体" w:cs="Times New Roman"/>
                      <w:b w:val="0"/>
                      <w:bCs w:val="0"/>
                      <w:color w:val="auto"/>
                      <w:kern w:val="0"/>
                      <w:szCs w:val="21"/>
                    </w:rPr>
                  </w:pPr>
                  <w:r>
                    <w:rPr>
                      <w:rFonts w:ascii="Times New Roman" w:hAnsi="Times New Roman" w:eastAsia="宋体" w:cs="Times New Roman"/>
                      <w:b w:val="0"/>
                      <w:bCs w:val="0"/>
                      <w:color w:val="auto"/>
                      <w:kern w:val="0"/>
                      <w:szCs w:val="21"/>
                    </w:rPr>
                    <w:t>风险物质</w:t>
                  </w:r>
                </w:p>
              </w:tc>
              <w:tc>
                <w:tcPr>
                  <w:tcW w:w="685" w:type="pct"/>
                  <w:vAlign w:val="center"/>
                </w:tcPr>
                <w:p w14:paraId="34B4671D">
                  <w:pPr>
                    <w:autoSpaceDE w:val="0"/>
                    <w:autoSpaceDN w:val="0"/>
                    <w:spacing w:line="276" w:lineRule="auto"/>
                    <w:jc w:val="center"/>
                    <w:rPr>
                      <w:rFonts w:ascii="Times New Roman" w:hAnsi="Times New Roman" w:eastAsia="宋体" w:cs="Times New Roman"/>
                      <w:b w:val="0"/>
                      <w:bCs w:val="0"/>
                      <w:color w:val="auto"/>
                      <w:kern w:val="0"/>
                      <w:szCs w:val="21"/>
                    </w:rPr>
                  </w:pPr>
                  <w:r>
                    <w:rPr>
                      <w:rFonts w:ascii="Times New Roman" w:hAnsi="Times New Roman" w:eastAsia="宋体" w:cs="Times New Roman"/>
                      <w:b w:val="0"/>
                      <w:bCs w:val="0"/>
                      <w:color w:val="auto"/>
                      <w:kern w:val="0"/>
                      <w:szCs w:val="21"/>
                    </w:rPr>
                    <w:t>储存位置</w:t>
                  </w:r>
                </w:p>
              </w:tc>
              <w:tc>
                <w:tcPr>
                  <w:tcW w:w="650" w:type="pct"/>
                  <w:vAlign w:val="center"/>
                </w:tcPr>
                <w:p w14:paraId="32A58D8E">
                  <w:pPr>
                    <w:autoSpaceDE w:val="0"/>
                    <w:autoSpaceDN w:val="0"/>
                    <w:spacing w:line="276" w:lineRule="auto"/>
                    <w:jc w:val="center"/>
                    <w:rPr>
                      <w:rFonts w:ascii="Times New Roman" w:hAnsi="Times New Roman" w:eastAsia="宋体" w:cs="Times New Roman"/>
                      <w:b w:val="0"/>
                      <w:bCs w:val="0"/>
                      <w:color w:val="auto"/>
                      <w:kern w:val="0"/>
                      <w:szCs w:val="21"/>
                    </w:rPr>
                  </w:pPr>
                  <w:r>
                    <w:rPr>
                      <w:rFonts w:ascii="Times New Roman" w:hAnsi="Times New Roman" w:eastAsia="宋体" w:cs="Times New Roman"/>
                      <w:b w:val="0"/>
                      <w:bCs w:val="0"/>
                      <w:color w:val="auto"/>
                      <w:kern w:val="0"/>
                      <w:szCs w:val="21"/>
                    </w:rPr>
                    <w:t>主要成分</w:t>
                  </w:r>
                </w:p>
              </w:tc>
              <w:tc>
                <w:tcPr>
                  <w:tcW w:w="950" w:type="pct"/>
                  <w:vAlign w:val="center"/>
                </w:tcPr>
                <w:p w14:paraId="7027CC1E">
                  <w:pPr>
                    <w:autoSpaceDE w:val="0"/>
                    <w:autoSpaceDN w:val="0"/>
                    <w:spacing w:line="276" w:lineRule="auto"/>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lang w:eastAsia="zh-CN"/>
                    </w:rPr>
                    <w:t>每个施工场地</w:t>
                  </w:r>
                  <w:r>
                    <w:rPr>
                      <w:rFonts w:ascii="Times New Roman" w:hAnsi="Times New Roman" w:eastAsia="宋体" w:cs="Times New Roman"/>
                      <w:b w:val="0"/>
                      <w:bCs w:val="0"/>
                      <w:color w:val="auto"/>
                      <w:kern w:val="0"/>
                      <w:szCs w:val="21"/>
                    </w:rPr>
                    <w:t>最大</w:t>
                  </w:r>
                  <w:r>
                    <w:rPr>
                      <w:rFonts w:hint="eastAsia" w:ascii="Times New Roman" w:hAnsi="Times New Roman" w:eastAsia="宋体" w:cs="Times New Roman"/>
                      <w:b w:val="0"/>
                      <w:bCs w:val="0"/>
                      <w:color w:val="auto"/>
                      <w:kern w:val="0"/>
                      <w:szCs w:val="21"/>
                      <w:lang w:eastAsia="zh-CN"/>
                    </w:rPr>
                    <w:t>储存量</w:t>
                  </w:r>
                </w:p>
              </w:tc>
              <w:tc>
                <w:tcPr>
                  <w:tcW w:w="718" w:type="pct"/>
                  <w:vAlign w:val="center"/>
                </w:tcPr>
                <w:p w14:paraId="5E432415">
                  <w:pPr>
                    <w:autoSpaceDE w:val="0"/>
                    <w:autoSpaceDN w:val="0"/>
                    <w:spacing w:line="276" w:lineRule="auto"/>
                    <w:jc w:val="center"/>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项目总储存量</w:t>
                  </w:r>
                </w:p>
              </w:tc>
              <w:tc>
                <w:tcPr>
                  <w:tcW w:w="593" w:type="pct"/>
                  <w:vAlign w:val="center"/>
                </w:tcPr>
                <w:p w14:paraId="52A6FB3F">
                  <w:pPr>
                    <w:autoSpaceDE w:val="0"/>
                    <w:autoSpaceDN w:val="0"/>
                    <w:spacing w:line="276" w:lineRule="auto"/>
                    <w:jc w:val="center"/>
                    <w:rPr>
                      <w:rFonts w:ascii="Times New Roman" w:hAnsi="Times New Roman" w:eastAsia="宋体" w:cs="Times New Roman"/>
                      <w:b w:val="0"/>
                      <w:bCs w:val="0"/>
                      <w:color w:val="auto"/>
                      <w:kern w:val="0"/>
                      <w:szCs w:val="21"/>
                    </w:rPr>
                  </w:pPr>
                  <w:r>
                    <w:rPr>
                      <w:rFonts w:ascii="Times New Roman" w:hAnsi="Times New Roman" w:eastAsia="宋体" w:cs="Times New Roman"/>
                      <w:b w:val="0"/>
                      <w:bCs w:val="0"/>
                      <w:color w:val="auto"/>
                      <w:kern w:val="0"/>
                      <w:szCs w:val="21"/>
                    </w:rPr>
                    <w:t>临界量（t）</w:t>
                  </w:r>
                </w:p>
              </w:tc>
              <w:tc>
                <w:tcPr>
                  <w:tcW w:w="608" w:type="pct"/>
                  <w:vAlign w:val="center"/>
                </w:tcPr>
                <w:p w14:paraId="67A78A9E">
                  <w:pPr>
                    <w:autoSpaceDE w:val="0"/>
                    <w:autoSpaceDN w:val="0"/>
                    <w:spacing w:line="276" w:lineRule="auto"/>
                    <w:jc w:val="center"/>
                    <w:rPr>
                      <w:rFonts w:ascii="Times New Roman" w:hAnsi="Times New Roman" w:eastAsia="宋体" w:cs="Times New Roman"/>
                      <w:b w:val="0"/>
                      <w:bCs w:val="0"/>
                      <w:color w:val="auto"/>
                      <w:kern w:val="0"/>
                      <w:szCs w:val="21"/>
                    </w:rPr>
                  </w:pPr>
                  <w:r>
                    <w:rPr>
                      <w:rFonts w:ascii="Times New Roman" w:hAnsi="Times New Roman" w:eastAsia="宋体" w:cs="Times New Roman"/>
                      <w:b w:val="0"/>
                      <w:bCs w:val="0"/>
                      <w:color w:val="auto"/>
                      <w:kern w:val="0"/>
                      <w:szCs w:val="21"/>
                    </w:rPr>
                    <w:t>Q值</w:t>
                  </w:r>
                </w:p>
              </w:tc>
            </w:tr>
            <w:tr w14:paraId="12C53B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304" w:type="pct"/>
                  <w:vAlign w:val="center"/>
                </w:tcPr>
                <w:p w14:paraId="55322AFF">
                  <w:pPr>
                    <w:autoSpaceDE w:val="0"/>
                    <w:autoSpaceDN w:val="0"/>
                    <w:spacing w:line="276" w:lineRule="auto"/>
                    <w:jc w:val="center"/>
                    <w:rPr>
                      <w:rFonts w:ascii="Times New Roman" w:hAnsi="Times New Roman" w:eastAsia="宋体" w:cs="Times New Roman"/>
                      <w:b w:val="0"/>
                      <w:bCs w:val="0"/>
                      <w:color w:val="auto"/>
                      <w:kern w:val="0"/>
                      <w:szCs w:val="21"/>
                    </w:rPr>
                  </w:pPr>
                  <w:r>
                    <w:rPr>
                      <w:rFonts w:ascii="Times New Roman" w:hAnsi="Times New Roman" w:eastAsia="宋体" w:cs="Times New Roman"/>
                      <w:b w:val="0"/>
                      <w:bCs w:val="0"/>
                      <w:color w:val="auto"/>
                      <w:kern w:val="0"/>
                      <w:szCs w:val="21"/>
                    </w:rPr>
                    <w:t>1</w:t>
                  </w:r>
                </w:p>
              </w:tc>
              <w:tc>
                <w:tcPr>
                  <w:tcW w:w="487" w:type="pct"/>
                  <w:vAlign w:val="center"/>
                </w:tcPr>
                <w:p w14:paraId="1D80CC5B">
                  <w:pPr>
                    <w:autoSpaceDE w:val="0"/>
                    <w:autoSpaceDN w:val="0"/>
                    <w:spacing w:line="276" w:lineRule="auto"/>
                    <w:jc w:val="center"/>
                    <w:rPr>
                      <w:rFonts w:hint="eastAsia" w:ascii="Times New Roman" w:hAnsi="Times New Roman" w:eastAsia="宋体" w:cs="Times New Roman"/>
                      <w:b w:val="0"/>
                      <w:bCs w:val="0"/>
                      <w:color w:val="auto"/>
                      <w:kern w:val="0"/>
                      <w:szCs w:val="21"/>
                      <w:lang w:eastAsia="zh-CN"/>
                    </w:rPr>
                  </w:pPr>
                  <w:r>
                    <w:rPr>
                      <w:rFonts w:hint="eastAsia" w:ascii="Times New Roman" w:hAnsi="Times New Roman" w:eastAsia="宋体" w:cs="Times New Roman"/>
                      <w:b w:val="0"/>
                      <w:bCs w:val="0"/>
                      <w:color w:val="auto"/>
                      <w:sz w:val="24"/>
                      <w:szCs w:val="24"/>
                      <w:lang w:eastAsia="zh-CN"/>
                    </w:rPr>
                    <w:t>废润滑油及桶</w:t>
                  </w:r>
                </w:p>
              </w:tc>
              <w:tc>
                <w:tcPr>
                  <w:tcW w:w="685" w:type="pct"/>
                  <w:vAlign w:val="center"/>
                </w:tcPr>
                <w:p w14:paraId="734856E8">
                  <w:pPr>
                    <w:autoSpaceDE w:val="0"/>
                    <w:autoSpaceDN w:val="0"/>
                    <w:spacing w:line="276" w:lineRule="auto"/>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lang w:eastAsia="zh-CN"/>
                    </w:rPr>
                    <w:t>危废库</w:t>
                  </w:r>
                </w:p>
              </w:tc>
              <w:tc>
                <w:tcPr>
                  <w:tcW w:w="650" w:type="pct"/>
                  <w:vAlign w:val="center"/>
                </w:tcPr>
                <w:p w14:paraId="55206E8A">
                  <w:pPr>
                    <w:autoSpaceDE w:val="0"/>
                    <w:autoSpaceDN w:val="0"/>
                    <w:spacing w:line="276" w:lineRule="auto"/>
                    <w:jc w:val="center"/>
                    <w:rPr>
                      <w:rFonts w:hint="eastAsia" w:ascii="Times New Roman" w:hAnsi="Times New Roman" w:eastAsia="宋体" w:cs="Times New Roman"/>
                      <w:b w:val="0"/>
                      <w:bCs w:val="0"/>
                      <w:color w:val="auto"/>
                      <w:kern w:val="0"/>
                      <w:szCs w:val="21"/>
                      <w:lang w:eastAsia="zh-CN"/>
                    </w:rPr>
                  </w:pPr>
                  <w:r>
                    <w:rPr>
                      <w:rFonts w:hint="eastAsia" w:ascii="Times New Roman" w:hAnsi="Times New Roman" w:eastAsia="宋体" w:cs="Times New Roman"/>
                      <w:b w:val="0"/>
                      <w:bCs w:val="0"/>
                      <w:color w:val="auto"/>
                      <w:kern w:val="0"/>
                      <w:szCs w:val="21"/>
                      <w:lang w:eastAsia="zh-CN"/>
                    </w:rPr>
                    <w:t>油类物质</w:t>
                  </w:r>
                </w:p>
              </w:tc>
              <w:tc>
                <w:tcPr>
                  <w:tcW w:w="950" w:type="pct"/>
                  <w:vAlign w:val="center"/>
                </w:tcPr>
                <w:p w14:paraId="1CADB985">
                  <w:pPr>
                    <w:autoSpaceDE w:val="0"/>
                    <w:autoSpaceDN w:val="0"/>
                    <w:spacing w:line="276" w:lineRule="auto"/>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40L</w:t>
                  </w:r>
                </w:p>
              </w:tc>
              <w:tc>
                <w:tcPr>
                  <w:tcW w:w="718" w:type="pct"/>
                  <w:vAlign w:val="center"/>
                </w:tcPr>
                <w:p w14:paraId="37A5BFAF">
                  <w:pPr>
                    <w:autoSpaceDE w:val="0"/>
                    <w:autoSpaceDN w:val="0"/>
                    <w:spacing w:line="276" w:lineRule="auto"/>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120L,0.1134t</w:t>
                  </w:r>
                </w:p>
              </w:tc>
              <w:tc>
                <w:tcPr>
                  <w:tcW w:w="593" w:type="pct"/>
                  <w:vAlign w:val="center"/>
                </w:tcPr>
                <w:p w14:paraId="631DFDCA">
                  <w:pPr>
                    <w:autoSpaceDE w:val="0"/>
                    <w:autoSpaceDN w:val="0"/>
                    <w:spacing w:line="276" w:lineRule="auto"/>
                    <w:jc w:val="center"/>
                    <w:rPr>
                      <w:rFonts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2500</w:t>
                  </w:r>
                </w:p>
              </w:tc>
              <w:tc>
                <w:tcPr>
                  <w:tcW w:w="608" w:type="pct"/>
                  <w:vAlign w:val="center"/>
                </w:tcPr>
                <w:p w14:paraId="7D9BB1BD">
                  <w:pPr>
                    <w:autoSpaceDE w:val="0"/>
                    <w:autoSpaceDN w:val="0"/>
                    <w:spacing w:line="276" w:lineRule="auto"/>
                    <w:jc w:val="center"/>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0</w:t>
                  </w:r>
                </w:p>
              </w:tc>
            </w:tr>
          </w:tbl>
          <w:p w14:paraId="1AD73E73">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备注：润滑油</w:t>
            </w:r>
            <w:r>
              <w:rPr>
                <w:rFonts w:hint="eastAsia" w:ascii="Times New Roman" w:hAnsi="Times New Roman" w:eastAsia="宋体" w:cs="Times New Roman"/>
                <w:b w:val="0"/>
                <w:bCs w:val="0"/>
                <w:color w:val="auto"/>
                <w:sz w:val="24"/>
                <w:szCs w:val="24"/>
              </w:rPr>
              <w:t>的密度</w:t>
            </w:r>
            <w:r>
              <w:rPr>
                <w:rFonts w:hint="eastAsia" w:ascii="Times New Roman" w:hAnsi="Times New Roman" w:eastAsia="宋体" w:cs="Times New Roman"/>
                <w:b w:val="0"/>
                <w:bCs w:val="0"/>
                <w:color w:val="auto"/>
                <w:sz w:val="24"/>
                <w:szCs w:val="24"/>
                <w:lang w:eastAsia="zh-CN"/>
              </w:rPr>
              <w:t>按照</w:t>
            </w:r>
            <w:r>
              <w:rPr>
                <w:rFonts w:hint="eastAsia" w:ascii="Times New Roman" w:hAnsi="Times New Roman" w:eastAsia="宋体" w:cs="Times New Roman"/>
                <w:b w:val="0"/>
                <w:bCs w:val="0"/>
                <w:color w:val="auto"/>
                <w:sz w:val="24"/>
                <w:szCs w:val="24"/>
                <w:lang w:val="en-US" w:eastAsia="zh-CN"/>
              </w:rPr>
              <w:t>0.945</w:t>
            </w:r>
            <w:r>
              <w:rPr>
                <w:rFonts w:hint="eastAsia" w:ascii="Times New Roman" w:hAnsi="Times New Roman" w:eastAsia="宋体" w:cs="Times New Roman"/>
                <w:b w:val="0"/>
                <w:bCs w:val="0"/>
                <w:color w:val="auto"/>
                <w:sz w:val="24"/>
                <w:szCs w:val="24"/>
              </w:rPr>
              <w:t>kg/L</w:t>
            </w:r>
            <w:r>
              <w:rPr>
                <w:rFonts w:hint="eastAsia" w:ascii="Times New Roman" w:hAnsi="Times New Roman" w:eastAsia="宋体" w:cs="Times New Roman"/>
                <w:b w:val="0"/>
                <w:bCs w:val="0"/>
                <w:color w:val="auto"/>
                <w:sz w:val="24"/>
                <w:szCs w:val="24"/>
                <w:lang w:eastAsia="zh-CN"/>
              </w:rPr>
              <w:t>计算。</w:t>
            </w:r>
          </w:p>
          <w:p w14:paraId="4A29959C">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ascii="Times New Roman" w:hAnsi="Times New Roman" w:eastAsia="宋体" w:cs="Times New Roman"/>
                <w:b w:val="0"/>
                <w:bCs w:val="0"/>
                <w:color w:val="auto"/>
                <w:sz w:val="24"/>
                <w:szCs w:val="24"/>
              </w:rPr>
              <w:t>根据以上分析，本项目</w:t>
            </w:r>
            <w:r>
              <w:rPr>
                <w:rFonts w:hint="eastAsia" w:ascii="Times New Roman" w:hAnsi="Times New Roman" w:eastAsia="宋体" w:cs="Times New Roman"/>
                <w:b w:val="0"/>
                <w:bCs w:val="0"/>
                <w:color w:val="auto"/>
                <w:sz w:val="24"/>
                <w:szCs w:val="24"/>
                <w:lang w:eastAsia="zh-CN"/>
              </w:rPr>
              <w:t>环境风险物质储存量较少，</w:t>
            </w:r>
            <w:r>
              <w:rPr>
                <w:rFonts w:ascii="Times New Roman" w:hAnsi="Times New Roman" w:eastAsia="宋体" w:cs="Times New Roman"/>
                <w:b w:val="0"/>
                <w:bCs w:val="0"/>
                <w:color w:val="auto"/>
                <w:sz w:val="24"/>
                <w:szCs w:val="24"/>
              </w:rPr>
              <w:t>Q值</w:t>
            </w:r>
            <w:r>
              <w:rPr>
                <w:rFonts w:hint="eastAsia" w:ascii="Times New Roman" w:hAnsi="Times New Roman" w:eastAsia="宋体" w:cs="Times New Roman"/>
                <w:b w:val="0"/>
                <w:bCs w:val="0"/>
                <w:color w:val="auto"/>
                <w:sz w:val="24"/>
                <w:szCs w:val="24"/>
                <w:lang w:eastAsia="zh-CN"/>
              </w:rPr>
              <w:t>约</w:t>
            </w:r>
            <w:r>
              <w:rPr>
                <w:rFonts w:ascii="Times New Roman" w:hAnsi="Times New Roman" w:eastAsia="宋体" w:cs="Times New Roman"/>
                <w:b w:val="0"/>
                <w:bCs w:val="0"/>
                <w:color w:val="auto"/>
                <w:sz w:val="24"/>
                <w:szCs w:val="24"/>
              </w:rPr>
              <w:t>为</w:t>
            </w:r>
            <w:r>
              <w:rPr>
                <w:rFonts w:hint="eastAsia" w:ascii="Times New Roman" w:hAnsi="Times New Roman" w:eastAsia="宋体" w:cs="Times New Roman"/>
                <w:b w:val="0"/>
                <w:bCs w:val="0"/>
                <w:color w:val="auto"/>
                <w:sz w:val="24"/>
                <w:szCs w:val="24"/>
                <w:lang w:val="en-US" w:eastAsia="zh-CN"/>
              </w:rPr>
              <w:t>0</w:t>
            </w:r>
            <w:r>
              <w:rPr>
                <w:rFonts w:ascii="Times New Roman" w:hAnsi="Times New Roman" w:eastAsia="宋体" w:cs="Times New Roman"/>
                <w:b w:val="0"/>
                <w:bCs w:val="0"/>
                <w:color w:val="auto"/>
                <w:sz w:val="24"/>
                <w:szCs w:val="24"/>
              </w:rPr>
              <w:t>，小于1，故环境风险潜势为为I级，依据《建设项目环境风险评价导则》（HJ/T169-2018）中的要求，本项目仅展开简单分析</w:t>
            </w:r>
            <w:r>
              <w:rPr>
                <w:rFonts w:hint="eastAsia" w:ascii="Times New Roman" w:hAnsi="Times New Roman" w:eastAsia="宋体" w:cs="Times New Roman"/>
                <w:b w:val="0"/>
                <w:bCs w:val="0"/>
                <w:color w:val="auto"/>
                <w:sz w:val="24"/>
                <w:szCs w:val="24"/>
                <w:lang w:eastAsia="zh-CN"/>
              </w:rPr>
              <w:t>。</w:t>
            </w:r>
          </w:p>
          <w:p w14:paraId="63CD8C84">
            <w:pPr>
              <w:spacing w:line="360" w:lineRule="auto"/>
              <w:ind w:firstLine="480" w:firstLineChars="200"/>
              <w:rPr>
                <w:rFonts w:ascii="Times New Roman" w:hAnsi="Times New Roman" w:eastAsia="宋体" w:cs="Times New Roman"/>
                <w:b w:val="0"/>
                <w:bCs w:val="0"/>
                <w:caps/>
                <w:color w:val="auto"/>
                <w:sz w:val="24"/>
                <w:szCs w:val="24"/>
              </w:rPr>
            </w:pPr>
            <w:r>
              <w:rPr>
                <w:rFonts w:hint="eastAsia" w:ascii="Times New Roman" w:hAnsi="Times New Roman" w:eastAsia="宋体" w:cs="Times New Roman"/>
                <w:b w:val="0"/>
                <w:bCs w:val="0"/>
                <w:caps/>
                <w:color w:val="auto"/>
                <w:sz w:val="24"/>
                <w:szCs w:val="24"/>
                <w:lang w:eastAsia="zh-CN"/>
              </w:rPr>
              <w:t>本项目施工期间可能存在的环境风险为危险废物（废润滑油）泄漏，项目危废收集采用质量符合要求的桶进行收集，危废暂存库建设符合相关标准要求，进行重点防渗处理，设置收集槽等，因此项目发生危废泄漏的可能性很小，即使发生少量泄漏也能有效进行有效收集，不会对周边环境产生影响。</w:t>
            </w:r>
          </w:p>
          <w:p w14:paraId="1BB078A6">
            <w:pPr>
              <w:spacing w:line="360" w:lineRule="auto"/>
              <w:ind w:firstLine="480" w:firstLineChars="200"/>
              <w:rPr>
                <w:rFonts w:hint="eastAsia"/>
                <w:b w:val="0"/>
                <w:bCs w:val="0"/>
                <w:color w:val="auto"/>
                <w:sz w:val="24"/>
              </w:rPr>
            </w:pPr>
            <w:r>
              <w:rPr>
                <w:rFonts w:hint="eastAsia"/>
                <w:b w:val="0"/>
                <w:bCs w:val="0"/>
                <w:color w:val="auto"/>
                <w:sz w:val="24"/>
              </w:rPr>
              <w:t>建设单位在施工时</w:t>
            </w:r>
            <w:r>
              <w:rPr>
                <w:rFonts w:hint="eastAsia"/>
                <w:b w:val="0"/>
                <w:bCs w:val="0"/>
                <w:color w:val="auto"/>
                <w:sz w:val="24"/>
                <w:lang w:eastAsia="zh-CN"/>
              </w:rPr>
              <w:t>还</w:t>
            </w:r>
            <w:r>
              <w:rPr>
                <w:rFonts w:hint="eastAsia"/>
                <w:b w:val="0"/>
                <w:bCs w:val="0"/>
                <w:color w:val="auto"/>
                <w:sz w:val="24"/>
              </w:rPr>
              <w:t>应着重做好以下措施，防范环境风险：</w:t>
            </w:r>
          </w:p>
          <w:p w14:paraId="0C070801">
            <w:pPr>
              <w:widowControl/>
              <w:adjustRightInd w:val="0"/>
              <w:snapToGrid w:val="0"/>
              <w:spacing w:line="360" w:lineRule="auto"/>
              <w:ind w:firstLine="480" w:firstLineChars="200"/>
              <w:jc w:val="left"/>
              <w:rPr>
                <w:rFonts w:hint="eastAsia"/>
                <w:b w:val="0"/>
                <w:bCs w:val="0"/>
                <w:color w:val="auto"/>
                <w:sz w:val="24"/>
              </w:rPr>
            </w:pPr>
            <w:r>
              <w:rPr>
                <w:rFonts w:hint="eastAsia"/>
                <w:b w:val="0"/>
                <w:bCs w:val="0"/>
                <w:color w:val="auto"/>
                <w:sz w:val="24"/>
              </w:rPr>
              <w:t>（1）建立健全管理机制和机构，全面落实安全生产责任制，并严格执行。补充和完善现有的安全管理制度、岗位安全操作规程和作业安全规程。严格执行安全监督检查制度。认真做好用油设备</w:t>
            </w:r>
            <w:r>
              <w:rPr>
                <w:rFonts w:hint="eastAsia"/>
                <w:b w:val="0"/>
                <w:bCs w:val="0"/>
                <w:color w:val="auto"/>
                <w:sz w:val="24"/>
                <w:lang w:eastAsia="zh-CN"/>
              </w:rPr>
              <w:t>及为黄油储存的</w:t>
            </w:r>
            <w:r>
              <w:rPr>
                <w:rFonts w:hint="eastAsia"/>
                <w:b w:val="0"/>
                <w:bCs w:val="0"/>
                <w:color w:val="auto"/>
                <w:sz w:val="24"/>
              </w:rPr>
              <w:t>日查、周查、月查安全检查记录，对发现的异常情况安全隐患必须及时报告并在符合安全条件的情况下立即整改。</w:t>
            </w:r>
          </w:p>
          <w:p w14:paraId="21AA48E4">
            <w:pPr>
              <w:widowControl/>
              <w:adjustRightInd w:val="0"/>
              <w:snapToGrid w:val="0"/>
              <w:spacing w:line="360" w:lineRule="auto"/>
              <w:ind w:firstLine="480" w:firstLineChars="200"/>
              <w:jc w:val="left"/>
              <w:rPr>
                <w:rFonts w:hint="eastAsia"/>
                <w:b w:val="0"/>
                <w:bCs w:val="0"/>
                <w:color w:val="auto"/>
                <w:sz w:val="24"/>
              </w:rPr>
            </w:pPr>
            <w:r>
              <w:rPr>
                <w:rFonts w:hint="eastAsia"/>
                <w:b w:val="0"/>
                <w:bCs w:val="0"/>
                <w:color w:val="auto"/>
                <w:sz w:val="24"/>
              </w:rPr>
              <w:t>（2）加强对职工的安全、环保、事故应急处理、消防、个人安全防护知识和职工操作技能的教育培训工作。实行全员培训，定期考核、持证上岗。</w:t>
            </w:r>
          </w:p>
          <w:p w14:paraId="6B64DEA4">
            <w:pPr>
              <w:keepNext w:val="0"/>
              <w:keepLines w:val="0"/>
              <w:widowControl/>
              <w:suppressLineNumbers w:val="0"/>
              <w:spacing w:line="360" w:lineRule="auto"/>
              <w:ind w:firstLine="480" w:firstLineChars="200"/>
              <w:jc w:val="both"/>
              <w:rPr>
                <w:rFonts w:hint="eastAsia"/>
                <w:b w:val="0"/>
                <w:bCs w:val="0"/>
                <w:color w:val="auto"/>
                <w:sz w:val="24"/>
                <w:lang w:val="sq-AL"/>
              </w:rPr>
            </w:pPr>
            <w:r>
              <w:rPr>
                <w:rFonts w:hint="eastAsia"/>
                <w:b w:val="0"/>
                <w:bCs w:val="0"/>
                <w:color w:val="auto"/>
                <w:sz w:val="24"/>
                <w:lang w:eastAsia="zh-CN"/>
              </w:rPr>
              <w:t>（</w:t>
            </w:r>
            <w:r>
              <w:rPr>
                <w:rFonts w:hint="eastAsia"/>
                <w:b w:val="0"/>
                <w:bCs w:val="0"/>
                <w:color w:val="auto"/>
                <w:sz w:val="24"/>
                <w:lang w:val="en-US" w:eastAsia="zh-CN"/>
              </w:rPr>
              <w:t>3</w:t>
            </w:r>
            <w:r>
              <w:rPr>
                <w:rFonts w:hint="eastAsia"/>
                <w:b w:val="0"/>
                <w:bCs w:val="0"/>
                <w:color w:val="auto"/>
                <w:sz w:val="24"/>
                <w:lang w:eastAsia="zh-CN"/>
              </w:rPr>
              <w:t>）严格危废管理，规范收集，及时处置，尽量减少危废在施工场地的暂存时间。</w:t>
            </w:r>
          </w:p>
        </w:tc>
      </w:tr>
      <w:tr w14:paraId="0A908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879" w:type="dxa"/>
            <w:tcMar>
              <w:left w:w="28" w:type="dxa"/>
              <w:right w:w="28" w:type="dxa"/>
            </w:tcMar>
            <w:vAlign w:val="center"/>
          </w:tcPr>
          <w:p w14:paraId="162A56BC">
            <w:pPr>
              <w:widowControl/>
              <w:jc w:val="center"/>
              <w:rPr>
                <w:rFonts w:ascii="宋体" w:hAnsi="宋体" w:eastAsia="宋体" w:cs="宋体"/>
                <w:b w:val="0"/>
                <w:bCs w:val="0"/>
                <w:color w:val="auto"/>
                <w:sz w:val="24"/>
                <w:szCs w:val="24"/>
              </w:rPr>
            </w:pPr>
            <w:r>
              <w:rPr>
                <w:rFonts w:hint="eastAsia" w:ascii="宋体" w:hAnsi="宋体" w:eastAsia="宋体" w:cs="宋体"/>
                <w:b w:val="0"/>
                <w:bCs w:val="0"/>
                <w:color w:val="auto"/>
                <w:spacing w:val="10"/>
                <w:sz w:val="24"/>
                <w:szCs w:val="24"/>
              </w:rPr>
              <w:t>运营期生态环境影响分析</w:t>
            </w:r>
          </w:p>
        </w:tc>
        <w:tc>
          <w:tcPr>
            <w:tcW w:w="8363" w:type="dxa"/>
          </w:tcPr>
          <w:p w14:paraId="5AE4E63B">
            <w:pPr>
              <w:spacing w:line="360" w:lineRule="auto"/>
              <w:ind w:firstLine="480" w:firstLineChars="200"/>
              <w:jc w:val="left"/>
              <w:rPr>
                <w:rFonts w:ascii="Calibri" w:hAnsi="Calibri" w:eastAsia="宋体" w:cs="Times New Roman"/>
                <w:b w:val="0"/>
                <w:bCs w:val="0"/>
                <w:color w:val="auto"/>
                <w:kern w:val="0"/>
                <w:sz w:val="24"/>
                <w:szCs w:val="20"/>
                <w:lang w:val="sq-AL"/>
              </w:rPr>
            </w:pPr>
            <w:r>
              <w:rPr>
                <w:rFonts w:ascii="Times New Roman" w:hAnsi="Times New Roman" w:eastAsia="宋体" w:cs="Times New Roman"/>
                <w:b w:val="0"/>
                <w:bCs w:val="0"/>
                <w:color w:val="auto"/>
                <w:kern w:val="0"/>
                <w:sz w:val="24"/>
                <w:szCs w:val="24"/>
                <w:lang w:val="sq-AL"/>
              </w:rPr>
              <w:t>本</w:t>
            </w:r>
            <w:r>
              <w:rPr>
                <w:rFonts w:ascii="Calibri" w:hAnsi="Calibri" w:eastAsia="宋体" w:cs="Times New Roman"/>
                <w:b w:val="0"/>
                <w:bCs w:val="0"/>
                <w:color w:val="auto"/>
                <w:kern w:val="0"/>
                <w:sz w:val="24"/>
                <w:szCs w:val="20"/>
                <w:lang w:val="sq-AL"/>
              </w:rPr>
              <w:t>工程实施仅</w:t>
            </w:r>
            <w:r>
              <w:rPr>
                <w:rFonts w:hint="eastAsia" w:ascii="Calibri" w:hAnsi="Calibri" w:eastAsia="宋体" w:cs="Times New Roman"/>
                <w:b w:val="0"/>
                <w:bCs w:val="0"/>
                <w:color w:val="auto"/>
                <w:kern w:val="0"/>
                <w:sz w:val="24"/>
                <w:szCs w:val="20"/>
                <w:lang w:val="sq-AL"/>
              </w:rPr>
              <w:t>涉及</w:t>
            </w:r>
            <w:r>
              <w:rPr>
                <w:rFonts w:ascii="Calibri" w:hAnsi="Calibri" w:eastAsia="宋体" w:cs="Times New Roman"/>
                <w:b w:val="0"/>
                <w:bCs w:val="0"/>
                <w:color w:val="auto"/>
                <w:kern w:val="0"/>
                <w:sz w:val="24"/>
                <w:szCs w:val="20"/>
                <w:lang w:val="sq-AL"/>
              </w:rPr>
              <w:t>施工期，</w:t>
            </w:r>
            <w:r>
              <w:rPr>
                <w:rFonts w:hint="eastAsia" w:ascii="Calibri" w:hAnsi="Calibri" w:eastAsia="宋体" w:cs="Times New Roman"/>
                <w:b w:val="0"/>
                <w:bCs w:val="0"/>
                <w:color w:val="auto"/>
                <w:kern w:val="0"/>
                <w:sz w:val="24"/>
                <w:szCs w:val="20"/>
                <w:lang w:val="sq-AL"/>
              </w:rPr>
              <w:t>不涉及运营期，</w:t>
            </w:r>
            <w:r>
              <w:rPr>
                <w:rFonts w:ascii="Calibri" w:hAnsi="Calibri" w:eastAsia="宋体" w:cs="Times New Roman"/>
                <w:b w:val="0"/>
                <w:bCs w:val="0"/>
                <w:color w:val="auto"/>
                <w:kern w:val="0"/>
                <w:sz w:val="24"/>
                <w:szCs w:val="20"/>
                <w:lang w:val="sq-AL"/>
              </w:rPr>
              <w:t>因此，本次评价不对运营期进行分析。</w:t>
            </w:r>
          </w:p>
        </w:tc>
      </w:tr>
      <w:tr w14:paraId="389CF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vAlign w:val="center"/>
          </w:tcPr>
          <w:p w14:paraId="6EFE0262">
            <w:pPr>
              <w:widowControl/>
              <w:jc w:val="center"/>
              <w:rPr>
                <w:rFonts w:ascii="宋体" w:hAnsi="宋体" w:eastAsia="宋体" w:cs="宋体"/>
                <w:b w:val="0"/>
                <w:bCs w:val="0"/>
                <w:color w:val="auto"/>
                <w:sz w:val="24"/>
                <w:szCs w:val="24"/>
              </w:rPr>
            </w:pPr>
            <w:r>
              <w:rPr>
                <w:rFonts w:hint="eastAsia" w:ascii="宋体" w:hAnsi="宋体" w:eastAsia="宋体" w:cs="宋体"/>
                <w:b w:val="0"/>
                <w:bCs w:val="0"/>
                <w:color w:val="auto"/>
                <w:sz w:val="24"/>
                <w:szCs w:val="24"/>
              </w:rPr>
              <w:t>选址选线环境合理性分析</w:t>
            </w:r>
          </w:p>
        </w:tc>
        <w:tc>
          <w:tcPr>
            <w:tcW w:w="8363" w:type="dxa"/>
          </w:tcPr>
          <w:p w14:paraId="3BA67FCD">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本项目选址位于安徽省淮南市潘集区潘集镇小圩村境内，施工总占地面积15107平方，全部为临时占用集体土地，占地类型为农用地，现状种植当季农作物，项目施工用地已取得了淮南市自然资源和规划局出具的项目临时用地批复，临时用地期限为2年。</w:t>
            </w:r>
          </w:p>
          <w:p w14:paraId="6A6815C1">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bidi="ar-SA"/>
              </w:rPr>
              <w:t>经现场勘查，本项目施工场地选择紧邻周边乡村道路设置，交通便利，有利用设备及物料的运输。</w:t>
            </w:r>
            <w:r>
              <w:rPr>
                <w:rFonts w:hint="eastAsia" w:ascii="Times New Roman" w:hAnsi="Times New Roman" w:eastAsia="宋体" w:cs="Times New Roman"/>
                <w:b w:val="0"/>
                <w:bCs w:val="0"/>
                <w:color w:val="auto"/>
                <w:sz w:val="24"/>
                <w:szCs w:val="24"/>
                <w:highlight w:val="none"/>
                <w:lang w:val="en-US" w:eastAsia="zh-CN"/>
              </w:rPr>
              <w:t>本项目施工范围内无自然保护区、风景名胜区、世界文化和自然遗产地、饮用水水源保护区，无文物保护单位，无具有特殊历史、文化、科学、民族意义的保护地等环境敏感区，调查未见珍稀、濒危野生动物和保护物种，不在《安徽省生态功能区划》禁止开发区、重点保护区范围内，生态环境总体不敏感。</w:t>
            </w:r>
          </w:p>
          <w:p w14:paraId="5EDAAF58">
            <w:pPr>
              <w:pStyle w:val="69"/>
              <w:adjustRightInd/>
              <w:spacing w:line="360" w:lineRule="auto"/>
              <w:ind w:left="0" w:right="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施工过程中产生少量生态破坏、废气、噪声及固体废物，均采取了有效可行的防治措施，项目施工对周边环境影响很小，项目建设不会改变区域环境功能，对周边居民的影响小，环境影响可接受，因此本项目从环境保护角度分析项目选址是合理可行的。</w:t>
            </w:r>
          </w:p>
          <w:p w14:paraId="38DA4A43">
            <w:pPr>
              <w:rPr>
                <w:rFonts w:ascii="宋体" w:hAnsi="宋体" w:eastAsia="宋体" w:cs="宋体"/>
                <w:b w:val="0"/>
                <w:bCs w:val="0"/>
                <w:color w:val="auto"/>
                <w:szCs w:val="21"/>
              </w:rPr>
            </w:pPr>
          </w:p>
          <w:p w14:paraId="624D5F9B">
            <w:pPr>
              <w:rPr>
                <w:rFonts w:ascii="宋体" w:hAnsi="宋体" w:eastAsia="宋体" w:cs="宋体"/>
                <w:b w:val="0"/>
                <w:bCs w:val="0"/>
                <w:color w:val="auto"/>
                <w:szCs w:val="21"/>
              </w:rPr>
            </w:pPr>
          </w:p>
          <w:p w14:paraId="73DA0B68">
            <w:pPr>
              <w:rPr>
                <w:rFonts w:ascii="宋体" w:hAnsi="宋体" w:eastAsia="宋体" w:cs="宋体"/>
                <w:b w:val="0"/>
                <w:bCs w:val="0"/>
                <w:color w:val="auto"/>
                <w:szCs w:val="21"/>
              </w:rPr>
            </w:pPr>
          </w:p>
          <w:p w14:paraId="3A4EC377">
            <w:pPr>
              <w:rPr>
                <w:rFonts w:ascii="宋体" w:hAnsi="宋体" w:eastAsia="宋体" w:cs="宋体"/>
                <w:b w:val="0"/>
                <w:bCs w:val="0"/>
                <w:color w:val="auto"/>
                <w:szCs w:val="21"/>
              </w:rPr>
            </w:pPr>
          </w:p>
          <w:p w14:paraId="3B538B6D">
            <w:pPr>
              <w:rPr>
                <w:rFonts w:ascii="宋体" w:hAnsi="宋体" w:eastAsia="宋体" w:cs="宋体"/>
                <w:b w:val="0"/>
                <w:bCs w:val="0"/>
                <w:color w:val="auto"/>
                <w:szCs w:val="21"/>
              </w:rPr>
            </w:pPr>
          </w:p>
          <w:p w14:paraId="5DBFBF80">
            <w:pPr>
              <w:rPr>
                <w:rFonts w:hint="eastAsia" w:ascii="宋体" w:hAnsi="宋体" w:eastAsia="宋体" w:cs="宋体"/>
                <w:b w:val="0"/>
                <w:bCs w:val="0"/>
                <w:color w:val="auto"/>
                <w:szCs w:val="21"/>
              </w:rPr>
            </w:pPr>
          </w:p>
          <w:p w14:paraId="3B96C4D7">
            <w:pPr>
              <w:rPr>
                <w:rFonts w:hint="eastAsia" w:ascii="宋体" w:hAnsi="宋体" w:eastAsia="宋体" w:cs="宋体"/>
                <w:b w:val="0"/>
                <w:bCs w:val="0"/>
                <w:color w:val="auto"/>
                <w:szCs w:val="21"/>
              </w:rPr>
            </w:pPr>
          </w:p>
          <w:p w14:paraId="47EE545A">
            <w:pPr>
              <w:rPr>
                <w:rFonts w:ascii="宋体" w:hAnsi="宋体" w:eastAsia="宋体" w:cs="宋体"/>
                <w:b w:val="0"/>
                <w:bCs w:val="0"/>
                <w:color w:val="auto"/>
                <w:szCs w:val="21"/>
              </w:rPr>
            </w:pPr>
          </w:p>
          <w:p w14:paraId="73C6B10B">
            <w:pPr>
              <w:rPr>
                <w:rFonts w:ascii="宋体" w:hAnsi="宋体" w:eastAsia="宋体" w:cs="宋体"/>
                <w:b w:val="0"/>
                <w:bCs w:val="0"/>
                <w:color w:val="auto"/>
                <w:szCs w:val="21"/>
              </w:rPr>
            </w:pPr>
          </w:p>
        </w:tc>
      </w:tr>
    </w:tbl>
    <w:p w14:paraId="1D223F9E">
      <w:pPr>
        <w:widowControl/>
        <w:spacing w:before="100" w:beforeAutospacing="1" w:after="100" w:afterAutospacing="1"/>
        <w:jc w:val="center"/>
        <w:rPr>
          <w:rFonts w:ascii="黑体" w:hAnsi="黑体" w:eastAsia="黑体" w:cs="Times New Roman"/>
          <w:snapToGrid w:val="0"/>
          <w:color w:val="auto"/>
          <w:kern w:val="0"/>
          <w:sz w:val="36"/>
          <w:szCs w:val="36"/>
        </w:rPr>
        <w:sectPr>
          <w:pgSz w:w="11906" w:h="16838"/>
          <w:pgMar w:top="1440" w:right="1797" w:bottom="1440" w:left="1797" w:header="851" w:footer="1077" w:gutter="0"/>
          <w:cols w:space="425" w:num="1"/>
          <w:docGrid w:type="lines" w:linePitch="312" w:charSpace="0"/>
        </w:sectPr>
      </w:pPr>
    </w:p>
    <w:p w14:paraId="40ECE43E">
      <w:pPr>
        <w:widowControl/>
        <w:adjustRightInd w:val="0"/>
        <w:snapToGrid w:val="0"/>
        <w:spacing w:line="14" w:lineRule="auto"/>
        <w:jc w:val="center"/>
        <w:outlineLvl w:val="0"/>
        <w:rPr>
          <w:rFonts w:ascii="黑体" w:hAnsi="黑体" w:eastAsia="黑体" w:cs="Times New Roman"/>
          <w:snapToGrid w:val="0"/>
          <w:color w:val="auto"/>
          <w:kern w:val="0"/>
          <w:sz w:val="30"/>
          <w:szCs w:val="30"/>
        </w:rPr>
      </w:pPr>
    </w:p>
    <w:p w14:paraId="5588C14F">
      <w:pPr>
        <w:widowControl/>
        <w:spacing w:before="100" w:beforeAutospacing="1" w:after="100" w:afterAutospacing="1"/>
        <w:jc w:val="center"/>
        <w:outlineLvl w:val="0"/>
        <w:rPr>
          <w:rFonts w:ascii="黑体" w:hAnsi="黑体" w:eastAsia="黑体" w:cs="Times New Roman"/>
          <w:snapToGrid w:val="0"/>
          <w:color w:val="auto"/>
          <w:kern w:val="0"/>
          <w:sz w:val="30"/>
          <w:szCs w:val="30"/>
        </w:rPr>
      </w:pPr>
      <w:r>
        <w:rPr>
          <w:rFonts w:hint="eastAsia" w:ascii="黑体" w:hAnsi="黑体" w:eastAsia="黑体" w:cs="Times New Roman"/>
          <w:snapToGrid w:val="0"/>
          <w:color w:val="auto"/>
          <w:kern w:val="0"/>
          <w:sz w:val="30"/>
          <w:szCs w:val="30"/>
        </w:rPr>
        <w:t>五、主要生态环境保护措施</w:t>
      </w:r>
    </w:p>
    <w:tbl>
      <w:tblPr>
        <w:tblStyle w:val="26"/>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14:paraId="6C47D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753" w:type="dxa"/>
            <w:tcMar>
              <w:left w:w="28" w:type="dxa"/>
              <w:right w:w="28" w:type="dxa"/>
            </w:tcMar>
            <w:vAlign w:val="center"/>
          </w:tcPr>
          <w:p w14:paraId="771AC531">
            <w:pPr>
              <w:jc w:val="center"/>
              <w:rPr>
                <w:rFonts w:ascii="宋体" w:hAnsi="宋体" w:eastAsia="宋体" w:cs="Times New Roman"/>
                <w:bCs/>
                <w:color w:val="auto"/>
                <w:sz w:val="24"/>
                <w:szCs w:val="24"/>
              </w:rPr>
            </w:pPr>
            <w:r>
              <w:rPr>
                <w:rFonts w:hint="eastAsia" w:ascii="宋体" w:hAnsi="宋体" w:eastAsia="宋体" w:cs="宋体"/>
                <w:bCs/>
                <w:color w:val="auto"/>
                <w:spacing w:val="10"/>
                <w:sz w:val="24"/>
                <w:szCs w:val="24"/>
              </w:rPr>
              <w:t>施工期生态环境保护措施</w:t>
            </w:r>
          </w:p>
        </w:tc>
        <w:tc>
          <w:tcPr>
            <w:tcW w:w="8457" w:type="dxa"/>
          </w:tcPr>
          <w:p w14:paraId="4C3C1AF0">
            <w:pPr>
              <w:autoSpaceDE w:val="0"/>
              <w:autoSpaceDN w:val="0"/>
              <w:spacing w:line="360" w:lineRule="auto"/>
              <w:ind w:firstLine="482" w:firstLineChars="200"/>
              <w:rPr>
                <w:rFonts w:ascii="Times New Roman" w:hAnsi="Times New Roman" w:eastAsia="宋体" w:cs="Times New Roman"/>
                <w:b/>
                <w:color w:val="auto"/>
                <w:kern w:val="0"/>
                <w:sz w:val="24"/>
                <w:szCs w:val="24"/>
                <w:highlight w:val="none"/>
              </w:rPr>
            </w:pPr>
            <w:r>
              <w:rPr>
                <w:rFonts w:hint="eastAsia" w:ascii="Times New Roman" w:hAnsi="Times New Roman" w:eastAsia="宋体" w:cs="Times New Roman"/>
                <w:b/>
                <w:color w:val="auto"/>
                <w:kern w:val="0"/>
                <w:sz w:val="24"/>
                <w:szCs w:val="24"/>
                <w:highlight w:val="none"/>
              </w:rPr>
              <w:t>1、施工期生态环境保护措施</w:t>
            </w:r>
          </w:p>
          <w:p w14:paraId="750977F4">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（1）土地利用现有格局的保护和恢复措施</w:t>
            </w:r>
          </w:p>
          <w:p w14:paraId="14C88E62">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rPr>
              <w:t>①</w:t>
            </w:r>
            <w:r>
              <w:rPr>
                <w:rFonts w:ascii="Times New Roman" w:hAnsi="Times New Roman" w:eastAsia="宋体" w:cs="Times New Roman"/>
                <w:color w:val="auto"/>
                <w:kern w:val="0"/>
                <w:sz w:val="24"/>
                <w:szCs w:val="24"/>
                <w:highlight w:val="none"/>
              </w:rPr>
              <w:t>施工占地合理规划，尽量控制工程施工活动范围，减少对周边占地的影响。</w:t>
            </w:r>
          </w:p>
          <w:p w14:paraId="7BE29AB4">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rPr>
              <w:t>②</w:t>
            </w:r>
            <w:r>
              <w:rPr>
                <w:rFonts w:ascii="Times New Roman" w:hAnsi="Times New Roman" w:eastAsia="宋体" w:cs="Times New Roman"/>
                <w:color w:val="auto"/>
                <w:kern w:val="0"/>
                <w:sz w:val="24"/>
                <w:szCs w:val="24"/>
                <w:highlight w:val="none"/>
              </w:rPr>
              <w:t>按设计标准规定，严格控制施工作业面积，不得超过</w:t>
            </w:r>
            <w:r>
              <w:rPr>
                <w:rFonts w:hint="eastAsia" w:ascii="Times New Roman" w:hAnsi="Times New Roman" w:eastAsia="宋体" w:cs="Times New Roman"/>
                <w:color w:val="auto"/>
                <w:kern w:val="0"/>
                <w:sz w:val="24"/>
                <w:szCs w:val="24"/>
                <w:highlight w:val="none"/>
              </w:rPr>
              <w:t>临时</w:t>
            </w:r>
            <w:r>
              <w:rPr>
                <w:rFonts w:ascii="Times New Roman" w:hAnsi="Times New Roman" w:eastAsia="宋体" w:cs="Times New Roman"/>
                <w:color w:val="auto"/>
                <w:kern w:val="0"/>
                <w:sz w:val="24"/>
                <w:szCs w:val="24"/>
                <w:highlight w:val="none"/>
              </w:rPr>
              <w:t>占地面积，以减少土壤扰动和地表植被破坏，减少裸地和土方暴露面积。</w:t>
            </w:r>
          </w:p>
          <w:p w14:paraId="508DE4A1">
            <w:pPr>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rPr>
              <w:t>③</w:t>
            </w:r>
            <w:r>
              <w:rPr>
                <w:rFonts w:ascii="Times New Roman" w:hAnsi="Times New Roman" w:eastAsia="宋体" w:cs="Times New Roman"/>
                <w:color w:val="auto"/>
                <w:kern w:val="0"/>
                <w:sz w:val="24"/>
                <w:szCs w:val="24"/>
                <w:highlight w:val="none"/>
              </w:rPr>
              <w:t>井场施工作业机械应严格管理，划定活动范围，不得在道路场地以外的地方行驶和作业，保持路外植被不被破坏。</w:t>
            </w:r>
          </w:p>
          <w:p w14:paraId="7465E04F">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highlight w:val="none"/>
              </w:rPr>
              <w:t>④</w:t>
            </w:r>
            <w:r>
              <w:rPr>
                <w:rFonts w:ascii="Times New Roman" w:hAnsi="Times New Roman" w:eastAsia="宋体" w:cs="Times New Roman"/>
                <w:color w:val="auto"/>
                <w:kern w:val="0"/>
                <w:sz w:val="24"/>
                <w:szCs w:val="24"/>
                <w:highlight w:val="none"/>
              </w:rPr>
              <w:t>项目施工过程中涉及挖方的</w:t>
            </w:r>
            <w:r>
              <w:rPr>
                <w:rFonts w:hint="eastAsia" w:ascii="Times New Roman" w:hAnsi="Times New Roman" w:eastAsia="宋体" w:cs="Times New Roman"/>
                <w:color w:val="auto"/>
                <w:kern w:val="0"/>
                <w:sz w:val="24"/>
                <w:szCs w:val="24"/>
                <w:highlight w:val="none"/>
                <w:lang w:eastAsia="zh-CN"/>
              </w:rPr>
              <w:t>工序</w:t>
            </w:r>
            <w:r>
              <w:rPr>
                <w:rFonts w:ascii="Times New Roman" w:hAnsi="Times New Roman" w:eastAsia="宋体" w:cs="Times New Roman"/>
                <w:color w:val="auto"/>
                <w:kern w:val="0"/>
                <w:sz w:val="24"/>
                <w:szCs w:val="24"/>
                <w:highlight w:val="none"/>
              </w:rPr>
              <w:t>应加快施工进度，缩短施工时间，对产生的挖方及时进行平整处理。此外，施工时应避免在雨天、大风等天气条件不利情况下施工，做到水土流失最小化，如遇特殊天气施工，应用施工布料对现挖松散临时土方进行</w:t>
            </w:r>
            <w:r>
              <w:rPr>
                <w:rFonts w:ascii="Times New Roman" w:hAnsi="Times New Roman" w:eastAsia="宋体" w:cs="Times New Roman"/>
                <w:color w:val="auto"/>
                <w:kern w:val="0"/>
                <w:sz w:val="24"/>
                <w:szCs w:val="24"/>
              </w:rPr>
              <w:t>临时遮掩，保证有效控制水土流失。</w:t>
            </w:r>
          </w:p>
          <w:p w14:paraId="097C771A">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⑤</w:t>
            </w:r>
            <w:r>
              <w:rPr>
                <w:rFonts w:ascii="Times New Roman" w:hAnsi="Times New Roman" w:eastAsia="宋体" w:cs="Times New Roman"/>
                <w:color w:val="auto"/>
                <w:kern w:val="0"/>
                <w:sz w:val="24"/>
                <w:szCs w:val="24"/>
              </w:rPr>
              <w:t>施工结束后，应恢复地貌原状。施工时对占地范围</w:t>
            </w:r>
            <w:r>
              <w:rPr>
                <w:rFonts w:hint="eastAsia" w:ascii="Times New Roman" w:hAnsi="Times New Roman" w:eastAsia="宋体" w:cs="Times New Roman"/>
                <w:color w:val="auto"/>
                <w:kern w:val="0"/>
                <w:sz w:val="24"/>
                <w:szCs w:val="24"/>
                <w:lang w:eastAsia="zh-CN"/>
              </w:rPr>
              <w:t>内</w:t>
            </w:r>
            <w:r>
              <w:rPr>
                <w:rFonts w:ascii="Times New Roman" w:hAnsi="Times New Roman" w:eastAsia="宋体" w:cs="Times New Roman"/>
                <w:color w:val="auto"/>
                <w:kern w:val="0"/>
                <w:sz w:val="24"/>
                <w:szCs w:val="24"/>
              </w:rPr>
              <w:t>土壤开挖应做</w:t>
            </w:r>
            <w:r>
              <w:rPr>
                <w:rFonts w:hint="eastAsia" w:ascii="Times New Roman" w:hAnsi="Times New Roman" w:eastAsia="宋体" w:cs="Times New Roman"/>
                <w:color w:val="auto"/>
                <w:kern w:val="0"/>
                <w:sz w:val="24"/>
                <w:szCs w:val="24"/>
                <w:lang w:eastAsia="zh-CN"/>
              </w:rPr>
              <w:t>分层开挖，</w:t>
            </w:r>
            <w:r>
              <w:rPr>
                <w:rFonts w:ascii="Times New Roman" w:hAnsi="Times New Roman" w:eastAsia="宋体" w:cs="Times New Roman"/>
                <w:color w:val="auto"/>
                <w:kern w:val="0"/>
                <w:sz w:val="24"/>
                <w:szCs w:val="24"/>
              </w:rPr>
              <w:t>分区堆放，分层回填</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压实，以保护植被生长层，降低对土壤养分的影响</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尽快使土壤恢复生产力，同时减少水土流失。</w:t>
            </w:r>
          </w:p>
          <w:p w14:paraId="0389C91B">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（2）生物多样性的保护措施</w:t>
            </w:r>
          </w:p>
          <w:p w14:paraId="7536441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在施工过程中，应加强施工人员的管理，禁止施工人员对野外植被滥砍滥伐破坏沿线地区的生态环境。</w:t>
            </w:r>
          </w:p>
          <w:p w14:paraId="7DA06CF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Times New Roman"/>
                <w:color w:val="auto"/>
                <w:kern w:val="0"/>
                <w:sz w:val="24"/>
                <w:szCs w:val="24"/>
              </w:rPr>
              <w:t>②</w:t>
            </w:r>
            <w:r>
              <w:rPr>
                <w:rFonts w:ascii="Times New Roman" w:hAnsi="Times New Roman" w:eastAsia="宋体" w:cs="Times New Roman"/>
                <w:color w:val="auto"/>
                <w:kern w:val="0"/>
                <w:sz w:val="24"/>
                <w:szCs w:val="24"/>
              </w:rPr>
              <w:t>禁止施工人员对野生动物，尤其是珍稀动物的滥捕滥杀，做好野生动物的保护工作。</w:t>
            </w:r>
          </w:p>
          <w:p w14:paraId="369393C7">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③</w:t>
            </w:r>
            <w:r>
              <w:rPr>
                <w:rFonts w:ascii="Times New Roman" w:hAnsi="Times New Roman" w:eastAsia="宋体" w:cs="Times New Roman"/>
                <w:color w:val="auto"/>
                <w:kern w:val="0"/>
                <w:sz w:val="24"/>
                <w:szCs w:val="24"/>
              </w:rPr>
              <w:t>施工期要加大对保护野生动物的宣传力度，大力宣传两栖、爬行动物、鸟类对农林卫生业的作用。</w:t>
            </w:r>
          </w:p>
          <w:p w14:paraId="7712368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④</w:t>
            </w:r>
            <w:r>
              <w:rPr>
                <w:rFonts w:ascii="Times New Roman" w:hAnsi="Times New Roman" w:eastAsia="宋体" w:cs="Times New Roman"/>
                <w:color w:val="auto"/>
                <w:kern w:val="0"/>
                <w:sz w:val="24"/>
                <w:szCs w:val="24"/>
              </w:rPr>
              <w:t>对水生生物的一般保护措施为：切实加强对水环境的保护，避免井场周边地表水造成影响，施工</w:t>
            </w:r>
            <w:r>
              <w:rPr>
                <w:rFonts w:hint="eastAsia" w:ascii="Times New Roman" w:hAnsi="Times New Roman" w:eastAsia="宋体" w:cs="Times New Roman"/>
                <w:color w:val="auto"/>
                <w:kern w:val="0"/>
                <w:sz w:val="24"/>
                <w:szCs w:val="24"/>
              </w:rPr>
              <w:t>物料</w:t>
            </w:r>
            <w:r>
              <w:rPr>
                <w:rFonts w:ascii="Times New Roman" w:hAnsi="Times New Roman" w:eastAsia="宋体" w:cs="Times New Roman"/>
                <w:color w:val="auto"/>
                <w:kern w:val="0"/>
                <w:sz w:val="24"/>
                <w:szCs w:val="24"/>
              </w:rPr>
              <w:t>的堆放应放置于远离地表水一侧，防止物料被暴雨径流带入水体影响水质，各类</w:t>
            </w:r>
            <w:r>
              <w:rPr>
                <w:rFonts w:hint="eastAsia" w:ascii="Times New Roman" w:hAnsi="Times New Roman" w:eastAsia="宋体" w:cs="Times New Roman"/>
                <w:color w:val="auto"/>
                <w:kern w:val="0"/>
                <w:sz w:val="24"/>
                <w:szCs w:val="24"/>
              </w:rPr>
              <w:t>物料</w:t>
            </w:r>
            <w:r>
              <w:rPr>
                <w:rFonts w:ascii="Times New Roman" w:hAnsi="Times New Roman" w:eastAsia="宋体" w:cs="Times New Roman"/>
                <w:color w:val="auto"/>
                <w:kern w:val="0"/>
                <w:sz w:val="24"/>
                <w:szCs w:val="24"/>
              </w:rPr>
              <w:t>应备有防雨遮雨设施；在施工过程中禁止将污水、垃圾和其它施工机械的废油等污染物拋入水体，应收集后和工地上的污染物一并处理。施工挖出的淤泥渣土等不得抛入河流和其他水体。</w:t>
            </w:r>
          </w:p>
          <w:p w14:paraId="73215C0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（3）水土流失防治措施</w:t>
            </w:r>
          </w:p>
          <w:p w14:paraId="21D03B33">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①</w:t>
            </w:r>
            <w:r>
              <w:rPr>
                <w:rFonts w:ascii="Times New Roman" w:hAnsi="Times New Roman" w:eastAsia="宋体" w:cs="Times New Roman"/>
                <w:color w:val="auto"/>
                <w:kern w:val="0"/>
                <w:sz w:val="24"/>
                <w:szCs w:val="24"/>
              </w:rPr>
              <w:t>尽量避开雨季施工，提高工程施工效率，缩短施工工期。</w:t>
            </w:r>
          </w:p>
          <w:p w14:paraId="375CA569">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②</w:t>
            </w:r>
            <w:r>
              <w:rPr>
                <w:rFonts w:ascii="Times New Roman" w:hAnsi="Times New Roman" w:eastAsia="宋体" w:cs="Times New Roman"/>
                <w:color w:val="auto"/>
                <w:kern w:val="0"/>
                <w:sz w:val="24"/>
                <w:szCs w:val="24"/>
              </w:rPr>
              <w:t>划定施工作业范围线，不随意扩大。并严格控制机械和车辆的作业范围，尽可能减少对土壤和农作物的破坏以及由此引发的水土流失。</w:t>
            </w:r>
          </w:p>
          <w:p w14:paraId="54B66D2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③</w:t>
            </w:r>
            <w:r>
              <w:rPr>
                <w:rFonts w:ascii="Times New Roman" w:hAnsi="Times New Roman" w:eastAsia="宋体" w:cs="Times New Roman"/>
                <w:color w:val="auto"/>
                <w:kern w:val="0"/>
                <w:sz w:val="24"/>
                <w:szCs w:val="24"/>
              </w:rPr>
              <w:t>施工单位开工前，应先剥离占地范围内表土，井场范围内表土堆放至表土堆放区内，</w:t>
            </w:r>
            <w:r>
              <w:rPr>
                <w:rFonts w:hint="eastAsia" w:ascii="Times New Roman" w:hAnsi="Times New Roman" w:eastAsia="宋体" w:cs="Times New Roman"/>
                <w:bCs/>
                <w:color w:val="auto"/>
                <w:kern w:val="0"/>
                <w:sz w:val="24"/>
                <w:szCs w:val="24"/>
              </w:rPr>
              <w:t>表土堆放区应设置截、排水沟、苫盖等措施</w:t>
            </w:r>
            <w:r>
              <w:rPr>
                <w:rFonts w:ascii="Times New Roman" w:hAnsi="Times New Roman" w:eastAsia="宋体" w:cs="Times New Roman"/>
                <w:color w:val="auto"/>
                <w:kern w:val="0"/>
                <w:sz w:val="24"/>
                <w:szCs w:val="24"/>
              </w:rPr>
              <w:t>，防止水土流失。施工结束后用于临时占地的复耕复种，恢复临时占用耕地的生产力。</w:t>
            </w:r>
          </w:p>
          <w:p w14:paraId="524238B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（4）对基本农作物的保护措施</w:t>
            </w:r>
          </w:p>
          <w:p w14:paraId="056BA7EF">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①</w:t>
            </w:r>
            <w:r>
              <w:rPr>
                <w:rFonts w:ascii="Times New Roman" w:hAnsi="Times New Roman" w:eastAsia="宋体" w:cs="Times New Roman"/>
                <w:color w:val="auto"/>
                <w:kern w:val="0"/>
                <w:sz w:val="24"/>
                <w:szCs w:val="24"/>
              </w:rPr>
              <w:t>在工程的总体规划中，必须考虑施工对农业生产的影响，将农业损失纳入到工程预算中，尽量减少占用耕地的范围，降低工程对农业生态环境的干扰和破坏。</w:t>
            </w:r>
          </w:p>
          <w:p w14:paraId="1804BE90">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②</w:t>
            </w:r>
            <w:r>
              <w:rPr>
                <w:rFonts w:ascii="Times New Roman" w:hAnsi="Times New Roman" w:eastAsia="宋体" w:cs="Times New Roman"/>
                <w:color w:val="auto"/>
                <w:kern w:val="0"/>
                <w:sz w:val="24"/>
                <w:szCs w:val="24"/>
              </w:rPr>
              <w:t>项目所涉及的临时占地都应按照有关土地管理办法的要求逐级上报有审批权的政府部门批准。</w:t>
            </w:r>
          </w:p>
          <w:p w14:paraId="35A35F72">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③</w:t>
            </w:r>
            <w:r>
              <w:rPr>
                <w:rFonts w:ascii="Times New Roman" w:hAnsi="Times New Roman" w:eastAsia="宋体" w:cs="Times New Roman"/>
                <w:color w:val="auto"/>
                <w:kern w:val="0"/>
                <w:sz w:val="24"/>
                <w:szCs w:val="24"/>
              </w:rPr>
              <w:t>提高施工效率，缩短施工时间，以保持耕作层肥力，缩短农业生产季节的损失，尽量避开农作物的生长和收获期，减少农业当季损失。</w:t>
            </w:r>
          </w:p>
          <w:p w14:paraId="02F2423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④</w:t>
            </w:r>
            <w:r>
              <w:rPr>
                <w:rFonts w:ascii="Times New Roman" w:hAnsi="Times New Roman" w:eastAsia="宋体" w:cs="Times New Roman"/>
                <w:color w:val="auto"/>
                <w:kern w:val="0"/>
                <w:sz w:val="24"/>
                <w:szCs w:val="24"/>
              </w:rPr>
              <w:t>施工中，要采取保护土壤措施，对农业熟化土壤要分层开挖、分别堆放、分层填埋，减少因施工造成生土上翻、耕层养分损失、农作物减产的后果，同时要避免间断覆土造成的土层不坚实形成的水土流失等问题。</w:t>
            </w:r>
          </w:p>
          <w:p w14:paraId="4CC09147">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宋体" w:hAnsi="宋体" w:eastAsia="宋体" w:cs="Times New Roman"/>
                <w:color w:val="auto"/>
                <w:kern w:val="0"/>
                <w:sz w:val="24"/>
                <w:szCs w:val="24"/>
              </w:rPr>
              <w:t>⑤</w:t>
            </w:r>
            <w:r>
              <w:rPr>
                <w:rFonts w:ascii="Times New Roman" w:hAnsi="Times New Roman" w:eastAsia="宋体" w:cs="Times New Roman"/>
                <w:color w:val="auto"/>
                <w:kern w:val="0"/>
                <w:sz w:val="24"/>
                <w:szCs w:val="24"/>
              </w:rPr>
              <w:t>施工完成后，做好现场清理及恢复工作，尽可能降低施工对农田生态系统带来的不利影响。</w:t>
            </w:r>
          </w:p>
          <w:p w14:paraId="6BE080C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除了以上恢复的措施外，在开挖地表土壤时，应把表土单独堆放。回填时，把表土覆盖在最上面的地表层，这样可以大大缩短土壤生产力恢复的时间，减少工程影响时间。</w:t>
            </w:r>
          </w:p>
          <w:p w14:paraId="6946FCEB">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color w:val="auto"/>
                <w:kern w:val="0"/>
                <w:sz w:val="24"/>
                <w:szCs w:val="24"/>
              </w:rPr>
              <w:t>（5</w:t>
            </w:r>
            <w:r>
              <w:rPr>
                <w:rFonts w:ascii="Times New Roman" w:hAnsi="Times New Roman" w:eastAsia="宋体" w:cs="Times New Roman"/>
                <w:b w:val="0"/>
                <w:bCs w:val="0"/>
                <w:color w:val="auto"/>
                <w:kern w:val="0"/>
                <w:sz w:val="24"/>
                <w:szCs w:val="24"/>
              </w:rPr>
              <w:t>）</w:t>
            </w:r>
            <w:r>
              <w:rPr>
                <w:rFonts w:hint="eastAsia" w:ascii="Times New Roman" w:hAnsi="Times New Roman" w:eastAsia="宋体" w:cs="Times New Roman"/>
                <w:b w:val="0"/>
                <w:bCs w:val="0"/>
                <w:color w:val="auto"/>
                <w:kern w:val="0"/>
                <w:sz w:val="24"/>
                <w:szCs w:val="24"/>
                <w:lang w:val="en-US" w:eastAsia="zh-CN" w:bidi="ar-SA"/>
              </w:rPr>
              <w:t>土地复垦的相关要求</w:t>
            </w:r>
          </w:p>
          <w:p w14:paraId="05DD7F08">
            <w:pPr>
              <w:pStyle w:val="14"/>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highlight w:val="none"/>
              </w:rPr>
            </w:pPr>
            <w:r>
              <w:rPr>
                <w:rFonts w:hint="eastAsia" w:ascii="Times New Roman" w:hAnsi="Times New Roman"/>
                <w:color w:val="auto"/>
                <w:sz w:val="24"/>
                <w:highlight w:val="none"/>
              </w:rPr>
              <w:t>本项目施工期结束后需要对临时用地进行土地恢复，使临时用地状况恢复到原有水平。本项目</w:t>
            </w:r>
            <w:r>
              <w:rPr>
                <w:rFonts w:hint="eastAsia" w:ascii="Times New Roman" w:hAnsi="Times New Roman"/>
                <w:color w:val="auto"/>
                <w:sz w:val="24"/>
                <w:highlight w:val="none"/>
                <w:lang w:eastAsia="zh-CN"/>
              </w:rPr>
              <w:t>建设单位已</w:t>
            </w:r>
            <w:r>
              <w:rPr>
                <w:rFonts w:hint="eastAsia" w:ascii="Times New Roman" w:hAnsi="Times New Roman"/>
                <w:color w:val="auto"/>
                <w:sz w:val="24"/>
                <w:highlight w:val="none"/>
              </w:rPr>
              <w:t>制定临时用地复垦方案</w:t>
            </w:r>
            <w:r>
              <w:rPr>
                <w:rFonts w:hint="eastAsia" w:ascii="Times New Roman" w:hAnsi="Times New Roman"/>
                <w:color w:val="auto"/>
                <w:sz w:val="24"/>
                <w:highlight w:val="none"/>
                <w:lang w:eastAsia="zh-CN"/>
              </w:rPr>
              <w:t>且经过淮南市自然资源和规划局的审批</w:t>
            </w:r>
            <w:r>
              <w:rPr>
                <w:rFonts w:hint="eastAsia" w:ascii="Times New Roman" w:hAnsi="Times New Roman"/>
                <w:color w:val="auto"/>
                <w:sz w:val="24"/>
                <w:highlight w:val="none"/>
              </w:rPr>
              <w:t>，</w:t>
            </w:r>
            <w:r>
              <w:rPr>
                <w:rFonts w:hint="eastAsia" w:ascii="Times New Roman" w:hAnsi="Times New Roman"/>
                <w:color w:val="auto"/>
                <w:sz w:val="24"/>
                <w:highlight w:val="none"/>
                <w:lang w:eastAsia="zh-CN"/>
              </w:rPr>
              <w:t>建设单位施工完成后</w:t>
            </w:r>
            <w:r>
              <w:rPr>
                <w:rFonts w:hint="eastAsia" w:ascii="Times New Roman" w:hAnsi="Times New Roman"/>
                <w:color w:val="auto"/>
                <w:sz w:val="24"/>
                <w:highlight w:val="none"/>
              </w:rPr>
              <w:t>要严格落实复垦方案中的措施，因地制宜，以恢复项目区原有土地利用类型为主，改善生态环境，改善破坏土地</w:t>
            </w:r>
            <w:r>
              <w:rPr>
                <w:rFonts w:hint="eastAsia" w:ascii="Times New Roman" w:hAnsi="Times New Roman"/>
                <w:color w:val="auto"/>
                <w:sz w:val="24"/>
                <w:highlight w:val="none"/>
                <w:lang w:eastAsia="zh-CN"/>
              </w:rPr>
              <w:t>的</w:t>
            </w:r>
            <w:r>
              <w:rPr>
                <w:rFonts w:hint="eastAsia" w:ascii="Times New Roman" w:hAnsi="Times New Roman"/>
                <w:color w:val="auto"/>
                <w:sz w:val="24"/>
                <w:highlight w:val="none"/>
              </w:rPr>
              <w:t>质量。</w:t>
            </w:r>
          </w:p>
          <w:p w14:paraId="6FCB832F">
            <w:pPr>
              <w:pStyle w:val="14"/>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color w:val="auto"/>
                <w:sz w:val="24"/>
                <w:highlight w:val="none"/>
              </w:rPr>
            </w:pPr>
            <w:r>
              <w:rPr>
                <w:rFonts w:hint="eastAsia" w:ascii="Times New Roman" w:hAnsi="Times New Roman"/>
                <w:color w:val="auto"/>
                <w:sz w:val="24"/>
                <w:highlight w:val="none"/>
              </w:rPr>
              <w:t>本项目涉及临时用地对土地的损毁主要为土壤物理性质和结构遭到损坏，临时用地毁坏类型主要为压占，毁坏程度为中度破坏。在落实复垦方案中的措施后，使临时用地性质恢复到原有水平，复垦</w:t>
            </w:r>
            <w:r>
              <w:rPr>
                <w:rFonts w:hint="eastAsia" w:ascii="Times New Roman" w:hAnsi="Times New Roman"/>
                <w:color w:val="auto"/>
                <w:sz w:val="24"/>
                <w:highlight w:val="none"/>
                <w:lang w:eastAsia="zh-CN"/>
              </w:rPr>
              <w:t>结束</w:t>
            </w:r>
            <w:r>
              <w:rPr>
                <w:rFonts w:hint="eastAsia" w:ascii="Times New Roman" w:hAnsi="Times New Roman"/>
                <w:color w:val="auto"/>
                <w:sz w:val="24"/>
                <w:highlight w:val="none"/>
              </w:rPr>
              <w:t>后，要对复垦对象进行为期一年的管护，确保复垦工程能够达到预期效果。具体复垦措施如下所示：</w:t>
            </w:r>
          </w:p>
          <w:p w14:paraId="2B5CEBCA">
            <w:pPr>
              <w:pStyle w:val="14"/>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1、表土剥离 </w:t>
            </w:r>
          </w:p>
          <w:p w14:paraId="3627C189">
            <w:pPr>
              <w:pStyle w:val="14"/>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olor w:val="auto"/>
                <w:sz w:val="24"/>
                <w:highlight w:val="none"/>
              </w:rPr>
              <w:t>表土层的剥离在本项目土地复垦中极为重要，耕作层土壤和表层土壤是经过多年耕作和植物作用形成的熟化土壤，对于植物种子的萌发和幼苗</w:t>
            </w:r>
            <w:r>
              <w:rPr>
                <w:rFonts w:hint="default" w:ascii="Times New Roman" w:hAnsi="Times New Roman" w:eastAsia="宋体" w:cs="Times New Roman"/>
                <w:color w:val="auto"/>
                <w:sz w:val="24"/>
                <w:highlight w:val="none"/>
              </w:rPr>
              <w:t>的生长有着重要作用，在临时用地占用之前，</w:t>
            </w:r>
            <w:r>
              <w:rPr>
                <w:rFonts w:hint="default" w:ascii="Times New Roman" w:hAnsi="Times New Roman" w:eastAsia="宋体" w:cs="Times New Roman"/>
                <w:color w:val="auto"/>
                <w:sz w:val="24"/>
                <w:highlight w:val="none"/>
                <w:lang w:val="en-US" w:eastAsia="zh-CN"/>
              </w:rPr>
              <w:t>必须进行表土剥离，设计表土剥离厚度为 0.3m。剥离表土用于复</w:t>
            </w:r>
            <w:r>
              <w:rPr>
                <w:rFonts w:hint="eastAsia" w:ascii="Times New Roman" w:hAnsi="Times New Roman" w:eastAsia="宋体" w:cs="Times New Roman"/>
                <w:color w:val="auto"/>
                <w:sz w:val="24"/>
                <w:highlight w:val="none"/>
                <w:lang w:val="en-US" w:eastAsia="zh-CN"/>
              </w:rPr>
              <w:t>垦覆土。临时用地占用前主要用地类型以耕地为主，复垦方向也主要为耕地，为保障复垦质量，同时考虑施工机械施工的可行性和便利性，表土剥离后集中堆存</w:t>
            </w:r>
            <w:r>
              <w:rPr>
                <w:rFonts w:hint="eastAsia" w:ascii="Times New Roman" w:hAnsi="Times New Roman" w:cs="Times New Roman"/>
                <w:color w:val="auto"/>
                <w:sz w:val="24"/>
                <w:highlight w:val="none"/>
                <w:lang w:val="en-US" w:eastAsia="zh-CN"/>
              </w:rPr>
              <w:t>于场地一角（见附图）</w:t>
            </w:r>
            <w:r>
              <w:rPr>
                <w:rFonts w:hint="eastAsia" w:ascii="Times New Roman" w:hAnsi="Times New Roman" w:eastAsia="宋体" w:cs="Times New Roman"/>
                <w:color w:val="auto"/>
                <w:sz w:val="24"/>
                <w:highlight w:val="none"/>
                <w:lang w:val="en-US" w:eastAsia="zh-CN"/>
              </w:rPr>
              <w:t xml:space="preserve">，为防治堆放期表土产生水土流失，影响土壤肥力，周围设置袋装土临时拦挡。 </w:t>
            </w:r>
          </w:p>
          <w:p w14:paraId="62C99CC5">
            <w:pPr>
              <w:pStyle w:val="14"/>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2、表土防护 </w:t>
            </w:r>
          </w:p>
          <w:p w14:paraId="5F1A5096">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首先，在其四周用 3m 高的草袋防护，编织袋所装可直接采用剥离表土；其次，为减小降雨对表土的冲刷作用，减少表土流失量，在表土堆积过程中应尽量压实，并在表面覆盖土工布；再次，应在其临时表土堆放周边修建临时排水沟，以阻挡周边雨水；最后，在施工后期，拆除编织土袋尽快将表土用于覆土，尽可能减少堆放时间。 </w:t>
            </w:r>
          </w:p>
          <w:p w14:paraId="43162772">
            <w:pPr>
              <w:keepNext w:val="0"/>
              <w:keepLines w:val="0"/>
              <w:widowControl/>
              <w:suppressLineNumbers w:val="0"/>
              <w:spacing w:line="360" w:lineRule="auto"/>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堆放方式为： </w:t>
            </w:r>
          </w:p>
          <w:p w14:paraId="54763819">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（1）先用编织土袋装收集表土在堆放地四周码砌临时挡墙，挡墙采用梯形断面。 </w:t>
            </w:r>
          </w:p>
          <w:p w14:paraId="2AB77043">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（2）向表土临时堆放场内堆放收集表土，平均高度3.0m 左右，堆放过程中应采用逐层堆放的方式进行，减少堆放物的松散性，有效控制水土流失。 </w:t>
            </w:r>
          </w:p>
          <w:p w14:paraId="7FEDF56B">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（3）在堆场周围设置临时排水沟。 </w:t>
            </w:r>
          </w:p>
          <w:p w14:paraId="3013EBF6">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另外，在表土剥离和堆放过程中还应注意以下几点要求： </w:t>
            </w:r>
          </w:p>
          <w:p w14:paraId="61F66878">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（1）表土剥离收集过程中应注意对树根、灌木、草皮的清理，避免与表土混合影响表土堆放的稳定性； </w:t>
            </w:r>
          </w:p>
          <w:p w14:paraId="2717443E">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（2）遵循“先拦后堆”的原则，先做好拦挡工作后，再集中堆放表土，且在堆放时尽可能将表土压实； </w:t>
            </w:r>
          </w:p>
          <w:p w14:paraId="76D46963">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（3）必须按上述要求做好上述临时防护措施； </w:t>
            </w:r>
          </w:p>
          <w:p w14:paraId="2F599BDA">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（4）施工完成后应尽快完成覆土及植被恢复工作，尽可能减少其堆放时间。 </w:t>
            </w:r>
          </w:p>
          <w:p w14:paraId="7F418076">
            <w:pPr>
              <w:pStyle w:val="14"/>
              <w:keepNext w:val="0"/>
              <w:keepLines w:val="0"/>
              <w:pageBreakBefore w:val="0"/>
              <w:tabs>
                <w:tab w:val="left" w:pos="0"/>
              </w:tabs>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rPr>
              <w:t>（3）土地</w:t>
            </w:r>
            <w:r>
              <w:rPr>
                <w:rFonts w:hint="eastAsia" w:ascii="Times New Roman" w:hAnsi="Times New Roman"/>
                <w:color w:val="auto"/>
                <w:sz w:val="24"/>
                <w:highlight w:val="none"/>
                <w:lang w:eastAsia="zh-CN"/>
              </w:rPr>
              <w:t>复垦</w:t>
            </w:r>
          </w:p>
          <w:p w14:paraId="386E715E">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地面钻孔完工后，将场区内设施设备全部回收利用，场地清理工作结束后，对各池体进行填凹、推平。根据已已批复的土地复垦方案的相关要求进行复垦，用前期剥离的表土辅于客土进行回填。采取以下工程措施</w:t>
            </w:r>
          </w:p>
          <w:p w14:paraId="79DCB567">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①土地深松工程：根据临时用地破坏情况，由于对项目区的压占，将使得土壤发生板结固化，在复垦时，需对复垦为耕地的部分土壤进行深松，以满足作物生长要求</w:t>
            </w:r>
          </w:p>
          <w:p w14:paraId="1F8E4B00">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②土壤改良工程：基本措施包括：土壤水利改良，如建立农田排灌工程，调节地下水位，改善土壤水分状况，排除和防止沼泽化和盐碱化； </w:t>
            </w:r>
          </w:p>
          <w:p w14:paraId="31D6A5A3">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土壤工程改良，如运用平整土地等工程措施，改良土壤条件； </w:t>
            </w:r>
          </w:p>
          <w:p w14:paraId="4B889A72">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土壤生物改良，运用各种生物途径（如种植绿肥），增加土壤有机质以提高土壤肥力，或营造防护林防治水土流失等； </w:t>
            </w:r>
          </w:p>
          <w:p w14:paraId="50711EAC">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土壤耕作改良，通过改进耕作方法改良土壤条件； </w:t>
            </w:r>
          </w:p>
          <w:p w14:paraId="7D3A3254">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土壤化学改良，如施用化肥和各种土壤改良剂等提高土壤肥力，改善土壤结构，消除土壤污染等。根据临时用地土壤状况选择土壤工程改良措施。</w:t>
            </w:r>
          </w:p>
          <w:p w14:paraId="42AF9F8B">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复垦后应达到《土地复垦质量控制标准》（TDT1036-2013）中规定的要求。恢复场区原地貌。</w:t>
            </w:r>
          </w:p>
          <w:p w14:paraId="7D6F2E12">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项目土地复垦过程中会产生施工扬尘，建设单位在施工过程中应采取雾化喷淋措施抑制扬尘产生，减少扬尘对周边环境的影响。</w:t>
            </w:r>
          </w:p>
          <w:p w14:paraId="57961B63">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2、其他环境要素环境保护措施</w:t>
            </w:r>
          </w:p>
          <w:p w14:paraId="54728D07">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（1）施工</w:t>
            </w:r>
            <w:r>
              <w:rPr>
                <w:rFonts w:ascii="Times New Roman" w:hAnsi="Times New Roman" w:eastAsia="宋体" w:cs="Times New Roman"/>
                <w:color w:val="auto"/>
                <w:kern w:val="0"/>
                <w:sz w:val="24"/>
                <w:szCs w:val="24"/>
              </w:rPr>
              <w:t>废气污染防治措施</w:t>
            </w:r>
          </w:p>
          <w:p w14:paraId="6C06B42B">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施工期大气环境影响主要来源于</w:t>
            </w:r>
            <w:r>
              <w:rPr>
                <w:rFonts w:hint="default" w:ascii="Times New Roman" w:hAnsi="Times New Roman" w:cs="Times New Roman"/>
                <w:bCs/>
                <w:color w:val="auto"/>
                <w:sz w:val="24"/>
                <w:highlight w:val="none"/>
              </w:rPr>
              <w:t>施工现场运输车辆、</w:t>
            </w:r>
            <w:r>
              <w:rPr>
                <w:rFonts w:hint="eastAsia" w:ascii="Times New Roman" w:hAnsi="Times New Roman" w:cs="Times New Roman"/>
                <w:bCs/>
                <w:color w:val="auto"/>
                <w:sz w:val="24"/>
                <w:highlight w:val="none"/>
                <w:lang w:eastAsia="zh-CN"/>
              </w:rPr>
              <w:t>现场</w:t>
            </w:r>
            <w:r>
              <w:rPr>
                <w:rFonts w:hint="default" w:ascii="Times New Roman" w:hAnsi="Times New Roman" w:cs="Times New Roman"/>
                <w:bCs/>
                <w:color w:val="auto"/>
                <w:sz w:val="24"/>
                <w:highlight w:val="none"/>
              </w:rPr>
              <w:t>作业过程中扬起的灰尘</w:t>
            </w:r>
            <w:r>
              <w:rPr>
                <w:rFonts w:ascii="Times New Roman" w:hAnsi="Times New Roman" w:eastAsia="宋体" w:cs="Times New Roman"/>
                <w:color w:val="auto"/>
                <w:kern w:val="0"/>
                <w:sz w:val="24"/>
                <w:szCs w:val="24"/>
              </w:rPr>
              <w:t>，这些污染物将对环境空气造成一定程度的污染，但这种污染是短期的，工程结束后，将不复存在。</w:t>
            </w:r>
            <w:r>
              <w:rPr>
                <w:rFonts w:hint="eastAsia" w:ascii="Times New Roman" w:hAnsi="Times New Roman" w:eastAsia="宋体" w:cs="Times New Roman"/>
                <w:color w:val="auto"/>
                <w:kern w:val="0"/>
                <w:sz w:val="24"/>
                <w:szCs w:val="24"/>
              </w:rPr>
              <w:t>本项目施工过程中主要以电力作为施工动力，仅在施工前期及运输过程中使用燃油机械及设备，由于燃油机械使用为间断使用，污染物排放量小，对环境空气的不利影响很小，施工结束后，影响将消失。</w:t>
            </w:r>
          </w:p>
          <w:p w14:paraId="50232101">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项目施工过程中的大气污染主要来自于</w:t>
            </w:r>
            <w:r>
              <w:rPr>
                <w:rFonts w:hint="default" w:ascii="Times New Roman" w:hAnsi="Times New Roman" w:cs="Times New Roman"/>
                <w:bCs/>
                <w:color w:val="auto"/>
                <w:sz w:val="24"/>
                <w:highlight w:val="none"/>
              </w:rPr>
              <w:t>施工现场运输车辆、</w:t>
            </w:r>
            <w:r>
              <w:rPr>
                <w:rFonts w:hint="eastAsia" w:ascii="Times New Roman" w:hAnsi="Times New Roman" w:cs="Times New Roman"/>
                <w:bCs/>
                <w:color w:val="auto"/>
                <w:sz w:val="24"/>
                <w:highlight w:val="none"/>
                <w:lang w:eastAsia="zh-CN"/>
              </w:rPr>
              <w:t>现场</w:t>
            </w:r>
            <w:r>
              <w:rPr>
                <w:rFonts w:hint="default" w:ascii="Times New Roman" w:hAnsi="Times New Roman" w:cs="Times New Roman"/>
                <w:bCs/>
                <w:color w:val="auto"/>
                <w:sz w:val="24"/>
                <w:highlight w:val="none"/>
              </w:rPr>
              <w:t>作业过程中扬起的灰尘</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本项目施工过程中主要以电力作为施工动力，仅在施工前期及运输过程中使用燃油机械及设备，由于燃油机械使用为间断使用，污染物排放量小，对环境空气的不利影响很小，施工结束后，影响将消失。</w:t>
            </w:r>
          </w:p>
          <w:p w14:paraId="2416EAB8">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施工期间应特别注意施工扬尘的防治问题，须制定必要的防治措施，以减少施工扬尘对周围环境的影响：</w:t>
            </w:r>
          </w:p>
          <w:p w14:paraId="26A93DB4">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现场封闭管理百分之百</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施工现场硬质围挡应连续设置，施工场地围挡不低于1.8m，做到坚固、平稳、整洁、美观。</w:t>
            </w:r>
          </w:p>
          <w:p w14:paraId="6450A176">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②</w:t>
            </w:r>
            <w:r>
              <w:rPr>
                <w:rFonts w:ascii="Times New Roman" w:hAnsi="Times New Roman" w:eastAsia="宋体" w:cs="Times New Roman"/>
                <w:color w:val="auto"/>
                <w:kern w:val="0"/>
                <w:sz w:val="24"/>
                <w:szCs w:val="24"/>
              </w:rPr>
              <w:t>渣土物料蓬盖百分之百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施工现场内裸露的场地和集中堆放的土方应采取覆盖、固化或绿化等防尘措施。易产生扬尘的物料要篷盖。</w:t>
            </w:r>
          </w:p>
          <w:p w14:paraId="29D9847F">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洒水清扫保洁百分之百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36F0CDE3">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物料密闭运输百分之百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易产生扬尘的原料和渣土应采取密闭搬运、存储或采用防尘布苫盖等防尘措施。严禁熔融沥青、焚烧垃圾等有毒有害物质，禁止无牌无证车辆进入施工现场。</w:t>
            </w:r>
          </w:p>
          <w:p w14:paraId="1CB0D8B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⑤施工车辆在易起尘路段运输时</w:t>
            </w:r>
            <w:r>
              <w:rPr>
                <w:rFonts w:ascii="Times New Roman" w:hAnsi="Times New Roman" w:eastAsia="宋体" w:cs="Times New Roman"/>
                <w:color w:val="auto"/>
                <w:kern w:val="0"/>
                <w:sz w:val="24"/>
                <w:szCs w:val="24"/>
              </w:rPr>
              <w:t>限制车速</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设置限速标志</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车速越慢，扬尘量越小。避免大风天气作业进行水泥</w:t>
            </w:r>
            <w:r>
              <w:rPr>
                <w:rFonts w:hint="eastAsia" w:ascii="Times New Roman" w:hAnsi="Times New Roman" w:eastAsia="宋体" w:cs="Times New Roman"/>
                <w:color w:val="auto"/>
                <w:kern w:val="0"/>
                <w:sz w:val="24"/>
                <w:szCs w:val="24"/>
                <w:lang w:eastAsia="zh-CN"/>
              </w:rPr>
              <w:t>装卸、搅拌</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eastAsia="zh-CN"/>
              </w:rPr>
              <w:t>土方</w:t>
            </w:r>
            <w:r>
              <w:rPr>
                <w:rFonts w:ascii="Times New Roman" w:hAnsi="Times New Roman" w:eastAsia="宋体" w:cs="Times New Roman"/>
                <w:color w:val="auto"/>
                <w:kern w:val="0"/>
                <w:sz w:val="24"/>
                <w:szCs w:val="24"/>
              </w:rPr>
              <w:t>等的作业，对水泥</w:t>
            </w:r>
            <w:r>
              <w:rPr>
                <w:rFonts w:hint="eastAsia" w:ascii="Times New Roman" w:hAnsi="Times New Roman" w:eastAsia="宋体" w:cs="Times New Roman"/>
                <w:color w:val="auto"/>
                <w:kern w:val="0"/>
                <w:sz w:val="24"/>
                <w:szCs w:val="24"/>
                <w:lang w:eastAsia="zh-CN"/>
              </w:rPr>
              <w:t>等粉状物料</w:t>
            </w:r>
            <w:r>
              <w:rPr>
                <w:rFonts w:ascii="Times New Roman" w:hAnsi="Times New Roman" w:eastAsia="宋体" w:cs="Times New Roman"/>
                <w:color w:val="auto"/>
                <w:kern w:val="0"/>
                <w:sz w:val="24"/>
                <w:szCs w:val="24"/>
              </w:rPr>
              <w:t>堆放</w:t>
            </w:r>
            <w:r>
              <w:rPr>
                <w:rFonts w:hint="eastAsia" w:ascii="Times New Roman" w:hAnsi="Times New Roman" w:eastAsia="宋体" w:cs="Times New Roman"/>
                <w:color w:val="auto"/>
                <w:kern w:val="0"/>
                <w:sz w:val="24"/>
                <w:szCs w:val="24"/>
                <w:lang w:eastAsia="zh-CN"/>
              </w:rPr>
              <w:t>在材料棚内，严禁</w:t>
            </w:r>
            <w:r>
              <w:rPr>
                <w:rFonts w:ascii="Times New Roman" w:hAnsi="Times New Roman" w:eastAsia="宋体" w:cs="Times New Roman"/>
                <w:color w:val="auto"/>
                <w:kern w:val="0"/>
                <w:sz w:val="24"/>
                <w:szCs w:val="24"/>
              </w:rPr>
              <w:t>露天堆放。</w:t>
            </w:r>
          </w:p>
          <w:p w14:paraId="5E8BED6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⑥</w:t>
            </w:r>
            <w:r>
              <w:rPr>
                <w:rFonts w:ascii="Times New Roman" w:hAnsi="Times New Roman" w:eastAsia="宋体" w:cs="Times New Roman"/>
                <w:color w:val="auto"/>
                <w:kern w:val="0"/>
                <w:sz w:val="24"/>
                <w:szCs w:val="24"/>
              </w:rPr>
              <w:t>结合《安徽省大气污染防治行动计划实施方案》《大气污染防治行动计划》（国发〔2013〕37号）、《安徽省建筑工程施工和预拌混凝土生产扬尘污染防治标准（试行）》《淮南市扬尘污染防治</w:t>
            </w:r>
            <w:r>
              <w:rPr>
                <w:rFonts w:hint="eastAsia" w:ascii="Times New Roman" w:hAnsi="Times New Roman" w:eastAsia="宋体" w:cs="Times New Roman"/>
                <w:color w:val="auto"/>
                <w:kern w:val="0"/>
                <w:sz w:val="24"/>
                <w:szCs w:val="24"/>
              </w:rPr>
              <w:t>条例</w:t>
            </w:r>
            <w:r>
              <w:rPr>
                <w:rFonts w:ascii="Times New Roman" w:hAnsi="Times New Roman" w:eastAsia="宋体" w:cs="Times New Roman"/>
                <w:color w:val="auto"/>
                <w:kern w:val="0"/>
                <w:sz w:val="24"/>
                <w:szCs w:val="24"/>
              </w:rPr>
              <w:t>》中相关要求，加强现场管理，做好文明标化施工，采取配置工地滞尘防护网、设置围挡和硬化道路，选用合格的施工车辆，禁止使用淘汰、报废车辆进行施工等措施</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最大程度减少扬尘对周围大气环境的</w:t>
            </w:r>
            <w:r>
              <w:rPr>
                <w:rFonts w:hint="eastAsia" w:ascii="Times New Roman" w:hAnsi="Times New Roman" w:eastAsia="宋体" w:cs="Times New Roman"/>
                <w:color w:val="auto"/>
                <w:kern w:val="0"/>
                <w:sz w:val="24"/>
                <w:szCs w:val="24"/>
                <w:lang w:eastAsia="zh-CN"/>
              </w:rPr>
              <w:t>影响</w:t>
            </w:r>
            <w:r>
              <w:rPr>
                <w:rFonts w:ascii="Times New Roman" w:hAnsi="Times New Roman" w:eastAsia="宋体" w:cs="Times New Roman"/>
                <w:color w:val="auto"/>
                <w:kern w:val="0"/>
                <w:sz w:val="24"/>
                <w:szCs w:val="24"/>
              </w:rPr>
              <w:t>。</w:t>
            </w:r>
          </w:p>
          <w:p w14:paraId="28FA0441">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2"/>
                <w:sz w:val="24"/>
                <w:szCs w:val="24"/>
                <w:lang w:val="en-US" w:eastAsia="zh-CN" w:bidi="ar-SA"/>
              </w:rPr>
              <w:t>本项目施工期所在地区风速相对较小，项目工程小，采取相关措施后，可有效减轻扬尘污染，降低施工期扬尘对大气环境的影响，且施工期扬尘对大气环境的影响是短暂的，随着实施期的结束而消失。</w:t>
            </w:r>
          </w:p>
          <w:p w14:paraId="7271399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（2）施工废水</w:t>
            </w:r>
            <w:r>
              <w:rPr>
                <w:rFonts w:ascii="Times New Roman" w:hAnsi="Times New Roman" w:eastAsia="宋体" w:cs="Times New Roman"/>
                <w:color w:val="auto"/>
                <w:kern w:val="0"/>
                <w:sz w:val="24"/>
                <w:szCs w:val="24"/>
              </w:rPr>
              <w:t>污染防治措施</w:t>
            </w:r>
          </w:p>
          <w:p w14:paraId="1A4F08A1">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rPr>
              <w:t>施工期产生的废水主要为</w:t>
            </w:r>
            <w:r>
              <w:rPr>
                <w:rFonts w:hint="eastAsia" w:ascii="Times New Roman" w:hAnsi="Times New Roman" w:eastAsia="宋体" w:cs="Times New Roman"/>
                <w:color w:val="auto"/>
                <w:kern w:val="0"/>
                <w:sz w:val="24"/>
                <w:szCs w:val="24"/>
                <w:lang w:eastAsia="zh-CN"/>
              </w:rPr>
              <w:t>生活污水，</w:t>
            </w:r>
            <w:r>
              <w:rPr>
                <w:rFonts w:ascii="Times New Roman" w:hAnsi="Times New Roman" w:eastAsia="宋体" w:cs="Times New Roman"/>
                <w:color w:val="auto"/>
                <w:kern w:val="0"/>
                <w:sz w:val="24"/>
                <w:szCs w:val="24"/>
              </w:rPr>
              <w:t>生活污水经化粪池</w:t>
            </w:r>
            <w:r>
              <w:rPr>
                <w:rFonts w:hint="eastAsia" w:ascii="Times New Roman" w:hAnsi="Times New Roman" w:eastAsia="宋体" w:cs="Times New Roman"/>
                <w:color w:val="auto"/>
                <w:kern w:val="0"/>
                <w:sz w:val="24"/>
                <w:szCs w:val="24"/>
                <w:lang w:eastAsia="zh-CN"/>
              </w:rPr>
              <w:t>预处理后定期</w:t>
            </w:r>
            <w:r>
              <w:rPr>
                <w:rFonts w:ascii="Times New Roman" w:hAnsi="Times New Roman" w:eastAsia="宋体" w:cs="Times New Roman"/>
                <w:color w:val="auto"/>
                <w:kern w:val="0"/>
                <w:sz w:val="24"/>
                <w:szCs w:val="24"/>
              </w:rPr>
              <w:t>清掏用于农田施肥。</w:t>
            </w:r>
            <w:r>
              <w:rPr>
                <w:rFonts w:hint="eastAsia" w:ascii="Times New Roman" w:hAnsi="Times New Roman" w:eastAsia="宋体" w:cs="Times New Roman"/>
                <w:color w:val="auto"/>
                <w:sz w:val="24"/>
                <w:szCs w:val="24"/>
                <w:lang w:val="en-US" w:eastAsia="zh-CN"/>
              </w:rPr>
              <w:t>项目所在区域为</w:t>
            </w:r>
            <w:r>
              <w:rPr>
                <w:rFonts w:hint="eastAsia" w:ascii="Times New Roman" w:hAnsi="Times New Roman" w:eastAsia="宋体" w:cs="Times New Roman"/>
                <w:color w:val="auto"/>
                <w:kern w:val="2"/>
                <w:sz w:val="24"/>
                <w:szCs w:val="24"/>
                <w:highlight w:val="none"/>
                <w:lang w:val="en-US" w:eastAsia="zh-CN" w:bidi="ar-SA"/>
              </w:rPr>
              <w:t>农田生态系统占绝对优势，区域内大部分为人工植被，因此施工生活污水用于农田施肥是可行的。</w:t>
            </w:r>
          </w:p>
          <w:p w14:paraId="454D6B8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（3）施工噪声污染</w:t>
            </w:r>
            <w:r>
              <w:rPr>
                <w:rFonts w:ascii="Times New Roman" w:hAnsi="Times New Roman" w:eastAsia="宋体" w:cs="Times New Roman"/>
                <w:color w:val="auto"/>
                <w:kern w:val="0"/>
                <w:sz w:val="24"/>
                <w:szCs w:val="24"/>
              </w:rPr>
              <w:t>防治措施</w:t>
            </w:r>
          </w:p>
          <w:p w14:paraId="1F43942D">
            <w:pPr>
              <w:spacing w:line="360" w:lineRule="auto"/>
              <w:ind w:firstLine="480" w:firstLineChars="20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为减轻项目施工对周边环境的影响，评价提出如下措施加以控制：</w:t>
            </w:r>
          </w:p>
          <w:p w14:paraId="21200482">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①合理确定施工场界：划定施工场界时，应在满足施工要求的前提下，尽量使高噪声、作业周期长的施工机械或设备的作业点与厂界保持较远的距离，以减少施工噪声的影响；</w:t>
            </w:r>
          </w:p>
          <w:p w14:paraId="267EE483">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 xml:space="preserve">②采用低噪声机械，高噪声设备定期维修、养护，减少机械设备由于松动部件的振动等而增加其工作时的声级；对闲置不用的设备及时关闭； </w:t>
            </w:r>
          </w:p>
          <w:p w14:paraId="08D5713A">
            <w:pPr>
              <w:autoSpaceDE w:val="0"/>
              <w:autoSpaceDN w:val="0"/>
              <w:spacing w:line="360" w:lineRule="auto"/>
              <w:ind w:firstLine="480" w:firstLineChars="200"/>
              <w:rPr>
                <w:rFonts w:hint="eastAsia"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③</w:t>
            </w:r>
            <w:r>
              <w:rPr>
                <w:rFonts w:hint="eastAsia" w:cs="Times New Roman"/>
                <w:color w:val="auto"/>
                <w:kern w:val="0"/>
                <w:sz w:val="24"/>
                <w:szCs w:val="24"/>
                <w:highlight w:val="none"/>
                <w:lang w:val="en-US" w:eastAsia="zh-CN"/>
              </w:rPr>
              <w:t xml:space="preserve">按规定操作机械设备，在施工过程中减少碰撞噪声，在支架拆卸等过程中减少碰撞噪声，减轻人为噪声对声环境的影响； </w:t>
            </w:r>
          </w:p>
          <w:p w14:paraId="44FA9F17">
            <w:pPr>
              <w:spacing w:line="360" w:lineRule="auto"/>
              <w:ind w:firstLine="480" w:firstLineChars="200"/>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 xml:space="preserve">④物料进场选择在白天，装卸材料应做到轻拿轻放，做到文明施工；运输车辆进入施工现场严禁鸣笛，做到文明施工。 </w:t>
            </w:r>
          </w:p>
          <w:p w14:paraId="249E0813">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（4）施工</w:t>
            </w:r>
            <w:r>
              <w:rPr>
                <w:rFonts w:ascii="Times New Roman" w:hAnsi="Times New Roman" w:eastAsia="宋体" w:cs="Times New Roman"/>
                <w:color w:val="auto"/>
                <w:kern w:val="0"/>
                <w:sz w:val="24"/>
                <w:szCs w:val="24"/>
              </w:rPr>
              <w:t>固体废物污染防治措施</w:t>
            </w:r>
          </w:p>
          <w:p w14:paraId="31E89606">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本项目产生的固体废物主要为一般固废</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生活垃圾</w:t>
            </w:r>
            <w:r>
              <w:rPr>
                <w:rFonts w:hint="eastAsia" w:ascii="Times New Roman" w:hAnsi="Times New Roman" w:eastAsia="宋体" w:cs="Times New Roman"/>
                <w:color w:val="auto"/>
                <w:kern w:val="0"/>
                <w:sz w:val="24"/>
                <w:szCs w:val="24"/>
                <w:lang w:eastAsia="zh-CN"/>
              </w:rPr>
              <w:t>和危险废物</w:t>
            </w:r>
            <w:r>
              <w:rPr>
                <w:rFonts w:hint="eastAsia" w:ascii="Times New Roman" w:hAnsi="Times New Roman" w:eastAsia="宋体" w:cs="Times New Roman"/>
                <w:bCs/>
                <w:color w:val="auto"/>
                <w:sz w:val="24"/>
                <w:szCs w:val="24"/>
                <w:lang w:eastAsia="zh-CN"/>
              </w:rPr>
              <w:t>。</w:t>
            </w:r>
          </w:p>
          <w:p w14:paraId="3BB161DD">
            <w:pPr>
              <w:autoSpaceDE w:val="0"/>
              <w:autoSpaceDN w:val="0"/>
              <w:spacing w:line="360" w:lineRule="auto"/>
              <w:ind w:firstLine="480" w:firstLineChars="200"/>
              <w:rPr>
                <w:rFonts w:hint="eastAsia" w:ascii="Times New Roman" w:hAnsi="Times New Roman" w:eastAsia="宋体" w:cs="Times New Roman"/>
                <w:color w:val="auto"/>
                <w:kern w:val="0"/>
                <w:sz w:val="24"/>
                <w:szCs w:val="21"/>
                <w:lang w:eastAsia="zh-CN"/>
              </w:rPr>
            </w:pPr>
            <w:r>
              <w:rPr>
                <w:rFonts w:ascii="Times New Roman" w:hAnsi="Times New Roman" w:eastAsia="宋体" w:cs="Times New Roman"/>
                <w:color w:val="auto"/>
                <w:kern w:val="0"/>
                <w:sz w:val="24"/>
                <w:szCs w:val="21"/>
              </w:rPr>
              <w:t>一般固废：</w:t>
            </w:r>
            <w:r>
              <w:rPr>
                <w:rFonts w:hint="eastAsia" w:ascii="Times New Roman" w:hAnsi="Times New Roman" w:eastAsia="宋体" w:cs="Times New Roman"/>
                <w:bCs/>
                <w:color w:val="auto"/>
                <w:sz w:val="24"/>
                <w:szCs w:val="24"/>
                <w:lang w:eastAsia="zh-CN"/>
              </w:rPr>
              <w:t>废</w:t>
            </w:r>
            <w:r>
              <w:rPr>
                <w:rFonts w:hint="eastAsia" w:ascii="Times New Roman" w:hAnsi="Times New Roman" w:eastAsia="宋体" w:cs="Times New Roman"/>
                <w:color w:val="auto"/>
                <w:sz w:val="24"/>
                <w:szCs w:val="24"/>
                <w:highlight w:val="none"/>
                <w:lang w:eastAsia="zh-CN"/>
              </w:rPr>
              <w:t>泥浆暂存于</w:t>
            </w:r>
            <w:r>
              <w:rPr>
                <w:rFonts w:hint="eastAsia" w:ascii="Times New Roman" w:hAnsi="Times New Roman" w:eastAsia="宋体" w:cs="Times New Roman"/>
                <w:bCs/>
                <w:color w:val="auto"/>
                <w:sz w:val="24"/>
                <w:szCs w:val="24"/>
                <w:lang w:eastAsia="zh-CN"/>
              </w:rPr>
              <w:t>废浆池中</w:t>
            </w:r>
            <w:r>
              <w:rPr>
                <w:rFonts w:hint="eastAsia" w:ascii="Times New Roman" w:hAnsi="Times New Roman" w:eastAsia="宋体" w:cs="Times New Roman"/>
                <w:bCs/>
                <w:color w:val="auto"/>
                <w:sz w:val="24"/>
                <w:szCs w:val="24"/>
                <w:lang w:val="en-US" w:eastAsia="zh-CN"/>
              </w:rPr>
              <w:t>，施工完成后加入固化剂固化后用于周</w:t>
            </w:r>
            <w:r>
              <w:rPr>
                <w:rFonts w:hint="eastAsia" w:ascii="Times New Roman" w:hAnsi="Times New Roman" w:eastAsia="宋体" w:cs="Times New Roman"/>
                <w:color w:val="auto"/>
                <w:kern w:val="0"/>
                <w:sz w:val="24"/>
                <w:szCs w:val="24"/>
                <w:highlight w:val="none"/>
                <w:lang w:val="en-US" w:eastAsia="zh-CN" w:bidi="ar-SA"/>
              </w:rPr>
              <w:t>边道路填筑或者交第三方公司综合利用。钻井</w:t>
            </w:r>
            <w:r>
              <w:rPr>
                <w:rFonts w:hint="eastAsia" w:ascii="Times New Roman" w:hAnsi="Times New Roman" w:eastAsia="宋体" w:cs="Times New Roman"/>
                <w:color w:val="auto"/>
                <w:sz w:val="24"/>
                <w:szCs w:val="24"/>
                <w:highlight w:val="none"/>
                <w:lang w:eastAsia="zh-CN"/>
              </w:rPr>
              <w:t>岩屑</w:t>
            </w:r>
            <w:r>
              <w:rPr>
                <w:rFonts w:ascii="Times New Roman" w:hAnsi="Times New Roman" w:eastAsia="宋体" w:cs="Times New Roman"/>
                <w:bCs/>
                <w:color w:val="auto"/>
                <w:sz w:val="24"/>
                <w:szCs w:val="24"/>
              </w:rPr>
              <w:t>暂存于</w:t>
            </w:r>
            <w:r>
              <w:rPr>
                <w:rFonts w:hint="eastAsia" w:ascii="Times New Roman" w:hAnsi="Times New Roman" w:eastAsia="宋体" w:cs="Times New Roman"/>
                <w:bCs/>
                <w:color w:val="auto"/>
                <w:sz w:val="24"/>
                <w:szCs w:val="24"/>
                <w:lang w:eastAsia="zh-CN"/>
              </w:rPr>
              <w:t>场地砂池中，自然干化用于</w:t>
            </w:r>
            <w:r>
              <w:rPr>
                <w:rFonts w:hint="eastAsia" w:ascii="Times New Roman" w:hAnsi="Times New Roman" w:eastAsia="宋体" w:cs="Times New Roman"/>
                <w:color w:val="auto"/>
                <w:kern w:val="0"/>
                <w:sz w:val="24"/>
                <w:szCs w:val="24"/>
                <w:highlight w:val="none"/>
                <w:lang w:val="en-US" w:eastAsia="zh-CN" w:bidi="ar-SA"/>
              </w:rPr>
              <w:t>周边道路填筑。</w:t>
            </w:r>
            <w:r>
              <w:rPr>
                <w:rFonts w:ascii="Times New Roman" w:hAnsi="Times New Roman" w:eastAsia="宋体" w:cs="Times New Roman"/>
                <w:color w:val="auto"/>
                <w:kern w:val="0"/>
                <w:sz w:val="24"/>
                <w:szCs w:val="21"/>
              </w:rPr>
              <w:t>废包装材料集中收集后外售</w:t>
            </w:r>
            <w:r>
              <w:rPr>
                <w:rFonts w:hint="eastAsia" w:ascii="Times New Roman" w:hAnsi="Times New Roman" w:eastAsia="宋体" w:cs="Times New Roman"/>
                <w:color w:val="auto"/>
                <w:kern w:val="0"/>
                <w:sz w:val="24"/>
                <w:szCs w:val="21"/>
              </w:rPr>
              <w:t>处置</w:t>
            </w:r>
            <w:r>
              <w:rPr>
                <w:rFonts w:hint="eastAsia" w:ascii="Times New Roman" w:hAnsi="Times New Roman" w:eastAsia="宋体" w:cs="Times New Roman"/>
                <w:color w:val="auto"/>
                <w:kern w:val="0"/>
                <w:sz w:val="24"/>
                <w:szCs w:val="21"/>
                <w:lang w:eastAsia="zh-CN"/>
              </w:rPr>
              <w:t>，</w:t>
            </w:r>
            <w:r>
              <w:rPr>
                <w:rFonts w:hint="eastAsia" w:ascii="Times New Roman" w:hAnsi="Times New Roman" w:eastAsia="宋体" w:cs="Times New Roman"/>
                <w:color w:val="auto"/>
                <w:sz w:val="24"/>
                <w:szCs w:val="24"/>
              </w:rPr>
              <w:t>废包装</w:t>
            </w:r>
            <w:r>
              <w:rPr>
                <w:rFonts w:hint="eastAsia" w:ascii="Times New Roman" w:hAnsi="Times New Roman" w:eastAsia="宋体" w:cs="Times New Roman"/>
                <w:color w:val="auto"/>
                <w:sz w:val="24"/>
                <w:szCs w:val="24"/>
                <w:lang w:eastAsia="zh-CN"/>
              </w:rPr>
              <w:t>袋</w:t>
            </w:r>
            <w:r>
              <w:rPr>
                <w:rFonts w:hint="eastAsia" w:ascii="Times New Roman" w:hAnsi="宋体" w:eastAsia="宋体" w:cs="Times New Roman"/>
                <w:color w:val="auto"/>
                <w:sz w:val="24"/>
              </w:rPr>
              <w:t>拆包</w:t>
            </w:r>
            <w:r>
              <w:rPr>
                <w:rFonts w:hint="eastAsia" w:ascii="Times New Roman" w:hAnsi="宋体" w:eastAsia="宋体" w:cs="Times New Roman"/>
                <w:color w:val="auto"/>
                <w:sz w:val="24"/>
                <w:lang w:eastAsia="zh-CN"/>
              </w:rPr>
              <w:t>后即外售给综合利用人员，施工场地不存储</w:t>
            </w:r>
            <w:r>
              <w:rPr>
                <w:rFonts w:hint="eastAsia" w:ascii="Times New Roman" w:hAnsi="Times New Roman" w:eastAsia="宋体" w:cs="Times New Roman"/>
                <w:color w:val="auto"/>
                <w:kern w:val="0"/>
                <w:sz w:val="24"/>
                <w:szCs w:val="21"/>
                <w:lang w:eastAsia="zh-CN"/>
              </w:rPr>
              <w:t>。</w:t>
            </w:r>
            <w:r>
              <w:rPr>
                <w:rFonts w:ascii="Times New Roman" w:hAnsi="Times New Roman" w:eastAsia="宋体" w:cs="Times New Roman"/>
                <w:color w:val="auto"/>
                <w:kern w:val="0"/>
                <w:sz w:val="24"/>
                <w:szCs w:val="21"/>
              </w:rPr>
              <w:t>生活垃圾</w:t>
            </w:r>
            <w:r>
              <w:rPr>
                <w:rFonts w:hint="eastAsia" w:ascii="Times New Roman" w:hAnsi="Times New Roman" w:eastAsia="宋体" w:cs="Times New Roman"/>
                <w:color w:val="auto"/>
                <w:kern w:val="0"/>
                <w:sz w:val="24"/>
                <w:szCs w:val="21"/>
                <w:lang w:eastAsia="zh-CN"/>
              </w:rPr>
              <w:t>采用</w:t>
            </w:r>
            <w:r>
              <w:rPr>
                <w:rFonts w:ascii="Times New Roman" w:hAnsi="Times New Roman" w:eastAsia="宋体" w:cs="Times New Roman"/>
                <w:color w:val="auto"/>
                <w:kern w:val="0"/>
                <w:sz w:val="24"/>
                <w:szCs w:val="21"/>
              </w:rPr>
              <w:t>垃圾桶</w:t>
            </w:r>
            <w:r>
              <w:rPr>
                <w:rFonts w:hint="eastAsia" w:ascii="Times New Roman" w:hAnsi="Times New Roman" w:eastAsia="宋体" w:cs="Times New Roman"/>
                <w:color w:val="auto"/>
                <w:kern w:val="0"/>
                <w:sz w:val="24"/>
                <w:szCs w:val="21"/>
                <w:lang w:eastAsia="zh-CN"/>
              </w:rPr>
              <w:t>收集后</w:t>
            </w:r>
            <w:r>
              <w:rPr>
                <w:rFonts w:ascii="Times New Roman" w:hAnsi="Times New Roman" w:eastAsia="宋体" w:cs="Times New Roman"/>
                <w:color w:val="auto"/>
                <w:kern w:val="0"/>
                <w:sz w:val="24"/>
                <w:szCs w:val="21"/>
              </w:rPr>
              <w:t>由环卫部门清运</w:t>
            </w:r>
            <w:r>
              <w:rPr>
                <w:rFonts w:hint="eastAsia" w:ascii="Times New Roman" w:hAnsi="Times New Roman" w:eastAsia="宋体" w:cs="Times New Roman"/>
                <w:color w:val="auto"/>
                <w:kern w:val="0"/>
                <w:sz w:val="24"/>
                <w:szCs w:val="21"/>
                <w:lang w:eastAsia="zh-CN"/>
              </w:rPr>
              <w:t>处置。</w:t>
            </w:r>
          </w:p>
          <w:p w14:paraId="601FD0E0">
            <w:pPr>
              <w:autoSpaceDE w:val="0"/>
              <w:autoSpaceDN w:val="0"/>
              <w:spacing w:line="360" w:lineRule="auto"/>
              <w:ind w:firstLine="480" w:firstLineChars="200"/>
              <w:rPr>
                <w:rFonts w:hint="eastAsia" w:ascii="Times New Roman" w:hAnsi="Times New Roman" w:eastAsia="宋体" w:cs="Times New Roman"/>
                <w:color w:val="auto"/>
                <w:kern w:val="0"/>
                <w:sz w:val="24"/>
                <w:szCs w:val="21"/>
                <w:lang w:eastAsia="zh-CN"/>
              </w:rPr>
            </w:pPr>
            <w:r>
              <w:rPr>
                <w:rFonts w:hint="eastAsia" w:ascii="Times New Roman" w:hAnsi="Times New Roman" w:eastAsia="宋体" w:cs="Times New Roman"/>
                <w:color w:val="auto"/>
                <w:kern w:val="0"/>
                <w:sz w:val="24"/>
                <w:szCs w:val="21"/>
                <w:lang w:eastAsia="zh-CN"/>
              </w:rPr>
              <w:t>项目施工过程中应加强废弃泥浆的管理，严禁随意丢弃和排放，避免对周边环境造成污染。</w:t>
            </w:r>
          </w:p>
          <w:p w14:paraId="2F912226">
            <w:pPr>
              <w:autoSpaceDE w:val="0"/>
              <w:autoSpaceDN w:val="0"/>
              <w:spacing w:line="360" w:lineRule="auto"/>
              <w:ind w:firstLine="480" w:firstLineChars="200"/>
              <w:rPr>
                <w:rFonts w:ascii="Times New Roman" w:hAnsi="Times New Roman" w:eastAsia="宋体" w:cs="Times New Roman"/>
                <w:color w:val="auto"/>
                <w:kern w:val="0"/>
                <w:sz w:val="24"/>
                <w:szCs w:val="21"/>
              </w:rPr>
            </w:pPr>
            <w:r>
              <w:rPr>
                <w:rFonts w:ascii="Times New Roman" w:hAnsi="Times New Roman" w:eastAsia="宋体" w:cs="Times New Roman"/>
                <w:color w:val="auto"/>
                <w:kern w:val="0"/>
                <w:sz w:val="24"/>
                <w:szCs w:val="21"/>
              </w:rPr>
              <w:t>危险废物：</w:t>
            </w:r>
            <w:r>
              <w:rPr>
                <w:rFonts w:hint="eastAsia" w:ascii="Times New Roman" w:hAnsi="Times New Roman" w:eastAsia="宋体" w:cs="Times New Roman"/>
                <w:color w:val="auto"/>
                <w:kern w:val="0"/>
                <w:sz w:val="24"/>
                <w:szCs w:val="21"/>
                <w:lang w:eastAsia="zh-CN"/>
              </w:rPr>
              <w:t>废润滑油及桶、</w:t>
            </w:r>
            <w:r>
              <w:rPr>
                <w:rFonts w:ascii="Times New Roman" w:hAnsi="Times New Roman" w:eastAsia="宋体" w:cs="Times New Roman"/>
                <w:color w:val="auto"/>
                <w:kern w:val="0"/>
                <w:sz w:val="24"/>
                <w:szCs w:val="21"/>
              </w:rPr>
              <w:t>废含油抹布和废含油手套</w:t>
            </w:r>
            <w:r>
              <w:rPr>
                <w:rFonts w:hint="eastAsia" w:ascii="Times New Roman" w:hAnsi="Times New Roman" w:eastAsia="宋体" w:cs="Times New Roman"/>
                <w:bCs/>
                <w:color w:val="auto"/>
                <w:kern w:val="0"/>
                <w:sz w:val="24"/>
                <w:szCs w:val="21"/>
              </w:rPr>
              <w:t>暂存</w:t>
            </w:r>
            <w:r>
              <w:rPr>
                <w:rFonts w:ascii="Times New Roman" w:hAnsi="Times New Roman" w:eastAsia="宋体" w:cs="Times New Roman"/>
                <w:bCs/>
                <w:color w:val="auto"/>
                <w:kern w:val="0"/>
                <w:sz w:val="24"/>
                <w:szCs w:val="21"/>
              </w:rPr>
              <w:t>于</w:t>
            </w:r>
            <w:r>
              <w:rPr>
                <w:rFonts w:hint="eastAsia" w:ascii="Times New Roman" w:hAnsi="Times New Roman" w:eastAsia="宋体" w:cs="Times New Roman"/>
                <w:bCs/>
                <w:color w:val="auto"/>
                <w:kern w:val="0"/>
                <w:sz w:val="24"/>
                <w:szCs w:val="21"/>
                <w:lang w:eastAsia="zh-CN"/>
              </w:rPr>
              <w:t>施工场地设置的</w:t>
            </w:r>
            <w:r>
              <w:rPr>
                <w:rFonts w:ascii="Times New Roman" w:hAnsi="Times New Roman" w:eastAsia="宋体" w:cs="Times New Roman"/>
                <w:bCs/>
                <w:color w:val="auto"/>
                <w:kern w:val="0"/>
                <w:sz w:val="24"/>
                <w:szCs w:val="21"/>
              </w:rPr>
              <w:t>危险废物暂存间</w:t>
            </w:r>
            <w:r>
              <w:rPr>
                <w:rFonts w:hint="eastAsia" w:ascii="Times New Roman" w:hAnsi="Times New Roman" w:eastAsia="宋体" w:cs="Times New Roman"/>
                <w:bCs/>
                <w:color w:val="auto"/>
                <w:kern w:val="0"/>
                <w:sz w:val="24"/>
                <w:szCs w:val="21"/>
              </w:rPr>
              <w:t>，</w:t>
            </w:r>
            <w:r>
              <w:rPr>
                <w:rFonts w:ascii="Times New Roman" w:hAnsi="Times New Roman" w:eastAsia="宋体" w:cs="Times New Roman"/>
                <w:bCs/>
                <w:color w:val="auto"/>
                <w:kern w:val="0"/>
                <w:sz w:val="24"/>
                <w:szCs w:val="21"/>
              </w:rPr>
              <w:t>统一收集后定期交由有资质单位处理</w:t>
            </w:r>
            <w:r>
              <w:rPr>
                <w:rFonts w:ascii="Times New Roman" w:hAnsi="Times New Roman" w:eastAsia="宋体" w:cs="Times New Roman"/>
                <w:color w:val="auto"/>
                <w:kern w:val="0"/>
                <w:sz w:val="24"/>
                <w:szCs w:val="21"/>
              </w:rPr>
              <w:t>。</w:t>
            </w:r>
          </w:p>
          <w:p w14:paraId="206CC36C">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项目危险废物管理要求：</w:t>
            </w:r>
          </w:p>
          <w:p w14:paraId="27A70634">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项目对</w:t>
            </w:r>
            <w:r>
              <w:rPr>
                <w:rFonts w:hint="eastAsia" w:ascii="Times New Roman" w:hAnsi="Times New Roman" w:eastAsia="宋体" w:cs="Times New Roman"/>
                <w:color w:val="auto"/>
                <w:kern w:val="0"/>
                <w:sz w:val="24"/>
                <w:szCs w:val="21"/>
                <w:lang w:eastAsia="zh-CN"/>
              </w:rPr>
              <w:t>废润滑油及桶、</w:t>
            </w:r>
            <w:r>
              <w:rPr>
                <w:rFonts w:ascii="Times New Roman" w:hAnsi="Times New Roman" w:eastAsia="宋体" w:cs="Times New Roman"/>
                <w:color w:val="auto"/>
                <w:kern w:val="0"/>
                <w:sz w:val="24"/>
                <w:szCs w:val="21"/>
              </w:rPr>
              <w:t>废含油抹布和废含油手套</w:t>
            </w:r>
            <w:r>
              <w:rPr>
                <w:rFonts w:ascii="Times New Roman" w:hAnsi="Times New Roman" w:eastAsia="宋体" w:cs="Times New Roman"/>
                <w:color w:val="auto"/>
                <w:kern w:val="0"/>
                <w:sz w:val="24"/>
                <w:szCs w:val="24"/>
              </w:rPr>
              <w:t>的收集、贮存和运输应满足《危险废物收集、贮存、运输技术规范》（HJ2025-2012）相关要求，本次评价提出相关管理措施如下：</w:t>
            </w:r>
          </w:p>
          <w:p w14:paraId="3456B529">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收集</w:t>
            </w:r>
          </w:p>
          <w:p w14:paraId="26BB46A4">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采用专用容器进行收集，严格按照相关规定在产生源收集，并保证收集所用</w:t>
            </w:r>
            <w:r>
              <w:rPr>
                <w:rFonts w:hint="eastAsia" w:ascii="Times New Roman" w:hAnsi="Times New Roman" w:eastAsia="宋体" w:cs="Times New Roman"/>
                <w:color w:val="auto"/>
                <w:kern w:val="0"/>
                <w:sz w:val="24"/>
                <w:szCs w:val="24"/>
                <w:lang w:eastAsia="zh-CN"/>
              </w:rPr>
              <w:t>容器</w:t>
            </w:r>
            <w:r>
              <w:rPr>
                <w:rFonts w:ascii="Times New Roman" w:hAnsi="Times New Roman" w:eastAsia="宋体" w:cs="Times New Roman"/>
                <w:color w:val="auto"/>
                <w:kern w:val="0"/>
                <w:sz w:val="24"/>
                <w:szCs w:val="24"/>
              </w:rPr>
              <w:t>完好无损，无腐蚀、损毁或其他导致其使用能效减弱的缺陷，设置警示标识，并及时安全转运或处理处置。</w:t>
            </w:r>
          </w:p>
          <w:p w14:paraId="44EDECA7">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禁止将一般固废、生活垃圾等混入危险废物收集设施内。</w:t>
            </w:r>
          </w:p>
          <w:p w14:paraId="1F02CDBA">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暂存</w:t>
            </w:r>
          </w:p>
          <w:p w14:paraId="2F588696">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sz w:val="24"/>
                <w:szCs w:val="24"/>
                <w:lang w:val="en-US" w:eastAsia="zh-CN"/>
              </w:rPr>
              <w:t>本项目在3#施工场地设置1处危废暂存间，暂存间占地面积约5m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vertAlign w:val="baseline"/>
                <w:lang w:val="en-US" w:eastAsia="zh-CN"/>
              </w:rPr>
              <w:t>，</w:t>
            </w:r>
            <w:r>
              <w:rPr>
                <w:rFonts w:ascii="Times New Roman" w:hAnsi="Times New Roman" w:eastAsia="宋体" w:cs="Times New Roman"/>
                <w:color w:val="auto"/>
                <w:kern w:val="0"/>
                <w:sz w:val="24"/>
                <w:szCs w:val="24"/>
              </w:rPr>
              <w:t>用于暂存</w:t>
            </w:r>
            <w:r>
              <w:rPr>
                <w:rFonts w:hint="eastAsia" w:ascii="Times New Roman" w:hAnsi="Times New Roman" w:eastAsia="宋体" w:cs="Times New Roman"/>
                <w:color w:val="auto"/>
                <w:kern w:val="0"/>
                <w:sz w:val="24"/>
                <w:szCs w:val="24"/>
                <w:lang w:eastAsia="zh-CN"/>
              </w:rPr>
              <w:t>危险废物</w:t>
            </w:r>
            <w:r>
              <w:rPr>
                <w:rFonts w:ascii="Times New Roman" w:hAnsi="Times New Roman" w:eastAsia="宋体" w:cs="Times New Roman"/>
                <w:color w:val="auto"/>
                <w:kern w:val="0"/>
                <w:sz w:val="24"/>
                <w:szCs w:val="24"/>
              </w:rPr>
              <w:t>，危险废物暂存间的设置应满足《危险废物收集贮存运输技术规范》（HJ2025-2012）和</w:t>
            </w:r>
            <w:r>
              <w:rPr>
                <w:rFonts w:ascii="Times New Roman" w:cs="Times New Roman"/>
                <w:color w:val="auto"/>
                <w:kern w:val="0"/>
                <w:sz w:val="24"/>
                <w:szCs w:val="24"/>
              </w:rPr>
              <w:t>《危险废物贮存污染控制标准》（</w:t>
            </w:r>
            <w:r>
              <w:rPr>
                <w:rFonts w:ascii="Times New Roman" w:hAnsi="Times New Roman" w:cs="Times New Roman"/>
                <w:color w:val="auto"/>
                <w:kern w:val="0"/>
                <w:sz w:val="24"/>
                <w:szCs w:val="24"/>
              </w:rPr>
              <w:t>GB18597-2023</w:t>
            </w:r>
            <w:r>
              <w:rPr>
                <w:rFonts w:ascii="Times New Roman" w:cs="Times New Roman"/>
                <w:color w:val="auto"/>
                <w:kern w:val="0"/>
                <w:sz w:val="24"/>
                <w:szCs w:val="24"/>
              </w:rPr>
              <w:t>）中</w:t>
            </w:r>
            <w:r>
              <w:rPr>
                <w:rFonts w:ascii="Times New Roman" w:hAnsi="Times New Roman" w:eastAsia="宋体" w:cs="Times New Roman"/>
                <w:color w:val="auto"/>
                <w:kern w:val="0"/>
                <w:sz w:val="24"/>
                <w:szCs w:val="24"/>
              </w:rPr>
              <w:t>的环保要求。</w:t>
            </w:r>
          </w:p>
          <w:p w14:paraId="2E25AA1D">
            <w:pPr>
              <w:autoSpaceDE w:val="0"/>
              <w:autoSpaceDN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危险废物暂存间选址、设计、标识、运行、安全防护和关闭等措施应按照《危险废物贮存控制标准》的相关要求进行，对危险废物暂存间</w:t>
            </w:r>
            <w:r>
              <w:rPr>
                <w:rFonts w:hint="eastAsia" w:ascii="Times New Roman" w:hAnsi="Times New Roman" w:eastAsia="宋体" w:cs="Times New Roman"/>
                <w:color w:val="auto"/>
                <w:kern w:val="0"/>
                <w:sz w:val="24"/>
                <w:szCs w:val="24"/>
                <w:lang w:eastAsia="zh-CN"/>
              </w:rPr>
              <w:t>地面做</w:t>
            </w:r>
            <w:r>
              <w:rPr>
                <w:rFonts w:hint="eastAsia" w:ascii="Times New Roman" w:hAnsi="Times New Roman" w:eastAsia="宋体" w:cs="Times New Roman"/>
                <w:color w:val="auto"/>
                <w:kern w:val="0"/>
                <w:sz w:val="24"/>
                <w:szCs w:val="24"/>
                <w:lang w:val="en-US" w:eastAsia="zh-CN"/>
              </w:rPr>
              <w:t>基础防渗，防渗层为至少</w:t>
            </w:r>
            <w:r>
              <w:rPr>
                <w:rFonts w:hint="default" w:ascii="Times New Roman" w:hAnsi="Times New Roman" w:eastAsia="宋体" w:cs="Times New Roman"/>
                <w:color w:val="auto"/>
                <w:kern w:val="0"/>
                <w:sz w:val="24"/>
                <w:szCs w:val="24"/>
                <w:lang w:val="en-US" w:eastAsia="zh-CN"/>
              </w:rPr>
              <w:t>1 m</w:t>
            </w:r>
            <w:r>
              <w:rPr>
                <w:rFonts w:hint="eastAsia" w:ascii="Times New Roman" w:hAnsi="Times New Roman" w:eastAsia="宋体" w:cs="Times New Roman"/>
                <w:color w:val="auto"/>
                <w:kern w:val="0"/>
                <w:sz w:val="24"/>
                <w:szCs w:val="24"/>
                <w:lang w:val="en-US" w:eastAsia="zh-CN"/>
              </w:rPr>
              <w:t xml:space="preserve">厚黏土层（渗透系数不大于 </w:t>
            </w:r>
            <w:r>
              <w:rPr>
                <w:rFonts w:hint="default" w:ascii="Times New Roman" w:hAnsi="Times New Roman" w:eastAsia="宋体" w:cs="Times New Roman"/>
                <w:color w:val="auto"/>
                <w:kern w:val="0"/>
                <w:sz w:val="24"/>
                <w:szCs w:val="24"/>
                <w:lang w:val="en-US" w:eastAsia="zh-CN"/>
              </w:rPr>
              <w:t>10 -7 cm/s</w:t>
            </w:r>
            <w:r>
              <w:rPr>
                <w:rFonts w:hint="eastAsia" w:ascii="Times New Roman" w:hAnsi="Times New Roman" w:eastAsia="宋体" w:cs="Times New Roman"/>
                <w:color w:val="auto"/>
                <w:kern w:val="0"/>
                <w:sz w:val="24"/>
                <w:szCs w:val="24"/>
                <w:lang w:val="en-US" w:eastAsia="zh-CN"/>
              </w:rPr>
              <w:t>），或至少</w:t>
            </w:r>
            <w:r>
              <w:rPr>
                <w:rFonts w:hint="default" w:ascii="Times New Roman" w:hAnsi="Times New Roman" w:eastAsia="宋体" w:cs="Times New Roman"/>
                <w:color w:val="auto"/>
                <w:kern w:val="0"/>
                <w:sz w:val="24"/>
                <w:szCs w:val="24"/>
                <w:lang w:val="en-US" w:eastAsia="zh-CN"/>
              </w:rPr>
              <w:t xml:space="preserve">2 mm </w:t>
            </w:r>
            <w:r>
              <w:rPr>
                <w:rFonts w:hint="eastAsia" w:ascii="Times New Roman" w:hAnsi="Times New Roman" w:eastAsia="宋体" w:cs="Times New Roman"/>
                <w:color w:val="auto"/>
                <w:kern w:val="0"/>
                <w:sz w:val="24"/>
                <w:szCs w:val="24"/>
                <w:lang w:val="en-US" w:eastAsia="zh-CN"/>
              </w:rPr>
              <w:t xml:space="preserve">厚高密度聚乙烯膜等人工防渗材料（渗透系数不大于 </w:t>
            </w:r>
            <w:r>
              <w:rPr>
                <w:rFonts w:hint="default" w:ascii="Times New Roman" w:hAnsi="Times New Roman" w:eastAsia="宋体" w:cs="Times New Roman"/>
                <w:color w:val="auto"/>
                <w:kern w:val="0"/>
                <w:sz w:val="24"/>
                <w:szCs w:val="24"/>
                <w:lang w:val="en-US" w:eastAsia="zh-CN"/>
              </w:rPr>
              <w:t xml:space="preserve">10 </w:t>
            </w:r>
            <w:r>
              <w:rPr>
                <w:rFonts w:hint="default" w:ascii="Times New Roman" w:hAnsi="Times New Roman" w:eastAsia="宋体" w:cs="Times New Roman"/>
                <w:color w:val="auto"/>
                <w:kern w:val="0"/>
                <w:sz w:val="24"/>
                <w:szCs w:val="24"/>
                <w:vertAlign w:val="superscript"/>
                <w:lang w:val="en-US" w:eastAsia="zh-CN"/>
              </w:rPr>
              <w:t>-10</w:t>
            </w:r>
            <w:r>
              <w:rPr>
                <w:rFonts w:hint="default" w:ascii="Times New Roman" w:hAnsi="Times New Roman" w:eastAsia="宋体" w:cs="Times New Roman"/>
                <w:color w:val="auto"/>
                <w:kern w:val="0"/>
                <w:sz w:val="24"/>
                <w:szCs w:val="24"/>
                <w:lang w:val="en-US" w:eastAsia="zh-CN"/>
              </w:rPr>
              <w:t xml:space="preserve"> cm/s</w:t>
            </w:r>
            <w:r>
              <w:rPr>
                <w:rFonts w:hint="eastAsia" w:ascii="Times New Roman" w:hAnsi="Times New Roman" w:eastAsia="宋体" w:cs="Times New Roman"/>
                <w:color w:val="auto"/>
                <w:kern w:val="0"/>
                <w:sz w:val="24"/>
                <w:szCs w:val="24"/>
                <w:lang w:val="en-US" w:eastAsia="zh-CN"/>
              </w:rPr>
              <w:t>。危废间设置防渗漏托盘。</w:t>
            </w:r>
          </w:p>
          <w:p w14:paraId="2368B0B9">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危险废物暂存间内的危险废物需做到及时外运妥善处置，确保场内有足够接纳能力，避免场内危险废物暂存容量超过负荷导致收贮不合理，造成危废</w:t>
            </w:r>
            <w:r>
              <w:rPr>
                <w:rFonts w:hint="eastAsia" w:ascii="Times New Roman" w:hAnsi="Times New Roman" w:eastAsia="宋体" w:cs="Times New Roman"/>
                <w:color w:val="auto"/>
                <w:kern w:val="0"/>
                <w:sz w:val="24"/>
                <w:szCs w:val="24"/>
              </w:rPr>
              <w:t>泄漏</w:t>
            </w:r>
            <w:r>
              <w:rPr>
                <w:rFonts w:ascii="Times New Roman" w:hAnsi="Times New Roman" w:eastAsia="宋体" w:cs="Times New Roman"/>
                <w:color w:val="auto"/>
                <w:kern w:val="0"/>
                <w:sz w:val="24"/>
                <w:szCs w:val="24"/>
              </w:rPr>
              <w:t>。</w:t>
            </w:r>
          </w:p>
          <w:p w14:paraId="0E4A5BCB">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危险废物贮存设施必须按照GB15562.2</w:t>
            </w:r>
            <w:r>
              <w:rPr>
                <w:rFonts w:hint="eastAsia" w:ascii="Times New Roman" w:hAnsi="Times New Roman" w:eastAsia="宋体" w:cs="Times New Roman"/>
                <w:color w:val="auto"/>
                <w:kern w:val="0"/>
                <w:sz w:val="24"/>
                <w:szCs w:val="24"/>
              </w:rPr>
              <w:t>-1995</w:t>
            </w:r>
            <w:r>
              <w:rPr>
                <w:rFonts w:ascii="Times New Roman" w:hAnsi="Times New Roman" w:eastAsia="宋体" w:cs="Times New Roman"/>
                <w:color w:val="auto"/>
                <w:kern w:val="0"/>
                <w:sz w:val="24"/>
                <w:szCs w:val="24"/>
              </w:rPr>
              <w:t>的规定设置警示标志。</w:t>
            </w:r>
          </w:p>
          <w:p w14:paraId="10C157EB">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危险废物暂存设施要进行防风、防雨、防晒、防流失。</w:t>
            </w:r>
          </w:p>
          <w:p w14:paraId="2DF27F17">
            <w:pPr>
              <w:autoSpaceDE w:val="0"/>
              <w:autoSpaceDN w:val="0"/>
              <w:spacing w:line="360" w:lineRule="auto"/>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转运</w:t>
            </w:r>
          </w:p>
          <w:p w14:paraId="0A0FF0D1">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危险废物运输应由持有危险废物经营许可证的单位按照其许可证的经营范围组织实施，承担危险废物运输的单位应获得交通运输部门颁发的危险货物运输资质。公路运输应按照《道路危险货物运输管理规定》、JT617及JT618执行，危险废物须用危险货物专用车辆进行运输，并按《道路运输危险货物车辆标志》（GB13392-2005）设置车辆标志。</w:t>
            </w:r>
          </w:p>
          <w:p w14:paraId="30535D9D">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转移、运输时应按照《危险废物转移联单管理办法》的规定填写危险废物转移联单；如实记录转移起始位置、数量、车辆车牌号、经办人员等信息。</w:t>
            </w:r>
          </w:p>
          <w:p w14:paraId="6CAEE22E">
            <w:pPr>
              <w:autoSpaceDE w:val="0"/>
              <w:autoSpaceDN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危险废物运输路线应避开饮用水源保护区、生态红线区、自然保护区、人口密城镇等特殊环境敏感区。</w:t>
            </w:r>
          </w:p>
          <w:p w14:paraId="16F31600">
            <w:pPr>
              <w:widowControl/>
              <w:spacing w:line="360" w:lineRule="auto"/>
              <w:ind w:firstLine="480" w:firstLineChars="200"/>
              <w:jc w:val="left"/>
              <w:rPr>
                <w:rFonts w:hint="eastAsia" w:ascii="Times New Roman" w:hAnsi="Times New Roman" w:cs="Times New Roman" w:eastAsiaTheme="minorEastAsia"/>
                <w:bCs/>
                <w:color w:val="auto"/>
                <w:kern w:val="0"/>
                <w:sz w:val="24"/>
                <w:szCs w:val="24"/>
                <w:lang w:eastAsia="zh-CN"/>
              </w:rPr>
            </w:pPr>
            <w:r>
              <w:rPr>
                <w:rFonts w:hint="eastAsia" w:ascii="Times New Roman" w:hAnsi="Times New Roman" w:cs="Times New Roman"/>
                <w:bCs/>
                <w:color w:val="auto"/>
                <w:kern w:val="0"/>
                <w:sz w:val="24"/>
                <w:szCs w:val="24"/>
                <w:lang w:eastAsia="zh-CN"/>
              </w:rPr>
              <w:t>（</w:t>
            </w:r>
            <w:r>
              <w:rPr>
                <w:rFonts w:hint="eastAsia" w:ascii="Times New Roman" w:hAnsi="Times New Roman" w:cs="Times New Roman"/>
                <w:bCs/>
                <w:color w:val="auto"/>
                <w:kern w:val="0"/>
                <w:sz w:val="24"/>
                <w:szCs w:val="24"/>
                <w:lang w:val="en-US" w:eastAsia="zh-CN"/>
              </w:rPr>
              <w:t>5</w:t>
            </w:r>
            <w:r>
              <w:rPr>
                <w:rFonts w:hint="eastAsia" w:ascii="Times New Roman" w:hAnsi="Times New Roman" w:cs="Times New Roman"/>
                <w:bCs/>
                <w:color w:val="auto"/>
                <w:kern w:val="0"/>
                <w:sz w:val="24"/>
                <w:szCs w:val="24"/>
                <w:lang w:eastAsia="zh-CN"/>
              </w:rPr>
              <w:t>）土壤地下水污染防治措施</w:t>
            </w:r>
          </w:p>
          <w:p w14:paraId="2846BCD7">
            <w:pPr>
              <w:widowControl/>
              <w:spacing w:line="360" w:lineRule="auto"/>
              <w:ind w:firstLine="480" w:firstLineChars="200"/>
              <w:jc w:val="left"/>
              <w:rPr>
                <w:rFonts w:hint="eastAsia"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本项目</w:t>
            </w:r>
            <w:r>
              <w:rPr>
                <w:rFonts w:hint="eastAsia" w:ascii="Times New Roman" w:hAnsi="Times New Roman" w:cs="Times New Roman"/>
                <w:bCs/>
                <w:color w:val="auto"/>
                <w:kern w:val="0"/>
                <w:sz w:val="24"/>
                <w:szCs w:val="24"/>
              </w:rPr>
              <w:t>施工钻井过程中下入石油</w:t>
            </w:r>
            <w:r>
              <w:rPr>
                <w:rFonts w:hint="default" w:ascii="Times New Roman" w:hAnsi="Times New Roman" w:cs="Times New Roman"/>
                <w:bCs/>
                <w:color w:val="auto"/>
                <w:kern w:val="0"/>
                <w:sz w:val="24"/>
                <w:szCs w:val="24"/>
              </w:rPr>
              <w:t>套管，</w:t>
            </w:r>
            <w:r>
              <w:rPr>
                <w:rFonts w:hint="eastAsia" w:ascii="Times New Roman" w:hAnsi="Times New Roman" w:cs="Times New Roman"/>
                <w:bCs/>
                <w:color w:val="auto"/>
                <w:kern w:val="0"/>
                <w:sz w:val="24"/>
                <w:szCs w:val="24"/>
              </w:rPr>
              <w:t>并用水泥固结牢固</w:t>
            </w:r>
            <w:r>
              <w:rPr>
                <w:rFonts w:hint="eastAsia" w:ascii="Times New Roman" w:hAnsi="Times New Roman" w:cs="Times New Roman"/>
                <w:bCs/>
                <w:color w:val="auto"/>
                <w:kern w:val="0"/>
                <w:sz w:val="24"/>
                <w:szCs w:val="24"/>
                <w:lang w:eastAsia="zh-CN"/>
              </w:rPr>
              <w:t>，</w:t>
            </w:r>
            <w:r>
              <w:rPr>
                <w:rFonts w:hint="eastAsia" w:ascii="Times New Roman" w:hAnsi="Times New Roman" w:cs="Times New Roman"/>
                <w:bCs/>
                <w:color w:val="auto"/>
                <w:kern w:val="0"/>
                <w:sz w:val="24"/>
                <w:szCs w:val="24"/>
              </w:rPr>
              <w:t>隔离松散地层，可减少地下水涌出</w:t>
            </w:r>
            <w:r>
              <w:rPr>
                <w:rFonts w:hint="eastAsia" w:ascii="Times New Roman" w:hAnsi="Times New Roman" w:cs="Times New Roman"/>
                <w:bCs/>
                <w:color w:val="auto"/>
                <w:kern w:val="0"/>
                <w:sz w:val="24"/>
                <w:szCs w:val="24"/>
                <w:lang w:eastAsia="zh-CN"/>
              </w:rPr>
              <w:t>，</w:t>
            </w:r>
            <w:r>
              <w:rPr>
                <w:rFonts w:hint="eastAsia" w:ascii="Times New Roman" w:hAnsi="Times New Roman" w:cs="Times New Roman"/>
                <w:bCs/>
                <w:color w:val="auto"/>
                <w:kern w:val="0"/>
                <w:sz w:val="24"/>
                <w:szCs w:val="24"/>
              </w:rPr>
              <w:t>钻</w:t>
            </w:r>
            <w:r>
              <w:rPr>
                <w:rFonts w:hint="default" w:ascii="Times New Roman" w:hAnsi="Times New Roman" w:cs="Times New Roman"/>
                <w:bCs/>
                <w:color w:val="auto"/>
                <w:kern w:val="0"/>
                <w:sz w:val="24"/>
                <w:szCs w:val="24"/>
              </w:rPr>
              <w:t>孔</w:t>
            </w:r>
            <w:r>
              <w:rPr>
                <w:rFonts w:hint="eastAsia" w:ascii="Times New Roman" w:hAnsi="Times New Roman" w:cs="Times New Roman"/>
                <w:bCs/>
                <w:color w:val="auto"/>
                <w:kern w:val="0"/>
                <w:sz w:val="24"/>
                <w:szCs w:val="24"/>
              </w:rPr>
              <w:t>过程中</w:t>
            </w:r>
            <w:r>
              <w:rPr>
                <w:rFonts w:hint="default" w:ascii="Times New Roman" w:hAnsi="Times New Roman" w:cs="Times New Roman"/>
                <w:bCs/>
                <w:color w:val="auto"/>
                <w:kern w:val="0"/>
                <w:sz w:val="24"/>
                <w:szCs w:val="24"/>
              </w:rPr>
              <w:t>泥浆添加剂无毒，水泥质量符合国家</w:t>
            </w:r>
            <w:r>
              <w:rPr>
                <w:rFonts w:hint="eastAsia" w:ascii="Times New Roman" w:hAnsi="Times New Roman" w:cs="Times New Roman"/>
                <w:bCs/>
                <w:color w:val="auto"/>
                <w:kern w:val="0"/>
                <w:sz w:val="24"/>
                <w:szCs w:val="24"/>
              </w:rPr>
              <w:t>相关</w:t>
            </w:r>
            <w:r>
              <w:rPr>
                <w:rFonts w:hint="default" w:ascii="Times New Roman" w:hAnsi="Times New Roman" w:cs="Times New Roman"/>
                <w:bCs/>
                <w:color w:val="auto"/>
                <w:kern w:val="0"/>
                <w:sz w:val="24"/>
                <w:szCs w:val="24"/>
              </w:rPr>
              <w:t>标准</w:t>
            </w:r>
            <w:r>
              <w:rPr>
                <w:rFonts w:hint="eastAsia" w:ascii="Times New Roman" w:hAnsi="Times New Roman" w:cs="Times New Roman"/>
                <w:bCs/>
                <w:color w:val="auto"/>
                <w:kern w:val="0"/>
                <w:sz w:val="24"/>
                <w:szCs w:val="24"/>
              </w:rPr>
              <w:t>要求</w:t>
            </w:r>
            <w:r>
              <w:rPr>
                <w:rFonts w:hint="eastAsia" w:ascii="Times New Roman" w:hAnsi="Times New Roman" w:cs="Times New Roman"/>
                <w:bCs/>
                <w:color w:val="auto"/>
                <w:kern w:val="0"/>
                <w:sz w:val="24"/>
                <w:szCs w:val="24"/>
                <w:lang w:eastAsia="zh-CN"/>
              </w:rPr>
              <w:t>，项目施工可能会对地下水流向产生改变，但不会对</w:t>
            </w:r>
            <w:r>
              <w:rPr>
                <w:rFonts w:hint="eastAsia" w:ascii="Times New Roman" w:hAnsi="Times New Roman" w:cs="Times New Roman"/>
                <w:bCs/>
                <w:color w:val="auto"/>
                <w:kern w:val="0"/>
                <w:sz w:val="24"/>
                <w:szCs w:val="24"/>
              </w:rPr>
              <w:t>地下水</w:t>
            </w:r>
            <w:r>
              <w:rPr>
                <w:rFonts w:hint="eastAsia" w:ascii="Times New Roman" w:hAnsi="Times New Roman" w:cs="Times New Roman"/>
                <w:bCs/>
                <w:color w:val="auto"/>
                <w:kern w:val="0"/>
                <w:sz w:val="24"/>
                <w:szCs w:val="24"/>
                <w:lang w:eastAsia="zh-CN"/>
              </w:rPr>
              <w:t>水量及</w:t>
            </w:r>
            <w:r>
              <w:rPr>
                <w:rFonts w:hint="eastAsia" w:ascii="Times New Roman" w:hAnsi="Times New Roman" w:cs="Times New Roman"/>
                <w:bCs/>
                <w:color w:val="auto"/>
                <w:kern w:val="0"/>
                <w:sz w:val="24"/>
                <w:szCs w:val="24"/>
              </w:rPr>
              <w:t>水质产生影响。</w:t>
            </w:r>
          </w:p>
          <w:p w14:paraId="1701F5E7">
            <w:pPr>
              <w:spacing w:line="360" w:lineRule="auto"/>
              <w:ind w:firstLine="470" w:firstLineChars="196"/>
              <w:rPr>
                <w:rFonts w:ascii="宋体" w:hAnsi="宋体" w:eastAsia="宋体" w:cs="宋体"/>
                <w:bCs/>
                <w:color w:val="auto"/>
                <w:spacing w:val="10"/>
                <w:kern w:val="0"/>
                <w:sz w:val="24"/>
                <w:szCs w:val="21"/>
              </w:rPr>
            </w:pPr>
            <w:r>
              <w:rPr>
                <w:rFonts w:hint="eastAsia"/>
                <w:color w:val="auto"/>
                <w:sz w:val="24"/>
                <w:szCs w:val="24"/>
              </w:rPr>
              <w:t>本项目钻井过程中使用钻孔泥浆添加剂均</w:t>
            </w:r>
            <w:r>
              <w:rPr>
                <w:rFonts w:hint="eastAsia"/>
                <w:color w:val="auto"/>
                <w:sz w:val="24"/>
                <w:szCs w:val="24"/>
                <w:lang w:eastAsia="zh-CN"/>
              </w:rPr>
              <w:t>不含</w:t>
            </w:r>
            <w:r>
              <w:rPr>
                <w:rFonts w:hint="eastAsia"/>
                <w:color w:val="auto"/>
                <w:sz w:val="24"/>
                <w:szCs w:val="24"/>
              </w:rPr>
              <w:t>有毒有害成分，且用量少，</w:t>
            </w:r>
            <w:r>
              <w:rPr>
                <w:rFonts w:hint="eastAsia"/>
                <w:color w:val="auto"/>
                <w:sz w:val="24"/>
                <w:szCs w:val="24"/>
                <w:lang w:eastAsia="zh-CN"/>
              </w:rPr>
              <w:t>固井</w:t>
            </w:r>
            <w:r>
              <w:rPr>
                <w:rFonts w:hint="eastAsia"/>
                <w:color w:val="auto"/>
                <w:sz w:val="24"/>
                <w:szCs w:val="24"/>
              </w:rPr>
              <w:t>用水泥为普通/复合硅酸盐水泥，质量符合国家标准</w:t>
            </w:r>
            <w:r>
              <w:rPr>
                <w:rFonts w:hint="eastAsia"/>
                <w:color w:val="auto"/>
                <w:sz w:val="24"/>
                <w:szCs w:val="24"/>
                <w:lang w:eastAsia="zh-CN"/>
              </w:rPr>
              <w:t>，钻井过程中对</w:t>
            </w:r>
            <w:r>
              <w:rPr>
                <w:rFonts w:hint="eastAsia"/>
                <w:color w:val="auto"/>
                <w:sz w:val="24"/>
                <w:szCs w:val="24"/>
              </w:rPr>
              <w:t>土壤环境影响很小。</w:t>
            </w:r>
          </w:p>
        </w:tc>
      </w:tr>
      <w:tr w14:paraId="14E3B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14:paraId="0558ED33">
            <w:pPr>
              <w:jc w:val="center"/>
              <w:rPr>
                <w:rFonts w:ascii="宋体" w:hAnsi="宋体" w:eastAsia="宋体" w:cs="宋体"/>
                <w:bCs/>
                <w:color w:val="auto"/>
                <w:spacing w:val="10"/>
                <w:sz w:val="24"/>
                <w:szCs w:val="24"/>
              </w:rPr>
            </w:pPr>
            <w:r>
              <w:rPr>
                <w:rFonts w:hint="eastAsia" w:ascii="宋体" w:hAnsi="宋体" w:eastAsia="宋体" w:cs="宋体"/>
                <w:bCs/>
                <w:color w:val="auto"/>
                <w:spacing w:val="10"/>
                <w:sz w:val="24"/>
                <w:szCs w:val="24"/>
              </w:rPr>
              <w:t>运营期生态环境保护措施</w:t>
            </w:r>
          </w:p>
        </w:tc>
        <w:tc>
          <w:tcPr>
            <w:tcW w:w="8457" w:type="dxa"/>
            <w:vAlign w:val="center"/>
          </w:tcPr>
          <w:p w14:paraId="28487800">
            <w:pPr>
              <w:spacing w:line="360" w:lineRule="auto"/>
              <w:ind w:firstLine="520" w:firstLineChars="200"/>
              <w:rPr>
                <w:rFonts w:ascii="Times New Roman" w:hAnsi="Times New Roman" w:eastAsia="宋体" w:cs="Times New Roman"/>
                <w:bCs/>
                <w:color w:val="auto"/>
                <w:spacing w:val="10"/>
                <w:sz w:val="24"/>
                <w:szCs w:val="24"/>
              </w:rPr>
            </w:pPr>
            <w:r>
              <w:rPr>
                <w:rFonts w:hint="eastAsia" w:ascii="Times New Roman" w:hAnsi="Times New Roman" w:eastAsia="宋体" w:cs="Times New Roman"/>
                <w:bCs/>
                <w:color w:val="auto"/>
                <w:spacing w:val="10"/>
                <w:sz w:val="24"/>
                <w:szCs w:val="24"/>
                <w:lang w:eastAsia="zh-CN"/>
              </w:rPr>
              <w:t>项目施工完成后即</w:t>
            </w:r>
            <w:r>
              <w:rPr>
                <w:rFonts w:hint="eastAsia" w:ascii="Times New Roman" w:hAnsi="Times New Roman" w:eastAsia="宋体" w:cs="Times New Roman"/>
                <w:bCs/>
                <w:color w:val="auto"/>
                <w:spacing w:val="10"/>
                <w:sz w:val="24"/>
                <w:szCs w:val="24"/>
              </w:rPr>
              <w:t>进行现场清理和生态恢复工作</w:t>
            </w:r>
            <w:r>
              <w:rPr>
                <w:rFonts w:hint="eastAsia" w:ascii="Times New Roman" w:hAnsi="Times New Roman" w:eastAsia="宋体" w:cs="Times New Roman"/>
                <w:bCs/>
                <w:color w:val="auto"/>
                <w:spacing w:val="10"/>
                <w:sz w:val="24"/>
                <w:szCs w:val="24"/>
                <w:lang w:eastAsia="zh-CN"/>
              </w:rPr>
              <w:t>，</w:t>
            </w:r>
            <w:r>
              <w:rPr>
                <w:rFonts w:hint="eastAsia" w:ascii="宋体" w:hAnsi="宋体" w:eastAsia="宋体" w:cs="宋体"/>
                <w:bCs/>
                <w:color w:val="auto"/>
                <w:spacing w:val="10"/>
                <w:sz w:val="24"/>
                <w:szCs w:val="24"/>
              </w:rPr>
              <w:t>运营期</w:t>
            </w:r>
            <w:r>
              <w:rPr>
                <w:rFonts w:ascii="Times New Roman" w:hAnsi="Times New Roman" w:eastAsia="宋体" w:cs="Times New Roman"/>
                <w:bCs/>
                <w:color w:val="auto"/>
                <w:spacing w:val="10"/>
                <w:sz w:val="24"/>
                <w:szCs w:val="24"/>
              </w:rPr>
              <w:t>现场无“三废”、噪声排放</w:t>
            </w:r>
            <w:r>
              <w:rPr>
                <w:rFonts w:hint="eastAsia" w:ascii="Times New Roman" w:hAnsi="Times New Roman" w:eastAsia="宋体" w:cs="Times New Roman"/>
                <w:bCs/>
                <w:color w:val="auto"/>
                <w:spacing w:val="10"/>
                <w:sz w:val="24"/>
                <w:szCs w:val="24"/>
              </w:rPr>
              <w:t>，</w:t>
            </w:r>
            <w:r>
              <w:rPr>
                <w:rFonts w:hint="eastAsia" w:ascii="Times New Roman" w:hAnsi="Times New Roman" w:eastAsia="宋体" w:cs="Times New Roman"/>
                <w:bCs/>
                <w:color w:val="auto"/>
                <w:spacing w:val="10"/>
                <w:sz w:val="24"/>
                <w:szCs w:val="24"/>
                <w:lang w:eastAsia="zh-CN"/>
              </w:rPr>
              <w:t>不会对</w:t>
            </w:r>
            <w:r>
              <w:rPr>
                <w:rFonts w:ascii="Times New Roman" w:hAnsi="Times New Roman" w:eastAsia="宋体" w:cs="Times New Roman"/>
                <w:bCs/>
                <w:color w:val="auto"/>
                <w:spacing w:val="10"/>
                <w:sz w:val="24"/>
                <w:szCs w:val="24"/>
              </w:rPr>
              <w:t>生态环境</w:t>
            </w:r>
            <w:r>
              <w:rPr>
                <w:rFonts w:hint="eastAsia" w:ascii="Times New Roman" w:hAnsi="Times New Roman" w:eastAsia="宋体" w:cs="Times New Roman"/>
                <w:bCs/>
                <w:color w:val="auto"/>
                <w:spacing w:val="10"/>
                <w:sz w:val="24"/>
                <w:szCs w:val="24"/>
                <w:lang w:eastAsia="zh-CN"/>
              </w:rPr>
              <w:t>产生</w:t>
            </w:r>
            <w:r>
              <w:rPr>
                <w:rFonts w:ascii="Times New Roman" w:hAnsi="Times New Roman" w:eastAsia="宋体" w:cs="Times New Roman"/>
                <w:bCs/>
                <w:color w:val="auto"/>
                <w:spacing w:val="10"/>
                <w:sz w:val="24"/>
                <w:szCs w:val="24"/>
              </w:rPr>
              <w:t>影响。</w:t>
            </w:r>
          </w:p>
        </w:tc>
      </w:tr>
      <w:tr w14:paraId="10265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53" w:type="dxa"/>
            <w:tcMar>
              <w:left w:w="28" w:type="dxa"/>
              <w:right w:w="28" w:type="dxa"/>
            </w:tcMar>
            <w:vAlign w:val="center"/>
          </w:tcPr>
          <w:p w14:paraId="5396A108">
            <w:pPr>
              <w:jc w:val="center"/>
              <w:rPr>
                <w:rFonts w:ascii="Times New Roman" w:hAnsi="Times New Roman" w:eastAsia="宋体" w:cs="Times New Roman"/>
                <w:bCs/>
                <w:color w:val="auto"/>
                <w:spacing w:val="10"/>
                <w:sz w:val="24"/>
                <w:szCs w:val="24"/>
              </w:rPr>
            </w:pPr>
            <w:r>
              <w:rPr>
                <w:rFonts w:ascii="Times New Roman" w:hAnsi="宋体" w:eastAsia="宋体" w:cs="Times New Roman"/>
                <w:bCs/>
                <w:color w:val="auto"/>
                <w:spacing w:val="10"/>
                <w:sz w:val="24"/>
                <w:szCs w:val="24"/>
              </w:rPr>
              <w:t>其他</w:t>
            </w:r>
          </w:p>
        </w:tc>
        <w:tc>
          <w:tcPr>
            <w:tcW w:w="8457" w:type="dxa"/>
            <w:vAlign w:val="center"/>
          </w:tcPr>
          <w:p w14:paraId="4D795575">
            <w:pPr>
              <w:spacing w:line="360" w:lineRule="auto"/>
              <w:ind w:firstLine="480" w:firstLineChars="200"/>
              <w:rPr>
                <w:rFonts w:hint="eastAsia"/>
                <w:color w:val="auto"/>
                <w:sz w:val="24"/>
                <w:lang w:val="en-US" w:eastAsia="zh-CN"/>
              </w:rPr>
            </w:pPr>
            <w:bookmarkStart w:id="5" w:name="_Toc372753908"/>
            <w:bookmarkStart w:id="6" w:name="_Toc4103"/>
            <w:bookmarkStart w:id="7" w:name="_Toc370674124"/>
            <w:bookmarkStart w:id="8" w:name="_Toc370673919"/>
            <w:bookmarkStart w:id="9" w:name="_Toc370671506"/>
            <w:r>
              <w:rPr>
                <w:rFonts w:hint="eastAsia"/>
                <w:color w:val="auto"/>
                <w:sz w:val="24"/>
                <w:lang w:val="en-US" w:eastAsia="zh-CN"/>
              </w:rPr>
              <w:t>环保管理及环境监测</w:t>
            </w:r>
          </w:p>
          <w:p w14:paraId="0BB93AD2">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加强环境管理和环境监测是执行有关环境保护法规的重要手段，也是实现建设项目社会效益、经济效益、环境效益协调发展的必要保障。通过环境管理和环境监测，可以监控本项目对区域地表水、环境空气、声环境和生态环境的影响，为本区域的环境管理、污染防治和生态保护提供依据。</w:t>
            </w:r>
          </w:p>
          <w:p w14:paraId="498EDE68">
            <w:pPr>
              <w:spacing w:line="360" w:lineRule="auto"/>
              <w:ind w:firstLine="482" w:firstLineChars="200"/>
              <w:rPr>
                <w:rFonts w:ascii="Times New Roman" w:hAnsi="Times New Roman" w:cs="Times New Roman"/>
                <w:b/>
                <w:color w:val="auto"/>
                <w:sz w:val="24"/>
              </w:rPr>
            </w:pPr>
            <w:r>
              <w:rPr>
                <w:rFonts w:hint="eastAsia" w:ascii="Times New Roman" w:hAnsi="Times New Roman" w:cs="Times New Roman"/>
                <w:b/>
                <w:color w:val="auto"/>
                <w:sz w:val="24"/>
                <w:lang w:val="en-US" w:eastAsia="zh-CN"/>
              </w:rPr>
              <w:t>1、</w:t>
            </w:r>
            <w:r>
              <w:rPr>
                <w:rFonts w:ascii="Times New Roman" w:cs="Times New Roman"/>
                <w:b/>
                <w:color w:val="auto"/>
                <w:sz w:val="24"/>
              </w:rPr>
              <w:t>环境保护管理</w:t>
            </w:r>
            <w:bookmarkEnd w:id="5"/>
            <w:bookmarkEnd w:id="6"/>
            <w:bookmarkEnd w:id="7"/>
            <w:bookmarkEnd w:id="8"/>
            <w:bookmarkEnd w:id="9"/>
          </w:p>
          <w:p w14:paraId="38639325">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w:t>
            </w:r>
            <w:r>
              <w:rPr>
                <w:rFonts w:ascii="Times New Roman" w:hAnsi="Times New Roman" w:cs="Times New Roman"/>
                <w:color w:val="auto"/>
                <w:sz w:val="24"/>
              </w:rPr>
              <w:t>1</w:t>
            </w:r>
            <w:r>
              <w:rPr>
                <w:rFonts w:ascii="Times New Roman" w:cs="Times New Roman"/>
                <w:color w:val="auto"/>
                <w:sz w:val="24"/>
              </w:rPr>
              <w:t>）管理机构</w:t>
            </w:r>
          </w:p>
          <w:p w14:paraId="29F75D0B">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本项目的建设和管理单位均应成立相关职能部门，委任专职人员管理本项目的环保工作。具体工作包括：负责本项目在设计、施工各个阶段的环境管理资料和审批资料的收集和归档，为项目竣工环保验收提供相关的环保文件资料。与各级生态环境主管部门、行业主管部门的协调工作，协助专业单位做好施工期环保措施的设计和施工。</w:t>
            </w:r>
          </w:p>
          <w:p w14:paraId="134A8988">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w:t>
            </w:r>
            <w:r>
              <w:rPr>
                <w:rFonts w:ascii="Times New Roman" w:hAnsi="Times New Roman" w:cs="Times New Roman"/>
                <w:color w:val="auto"/>
                <w:sz w:val="24"/>
              </w:rPr>
              <w:t>2</w:t>
            </w:r>
            <w:r>
              <w:rPr>
                <w:rFonts w:ascii="Times New Roman" w:cs="Times New Roman"/>
                <w:color w:val="auto"/>
                <w:sz w:val="24"/>
              </w:rPr>
              <w:t>）机构人员要求</w:t>
            </w:r>
          </w:p>
          <w:p w14:paraId="64F95EB3">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施工期承担现场监督任务的项目公司有关人员，人员应具备必要的环保知识和环保意识，并具备钻井项目环境管理经验。</w:t>
            </w:r>
          </w:p>
          <w:p w14:paraId="653E2B23">
            <w:pPr>
              <w:spacing w:line="360" w:lineRule="auto"/>
              <w:ind w:firstLine="482" w:firstLineChars="200"/>
              <w:rPr>
                <w:rFonts w:ascii="Times New Roman" w:hAnsi="Times New Roman" w:cs="Times New Roman"/>
                <w:b/>
                <w:color w:val="auto"/>
                <w:sz w:val="24"/>
              </w:rPr>
            </w:pPr>
            <w:bookmarkStart w:id="10" w:name="_Toc370674126"/>
            <w:bookmarkStart w:id="11" w:name="_Toc370673921"/>
            <w:bookmarkStart w:id="12" w:name="_Toc370671508"/>
            <w:bookmarkStart w:id="13" w:name="_Toc372753910"/>
            <w:bookmarkStart w:id="14" w:name="_Toc8397"/>
            <w:r>
              <w:rPr>
                <w:rFonts w:hint="eastAsia" w:ascii="Times New Roman" w:cs="Times New Roman"/>
                <w:b/>
                <w:color w:val="auto"/>
                <w:sz w:val="24"/>
                <w:lang w:val="en-US" w:eastAsia="zh-CN"/>
              </w:rPr>
              <w:t>2、</w:t>
            </w:r>
            <w:r>
              <w:rPr>
                <w:rFonts w:ascii="Times New Roman" w:cs="Times New Roman"/>
                <w:b/>
                <w:color w:val="auto"/>
                <w:sz w:val="24"/>
              </w:rPr>
              <w:t>环境监测</w:t>
            </w:r>
            <w:bookmarkEnd w:id="10"/>
            <w:bookmarkEnd w:id="11"/>
            <w:bookmarkEnd w:id="12"/>
            <w:bookmarkEnd w:id="13"/>
            <w:bookmarkEnd w:id="14"/>
          </w:p>
          <w:p w14:paraId="48E18CA7">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为了监督各项环保措施的落实，根据监测结果及时调整环境保护管理计划，为环保措施的实施时间和实施方案提供依据。</w:t>
            </w:r>
          </w:p>
          <w:p w14:paraId="6E6DA3DB">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w:t>
            </w:r>
            <w:r>
              <w:rPr>
                <w:rFonts w:ascii="Times New Roman" w:hAnsi="Times New Roman" w:cs="Times New Roman"/>
                <w:color w:val="auto"/>
                <w:sz w:val="24"/>
              </w:rPr>
              <w:t>1</w:t>
            </w:r>
            <w:r>
              <w:rPr>
                <w:rFonts w:ascii="Times New Roman" w:cs="Times New Roman"/>
                <w:color w:val="auto"/>
                <w:sz w:val="24"/>
              </w:rPr>
              <w:t>）监测机构</w:t>
            </w:r>
          </w:p>
          <w:p w14:paraId="1F922DEB">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本项目施工期的环境监测委托有资质的监测单位承担，应定期定点监测，编制监测报告，提供给</w:t>
            </w:r>
            <w:r>
              <w:rPr>
                <w:rFonts w:hint="eastAsia" w:ascii="Times New Roman" w:cs="Times New Roman"/>
                <w:color w:val="auto"/>
                <w:sz w:val="24"/>
                <w:lang w:eastAsia="zh-CN"/>
              </w:rPr>
              <w:t>淮南矿业（集团）有限责任公司朱集东煤矿</w:t>
            </w:r>
            <w:r>
              <w:rPr>
                <w:rFonts w:hint="eastAsia" w:ascii="Times New Roman" w:cs="Times New Roman"/>
                <w:color w:val="auto"/>
                <w:sz w:val="24"/>
              </w:rPr>
              <w:t>，</w:t>
            </w:r>
            <w:r>
              <w:rPr>
                <w:rFonts w:ascii="Times New Roman" w:cs="Times New Roman"/>
                <w:color w:val="auto"/>
                <w:sz w:val="24"/>
              </w:rPr>
              <w:t>以备各级生态环境主管部门监督。若在监测中发现问题应及时报告，以便及时有效的采取措施。</w:t>
            </w:r>
          </w:p>
          <w:p w14:paraId="377CCC53">
            <w:pPr>
              <w:spacing w:line="360" w:lineRule="auto"/>
              <w:ind w:firstLine="480" w:firstLineChars="200"/>
              <w:rPr>
                <w:rFonts w:ascii="Times New Roman" w:hAnsi="Times New Roman" w:cs="Times New Roman"/>
                <w:color w:val="auto"/>
                <w:sz w:val="24"/>
              </w:rPr>
            </w:pPr>
            <w:r>
              <w:rPr>
                <w:rFonts w:ascii="Times New Roman" w:cs="Times New Roman"/>
                <w:color w:val="auto"/>
                <w:sz w:val="24"/>
              </w:rPr>
              <w:t>（</w:t>
            </w:r>
            <w:r>
              <w:rPr>
                <w:rFonts w:ascii="Times New Roman" w:hAnsi="Times New Roman" w:cs="Times New Roman"/>
                <w:color w:val="auto"/>
                <w:sz w:val="24"/>
              </w:rPr>
              <w:t>2</w:t>
            </w:r>
            <w:r>
              <w:rPr>
                <w:rFonts w:ascii="Times New Roman" w:cs="Times New Roman"/>
                <w:color w:val="auto"/>
                <w:sz w:val="24"/>
              </w:rPr>
              <w:t>）监测计划</w:t>
            </w:r>
          </w:p>
          <w:p w14:paraId="7D6A545E">
            <w:pPr>
              <w:pStyle w:val="97"/>
              <w:numPr>
                <w:ilvl w:val="1"/>
                <w:numId w:val="2"/>
              </w:numPr>
              <w:tabs>
                <w:tab w:val="left" w:pos="2100"/>
                <w:tab w:val="clear" w:pos="1440"/>
              </w:tabs>
              <w:spacing w:line="240" w:lineRule="auto"/>
              <w:ind w:left="3300" w:leftChars="0" w:hanging="1620" w:firstLineChars="0"/>
              <w:jc w:val="center"/>
              <w:rPr>
                <w:rFonts w:ascii="Times New Roman" w:hAnsi="Times New Roman" w:eastAsia="黑体" w:cs="Times New Roman"/>
                <w:color w:val="auto"/>
                <w:sz w:val="24"/>
                <w:szCs w:val="28"/>
              </w:rPr>
            </w:pPr>
            <w:r>
              <w:rPr>
                <w:rFonts w:hint="eastAsia" w:ascii="宋体" w:hAnsi="宋体" w:eastAsia="宋体" w:cs="宋体"/>
                <w:color w:val="auto"/>
                <w:sz w:val="24"/>
                <w:szCs w:val="28"/>
              </w:rPr>
              <w:t>环境监测计划</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2"/>
              <w:gridCol w:w="591"/>
              <w:gridCol w:w="679"/>
              <w:gridCol w:w="662"/>
              <w:gridCol w:w="1167"/>
              <w:gridCol w:w="1216"/>
              <w:gridCol w:w="1483"/>
              <w:gridCol w:w="1941"/>
            </w:tblGrid>
            <w:tr w14:paraId="0A56F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57" w:type="dxa"/>
                    <w:right w:w="57" w:type="dxa"/>
                  </w:tcMar>
                  <w:vAlign w:val="center"/>
                </w:tcPr>
                <w:p w14:paraId="7A228611">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阶段</w:t>
                  </w:r>
                </w:p>
              </w:tc>
              <w:tc>
                <w:tcPr>
                  <w:tcW w:w="0" w:type="auto"/>
                  <w:tcMar>
                    <w:left w:w="57" w:type="dxa"/>
                    <w:right w:w="57" w:type="dxa"/>
                  </w:tcMar>
                  <w:vAlign w:val="center"/>
                </w:tcPr>
                <w:p w14:paraId="21B7E3E7">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监测地点</w:t>
                  </w:r>
                </w:p>
              </w:tc>
              <w:tc>
                <w:tcPr>
                  <w:tcW w:w="0" w:type="auto"/>
                  <w:tcMar>
                    <w:left w:w="57" w:type="dxa"/>
                    <w:right w:w="57" w:type="dxa"/>
                  </w:tcMar>
                  <w:vAlign w:val="center"/>
                </w:tcPr>
                <w:p w14:paraId="5C547977">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监测项目</w:t>
                  </w:r>
                </w:p>
              </w:tc>
              <w:tc>
                <w:tcPr>
                  <w:tcW w:w="0" w:type="auto"/>
                  <w:tcMar>
                    <w:left w:w="57" w:type="dxa"/>
                    <w:right w:w="57" w:type="dxa"/>
                  </w:tcMar>
                  <w:vAlign w:val="center"/>
                </w:tcPr>
                <w:p w14:paraId="5624D2DC">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监测频次</w:t>
                  </w:r>
                </w:p>
              </w:tc>
              <w:tc>
                <w:tcPr>
                  <w:tcW w:w="0" w:type="auto"/>
                  <w:tcMar>
                    <w:left w:w="57" w:type="dxa"/>
                    <w:right w:w="57" w:type="dxa"/>
                  </w:tcMar>
                  <w:vAlign w:val="center"/>
                </w:tcPr>
                <w:p w14:paraId="77F77333">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采样时间</w:t>
                  </w:r>
                </w:p>
              </w:tc>
              <w:tc>
                <w:tcPr>
                  <w:tcW w:w="0" w:type="auto"/>
                  <w:tcMar>
                    <w:left w:w="57" w:type="dxa"/>
                    <w:right w:w="57" w:type="dxa"/>
                  </w:tcMar>
                  <w:vAlign w:val="center"/>
                </w:tcPr>
                <w:p w14:paraId="36ABBE3C">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说明</w:t>
                  </w:r>
                </w:p>
              </w:tc>
              <w:tc>
                <w:tcPr>
                  <w:tcW w:w="0" w:type="auto"/>
                  <w:tcMar>
                    <w:left w:w="57" w:type="dxa"/>
                    <w:right w:w="57" w:type="dxa"/>
                  </w:tcMar>
                  <w:vAlign w:val="center"/>
                </w:tcPr>
                <w:p w14:paraId="3559DED6">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实施机构</w:t>
                  </w:r>
                </w:p>
              </w:tc>
              <w:tc>
                <w:tcPr>
                  <w:tcW w:w="0" w:type="auto"/>
                  <w:vAlign w:val="center"/>
                </w:tcPr>
                <w:p w14:paraId="6D76F421">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负责</w:t>
                  </w:r>
                </w:p>
                <w:p w14:paraId="6A63362C">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机构</w:t>
                  </w:r>
                </w:p>
              </w:tc>
            </w:tr>
            <w:tr w14:paraId="256EF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57" w:type="dxa"/>
                    <w:right w:w="57" w:type="dxa"/>
                  </w:tcMar>
                  <w:vAlign w:val="center"/>
                </w:tcPr>
                <w:p w14:paraId="6BD97443">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施工期</w:t>
                  </w:r>
                </w:p>
              </w:tc>
              <w:tc>
                <w:tcPr>
                  <w:tcW w:w="0" w:type="auto"/>
                  <w:tcMar>
                    <w:left w:w="57" w:type="dxa"/>
                    <w:right w:w="57" w:type="dxa"/>
                  </w:tcMar>
                  <w:vAlign w:val="center"/>
                </w:tcPr>
                <w:p w14:paraId="361F0E78">
                  <w:pPr>
                    <w:widowControl/>
                    <w:tabs>
                      <w:tab w:val="left" w:pos="3413"/>
                    </w:tabs>
                    <w:adjustRightInd w:val="0"/>
                    <w:snapToGrid w:val="0"/>
                    <w:jc w:val="center"/>
                    <w:rPr>
                      <w:rFonts w:hint="eastAsia" w:ascii="Times New Roman" w:hAnsi="Times New Roman" w:cs="Times New Roman" w:eastAsiaTheme="minorEastAsia"/>
                      <w:bCs/>
                      <w:color w:val="auto"/>
                      <w:kern w:val="0"/>
                      <w:szCs w:val="21"/>
                      <w:lang w:eastAsia="zh-CN"/>
                    </w:rPr>
                  </w:pPr>
                  <w:r>
                    <w:rPr>
                      <w:rFonts w:hint="eastAsia" w:ascii="Times New Roman" w:hAnsi="Times New Roman" w:cs="Times New Roman"/>
                      <w:bCs/>
                      <w:color w:val="auto"/>
                      <w:kern w:val="0"/>
                      <w:szCs w:val="21"/>
                      <w:lang w:eastAsia="zh-CN"/>
                    </w:rPr>
                    <w:t>小圩村</w:t>
                  </w:r>
                </w:p>
              </w:tc>
              <w:tc>
                <w:tcPr>
                  <w:tcW w:w="0" w:type="auto"/>
                  <w:tcMar>
                    <w:left w:w="57" w:type="dxa"/>
                    <w:right w:w="57" w:type="dxa"/>
                  </w:tcMar>
                  <w:vAlign w:val="center"/>
                </w:tcPr>
                <w:p w14:paraId="52DEF578">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hAnsi="Times New Roman" w:cs="Times New Roman"/>
                      <w:bCs/>
                      <w:color w:val="auto"/>
                      <w:kern w:val="0"/>
                      <w:szCs w:val="21"/>
                    </w:rPr>
                    <w:t>TSP</w:t>
                  </w:r>
                </w:p>
              </w:tc>
              <w:tc>
                <w:tcPr>
                  <w:tcW w:w="0" w:type="auto"/>
                  <w:tcMar>
                    <w:left w:w="57" w:type="dxa"/>
                    <w:right w:w="57" w:type="dxa"/>
                  </w:tcMar>
                  <w:vAlign w:val="center"/>
                </w:tcPr>
                <w:p w14:paraId="631E99D5">
                  <w:pPr>
                    <w:adjustRightInd w:val="0"/>
                    <w:snapToGrid w:val="0"/>
                    <w:jc w:val="center"/>
                    <w:rPr>
                      <w:rFonts w:ascii="Times New Roman" w:hAnsi="Times New Roman" w:cs="Times New Roman"/>
                      <w:bCs/>
                      <w:color w:val="auto"/>
                      <w:szCs w:val="21"/>
                    </w:rPr>
                  </w:pPr>
                  <w:r>
                    <w:rPr>
                      <w:rFonts w:hint="default" w:ascii="Times New Roman" w:hAnsi="Times New Roman" w:eastAsia="宋体" w:cs="Times New Roman"/>
                      <w:color w:val="auto"/>
                      <w:spacing w:val="0"/>
                      <w:kern w:val="0"/>
                      <w:sz w:val="20"/>
                      <w:szCs w:val="20"/>
                      <w:lang w:val="en-US" w:eastAsia="zh-CN" w:bidi="ar"/>
                    </w:rPr>
                    <w:t>1次/施工期</w:t>
                  </w:r>
                </w:p>
              </w:tc>
              <w:tc>
                <w:tcPr>
                  <w:tcW w:w="0" w:type="auto"/>
                  <w:tcMar>
                    <w:left w:w="57" w:type="dxa"/>
                    <w:right w:w="57" w:type="dxa"/>
                  </w:tcMar>
                  <w:vAlign w:val="center"/>
                </w:tcPr>
                <w:p w14:paraId="586AFBB1">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hAnsi="Times New Roman" w:eastAsia="Times New Roman" w:cs="Times New Roman"/>
                      <w:color w:val="auto"/>
                    </w:rPr>
                    <w:t>TSP</w:t>
                  </w:r>
                  <w:r>
                    <w:rPr>
                      <w:rFonts w:ascii="Times New Roman" w:hAnsi="宋体" w:cs="Times New Roman"/>
                      <w:color w:val="auto"/>
                    </w:rPr>
                    <w:t>连续</w:t>
                  </w:r>
                  <w:r>
                    <w:rPr>
                      <w:rFonts w:ascii="Times New Roman" w:hAnsi="Times New Roman" w:eastAsia="Times New Roman" w:cs="Times New Roman"/>
                      <w:color w:val="auto"/>
                    </w:rPr>
                    <w:t>24</w:t>
                  </w:r>
                  <w:r>
                    <w:rPr>
                      <w:rFonts w:ascii="Times New Roman" w:hAnsi="宋体" w:cs="Times New Roman"/>
                      <w:color w:val="auto"/>
                    </w:rPr>
                    <w:t>小时采样</w:t>
                  </w:r>
                </w:p>
              </w:tc>
              <w:tc>
                <w:tcPr>
                  <w:tcW w:w="0" w:type="auto"/>
                  <w:tcMar>
                    <w:left w:w="57" w:type="dxa"/>
                    <w:right w:w="57" w:type="dxa"/>
                  </w:tcMar>
                  <w:vAlign w:val="center"/>
                </w:tcPr>
                <w:p w14:paraId="63C558E2">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hAnsi="宋体" w:cs="Times New Roman"/>
                      <w:color w:val="auto"/>
                    </w:rPr>
                    <w:t>施工现场下风向设监测点</w:t>
                  </w:r>
                </w:p>
              </w:tc>
              <w:tc>
                <w:tcPr>
                  <w:tcW w:w="0" w:type="auto"/>
                  <w:tcMar>
                    <w:left w:w="57" w:type="dxa"/>
                    <w:right w:w="57" w:type="dxa"/>
                  </w:tcMar>
                  <w:vAlign w:val="center"/>
                </w:tcPr>
                <w:p w14:paraId="1EFC89AE">
                  <w:pPr>
                    <w:widowControl/>
                    <w:tabs>
                      <w:tab w:val="left" w:pos="3413"/>
                    </w:tabs>
                    <w:adjustRightInd w:val="0"/>
                    <w:snapToGrid w:val="0"/>
                    <w:jc w:val="center"/>
                    <w:rPr>
                      <w:rFonts w:ascii="Times New Roman" w:hAnsi="Times New Roman" w:cs="Times New Roman"/>
                      <w:bCs/>
                      <w:color w:val="auto"/>
                      <w:kern w:val="0"/>
                      <w:szCs w:val="21"/>
                    </w:rPr>
                  </w:pPr>
                  <w:r>
                    <w:rPr>
                      <w:rFonts w:ascii="Times New Roman" w:cs="Times New Roman"/>
                      <w:bCs/>
                      <w:color w:val="auto"/>
                      <w:kern w:val="0"/>
                      <w:szCs w:val="21"/>
                    </w:rPr>
                    <w:t>受业主委托的有资质的监测单位</w:t>
                  </w:r>
                </w:p>
              </w:tc>
              <w:tc>
                <w:tcPr>
                  <w:tcW w:w="0" w:type="auto"/>
                  <w:vAlign w:val="center"/>
                </w:tcPr>
                <w:p w14:paraId="12752A21">
                  <w:pPr>
                    <w:widowControl/>
                    <w:tabs>
                      <w:tab w:val="left" w:pos="3413"/>
                    </w:tabs>
                    <w:adjustRightInd w:val="0"/>
                    <w:snapToGrid w:val="0"/>
                    <w:jc w:val="center"/>
                    <w:rPr>
                      <w:rFonts w:hint="eastAsia" w:ascii="Times New Roman" w:hAnsi="Times New Roman" w:cs="Times New Roman" w:eastAsiaTheme="minorEastAsia"/>
                      <w:bCs/>
                      <w:color w:val="auto"/>
                      <w:kern w:val="0"/>
                      <w:szCs w:val="21"/>
                      <w:lang w:eastAsia="zh-CN"/>
                    </w:rPr>
                  </w:pPr>
                  <w:r>
                    <w:rPr>
                      <w:rFonts w:hint="eastAsia" w:ascii="Times New Roman" w:hAnsi="Times New Roman" w:cs="Times New Roman"/>
                      <w:color w:val="auto"/>
                      <w:szCs w:val="21"/>
                      <w:lang w:eastAsia="zh-CN"/>
                    </w:rPr>
                    <w:t>淮南矿业（集团）有限责任公司朱集东煤矿</w:t>
                  </w:r>
                </w:p>
              </w:tc>
            </w:tr>
          </w:tbl>
          <w:p w14:paraId="6EAB9F07">
            <w:pPr>
              <w:ind w:firstLine="360"/>
              <w:rPr>
                <w:rFonts w:ascii="宋体" w:hAnsi="宋体" w:eastAsia="宋体" w:cs="Times New Roman"/>
                <w:b/>
                <w:bCs/>
                <w:color w:val="auto"/>
                <w:spacing w:val="10"/>
                <w:sz w:val="24"/>
                <w:szCs w:val="24"/>
              </w:rPr>
            </w:pPr>
            <w:r>
              <w:rPr>
                <w:rFonts w:ascii="宋体" w:hAnsi="宋体" w:eastAsia="宋体" w:cs="Times New Roman"/>
                <w:b/>
                <w:color w:val="auto"/>
                <w:szCs w:val="21"/>
              </w:rPr>
              <w:t>注：施工期间的监测次数可根据需要适当增加。</w:t>
            </w:r>
          </w:p>
        </w:tc>
      </w:tr>
      <w:tr w14:paraId="1BFD3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5EB3BAF7">
            <w:pPr>
              <w:jc w:val="center"/>
              <w:rPr>
                <w:rFonts w:ascii="宋体" w:hAnsi="宋体" w:eastAsia="宋体" w:cs="宋体"/>
                <w:bCs/>
                <w:color w:val="auto"/>
                <w:spacing w:val="10"/>
                <w:sz w:val="24"/>
                <w:szCs w:val="24"/>
              </w:rPr>
            </w:pPr>
            <w:r>
              <w:rPr>
                <w:rFonts w:hint="eastAsia" w:ascii="宋体" w:hAnsi="宋体" w:eastAsia="宋体" w:cs="Times New Roman"/>
                <w:bCs/>
                <w:color w:val="auto"/>
                <w:sz w:val="24"/>
                <w:szCs w:val="24"/>
              </w:rPr>
              <w:t>环保投资</w:t>
            </w:r>
          </w:p>
        </w:tc>
        <w:tc>
          <w:tcPr>
            <w:tcW w:w="8457" w:type="dxa"/>
          </w:tcPr>
          <w:p w14:paraId="2292EEB5">
            <w:pPr>
              <w:spacing w:line="360" w:lineRule="auto"/>
              <w:ind w:firstLine="480" w:firstLineChars="200"/>
              <w:rPr>
                <w:rFonts w:ascii="Times New Roman" w:cs="Times New Roman"/>
                <w:color w:val="auto"/>
                <w:sz w:val="24"/>
              </w:rPr>
            </w:pPr>
            <w:r>
              <w:rPr>
                <w:rFonts w:ascii="Times New Roman" w:cs="Times New Roman"/>
                <w:color w:val="auto"/>
                <w:sz w:val="24"/>
              </w:rPr>
              <w:t>项目环保</w:t>
            </w:r>
            <w:r>
              <w:rPr>
                <w:rFonts w:ascii="Times New Roman" w:cs="Times New Roman"/>
                <w:color w:val="auto"/>
                <w:sz w:val="24"/>
                <w:highlight w:val="none"/>
              </w:rPr>
              <w:t>投资</w:t>
            </w:r>
            <w:r>
              <w:rPr>
                <w:rFonts w:hint="eastAsia" w:ascii="Times New Roman" w:cs="Times New Roman"/>
                <w:color w:val="auto"/>
                <w:sz w:val="24"/>
                <w:highlight w:val="none"/>
                <w:lang w:val="en-US" w:eastAsia="zh-CN"/>
              </w:rPr>
              <w:t>91</w:t>
            </w:r>
            <w:r>
              <w:rPr>
                <w:rFonts w:ascii="Times New Roman" w:cs="Times New Roman"/>
                <w:color w:val="auto"/>
                <w:sz w:val="24"/>
                <w:highlight w:val="none"/>
              </w:rPr>
              <w:t>万元，占总投资</w:t>
            </w:r>
            <w:r>
              <w:rPr>
                <w:rFonts w:hint="eastAsia" w:ascii="Times New Roman" w:cs="Times New Roman"/>
                <w:color w:val="auto"/>
                <w:sz w:val="24"/>
                <w:highlight w:val="none"/>
                <w:lang w:val="en-US" w:eastAsia="zh-CN"/>
              </w:rPr>
              <w:t>2400</w:t>
            </w:r>
            <w:r>
              <w:rPr>
                <w:rFonts w:ascii="Times New Roman" w:cs="Times New Roman"/>
                <w:color w:val="auto"/>
                <w:sz w:val="24"/>
                <w:highlight w:val="none"/>
              </w:rPr>
              <w:t>万元的</w:t>
            </w:r>
            <w:r>
              <w:rPr>
                <w:rFonts w:hint="eastAsia" w:ascii="Times New Roman" w:cs="Times New Roman"/>
                <w:color w:val="auto"/>
                <w:sz w:val="24"/>
                <w:highlight w:val="none"/>
                <w:lang w:val="en-US" w:eastAsia="zh-CN"/>
              </w:rPr>
              <w:t>3.79%</w:t>
            </w:r>
            <w:r>
              <w:rPr>
                <w:rFonts w:ascii="Times New Roman" w:cs="Times New Roman"/>
                <w:color w:val="auto"/>
                <w:sz w:val="24"/>
                <w:highlight w:val="none"/>
              </w:rPr>
              <w:t>，</w:t>
            </w:r>
            <w:r>
              <w:rPr>
                <w:rFonts w:ascii="Times New Roman" w:cs="Times New Roman"/>
                <w:color w:val="auto"/>
                <w:sz w:val="24"/>
              </w:rPr>
              <w:t>环保投资估算详见下表。</w:t>
            </w:r>
          </w:p>
          <w:p w14:paraId="775CE4F1">
            <w:pPr>
              <w:pStyle w:val="97"/>
              <w:numPr>
                <w:ilvl w:val="1"/>
                <w:numId w:val="2"/>
              </w:numPr>
              <w:tabs>
                <w:tab w:val="left" w:pos="2100"/>
                <w:tab w:val="clear" w:pos="1440"/>
              </w:tabs>
              <w:spacing w:line="240" w:lineRule="auto"/>
              <w:ind w:left="3300" w:leftChars="0" w:hanging="1200" w:firstLineChars="0"/>
              <w:jc w:val="both"/>
              <w:rPr>
                <w:rFonts w:ascii="Times New Roman" w:hAnsi="Times New Roman" w:eastAsia="黑体" w:cs="Times New Roman"/>
                <w:color w:val="auto"/>
                <w:sz w:val="24"/>
                <w:szCs w:val="24"/>
              </w:rPr>
            </w:pPr>
            <w:r>
              <w:rPr>
                <w:rFonts w:hint="eastAsia" w:ascii="宋体" w:eastAsia="宋体" w:cs="宋体"/>
                <w:color w:val="auto"/>
                <w:sz w:val="24"/>
                <w:szCs w:val="24"/>
                <w:lang w:val="en-US" w:eastAsia="zh-CN"/>
              </w:rPr>
              <w:t xml:space="preserve"> </w:t>
            </w:r>
            <w:r>
              <w:rPr>
                <w:rFonts w:hint="eastAsia" w:ascii="宋体" w:hAnsi="宋体" w:eastAsia="宋体" w:cs="宋体"/>
                <w:color w:val="auto"/>
                <w:sz w:val="24"/>
                <w:szCs w:val="24"/>
              </w:rPr>
              <w:t>环保投资一览表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673"/>
              <w:gridCol w:w="774"/>
              <w:gridCol w:w="5593"/>
              <w:gridCol w:w="785"/>
            </w:tblGrid>
            <w:tr w14:paraId="6C05D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63" w:type="dxa"/>
                  <w:gridSpan w:val="3"/>
                  <w:vAlign w:val="center"/>
                </w:tcPr>
                <w:p w14:paraId="1B5AAC3F">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项目</w:t>
                  </w:r>
                </w:p>
              </w:tc>
              <w:tc>
                <w:tcPr>
                  <w:tcW w:w="5593" w:type="dxa"/>
                  <w:vAlign w:val="center"/>
                </w:tcPr>
                <w:p w14:paraId="04331146">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环保措施</w:t>
                  </w:r>
                </w:p>
              </w:tc>
              <w:tc>
                <w:tcPr>
                  <w:tcW w:w="785" w:type="dxa"/>
                  <w:vAlign w:val="center"/>
                </w:tcPr>
                <w:p w14:paraId="0A97B816">
                  <w:pPr>
                    <w:spacing w:line="276" w:lineRule="auto"/>
                    <w:ind w:left="-105" w:leftChars="-50" w:right="-105" w:rightChars="-50"/>
                    <w:jc w:val="center"/>
                    <w:rPr>
                      <w:rFonts w:ascii="Times New Roman" w:hAnsi="Times New Roman" w:eastAsia="宋体" w:cs="Times New Roman"/>
                      <w:color w:val="auto"/>
                      <w:szCs w:val="24"/>
                    </w:rPr>
                  </w:pPr>
                  <w:r>
                    <w:rPr>
                      <w:rFonts w:ascii="Times New Roman" w:hAnsi="Times New Roman" w:eastAsia="宋体" w:cs="Times New Roman"/>
                      <w:color w:val="auto"/>
                      <w:szCs w:val="24"/>
                    </w:rPr>
                    <w:t>投资</w:t>
                  </w:r>
                </w:p>
                <w:p w14:paraId="7F3276B3">
                  <w:pPr>
                    <w:spacing w:line="276" w:lineRule="auto"/>
                    <w:ind w:left="-105" w:leftChars="-50" w:right="-105" w:rightChars="-50"/>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（万元）</w:t>
                  </w:r>
                </w:p>
              </w:tc>
            </w:tr>
            <w:tr w14:paraId="0145F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16" w:type="dxa"/>
                  <w:vMerge w:val="restart"/>
                  <w:vAlign w:val="center"/>
                </w:tcPr>
                <w:p w14:paraId="31BAE6A1">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施</w:t>
                  </w:r>
                </w:p>
                <w:p w14:paraId="658D1F58">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工</w:t>
                  </w:r>
                </w:p>
                <w:p w14:paraId="3A48A718">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期</w:t>
                  </w:r>
                </w:p>
              </w:tc>
              <w:tc>
                <w:tcPr>
                  <w:tcW w:w="673" w:type="dxa"/>
                  <w:vAlign w:val="center"/>
                </w:tcPr>
                <w:p w14:paraId="400C5B9C">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废气</w:t>
                  </w:r>
                </w:p>
              </w:tc>
              <w:tc>
                <w:tcPr>
                  <w:tcW w:w="774" w:type="dxa"/>
                  <w:vAlign w:val="center"/>
                </w:tcPr>
                <w:p w14:paraId="27278DA0">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pacing w:val="0"/>
                      <w:kern w:val="0"/>
                      <w:sz w:val="20"/>
                      <w:szCs w:val="20"/>
                      <w:lang w:val="en-US" w:eastAsia="zh-CN" w:bidi="ar"/>
                    </w:rPr>
                    <w:t>施工废气</w:t>
                  </w:r>
                </w:p>
              </w:tc>
              <w:tc>
                <w:tcPr>
                  <w:tcW w:w="5593" w:type="dxa"/>
                  <w:vAlign w:val="center"/>
                </w:tcPr>
                <w:p w14:paraId="09DE3920">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ascii="Times New Roman" w:hAnsi="Times New Roman" w:eastAsia="宋体" w:cs="Times New Roman"/>
                      <w:color w:val="auto"/>
                      <w:szCs w:val="21"/>
                    </w:rPr>
                    <w:t>施工现场设置围挡，出入口道路</w:t>
                  </w:r>
                  <w:r>
                    <w:rPr>
                      <w:rFonts w:hint="eastAsia" w:ascii="Times New Roman" w:hAnsi="Times New Roman" w:eastAsia="宋体" w:cs="Times New Roman"/>
                      <w:color w:val="auto"/>
                      <w:szCs w:val="21"/>
                      <w:lang w:eastAsia="zh-CN"/>
                    </w:rPr>
                    <w:t>采取钢板敷设</w:t>
                  </w:r>
                  <w:r>
                    <w:rPr>
                      <w:rFonts w:ascii="Times New Roman" w:hAnsi="Times New Roman" w:eastAsia="宋体" w:cs="Times New Roman"/>
                      <w:color w:val="auto"/>
                      <w:szCs w:val="21"/>
                    </w:rPr>
                    <w:t>，场地内土堆、料堆遮盖，防止扬尘的扩散，定期洒水抑尘等</w:t>
                  </w:r>
                  <w:r>
                    <w:rPr>
                      <w:rFonts w:hint="eastAsia" w:ascii="Times New Roman" w:hAnsi="Times New Roman" w:eastAsia="宋体" w:cs="Times New Roman"/>
                      <w:color w:val="auto"/>
                      <w:szCs w:val="21"/>
                      <w:lang w:eastAsia="zh-CN"/>
                    </w:rPr>
                    <w:t>。</w:t>
                  </w:r>
                </w:p>
              </w:tc>
              <w:tc>
                <w:tcPr>
                  <w:tcW w:w="785" w:type="dxa"/>
                  <w:vAlign w:val="center"/>
                </w:tcPr>
                <w:p w14:paraId="63EA611A">
                  <w:pPr>
                    <w:spacing w:line="276" w:lineRule="auto"/>
                    <w:jc w:val="center"/>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val="en-US" w:eastAsia="zh-CN"/>
                    </w:rPr>
                    <w:t>2</w:t>
                  </w:r>
                </w:p>
              </w:tc>
            </w:tr>
            <w:tr w14:paraId="74A8D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16" w:type="dxa"/>
                  <w:vMerge w:val="continue"/>
                  <w:vAlign w:val="center"/>
                </w:tcPr>
                <w:p w14:paraId="474ACE1D">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p>
              </w:tc>
              <w:tc>
                <w:tcPr>
                  <w:tcW w:w="673" w:type="dxa"/>
                  <w:vAlign w:val="center"/>
                </w:tcPr>
                <w:p w14:paraId="6DC4EAE5">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废水</w:t>
                  </w:r>
                </w:p>
              </w:tc>
              <w:tc>
                <w:tcPr>
                  <w:tcW w:w="774" w:type="dxa"/>
                  <w:vAlign w:val="center"/>
                </w:tcPr>
                <w:p w14:paraId="34C7C4E6">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废水</w:t>
                  </w:r>
                </w:p>
              </w:tc>
              <w:tc>
                <w:tcPr>
                  <w:tcW w:w="5593" w:type="dxa"/>
                  <w:shd w:val="clear" w:color="auto" w:fill="auto"/>
                  <w:vAlign w:val="center"/>
                </w:tcPr>
                <w:p w14:paraId="51C3EA79">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施工人员生活污水经化粪池</w:t>
                  </w:r>
                  <w:r>
                    <w:rPr>
                      <w:rFonts w:hint="eastAsia" w:ascii="Times New Roman" w:hAnsi="Times New Roman" w:eastAsia="宋体" w:cs="Times New Roman"/>
                      <w:color w:val="auto"/>
                      <w:spacing w:val="0"/>
                      <w:kern w:val="0"/>
                      <w:sz w:val="20"/>
                      <w:szCs w:val="20"/>
                      <w:lang w:val="en-US" w:eastAsia="zh-CN" w:bidi="ar"/>
                    </w:rPr>
                    <w:t>预处理后定期</w:t>
                  </w:r>
                  <w:r>
                    <w:rPr>
                      <w:rFonts w:hint="default" w:ascii="Times New Roman" w:hAnsi="Times New Roman" w:eastAsia="宋体" w:cs="Times New Roman"/>
                      <w:color w:val="auto"/>
                      <w:spacing w:val="0"/>
                      <w:kern w:val="0"/>
                      <w:sz w:val="20"/>
                      <w:szCs w:val="20"/>
                      <w:lang w:val="en-US" w:eastAsia="zh-CN" w:bidi="ar"/>
                    </w:rPr>
                    <w:t>清掏作农肥，不外排</w:t>
                  </w:r>
                </w:p>
              </w:tc>
              <w:tc>
                <w:tcPr>
                  <w:tcW w:w="785" w:type="dxa"/>
                  <w:shd w:val="clear" w:color="auto" w:fill="auto"/>
                  <w:vAlign w:val="center"/>
                </w:tcPr>
                <w:p w14:paraId="3DE90FE4">
                  <w:pPr>
                    <w:spacing w:line="276" w:lineRule="auto"/>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zCs w:val="24"/>
                      <w:lang w:val="en-US" w:eastAsia="zh-CN"/>
                    </w:rPr>
                    <w:t>1</w:t>
                  </w:r>
                </w:p>
              </w:tc>
            </w:tr>
            <w:tr w14:paraId="1267D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vMerge w:val="continue"/>
                  <w:vAlign w:val="center"/>
                </w:tcPr>
                <w:p w14:paraId="24459511">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p>
              </w:tc>
              <w:tc>
                <w:tcPr>
                  <w:tcW w:w="673" w:type="dxa"/>
                  <w:vAlign w:val="center"/>
                </w:tcPr>
                <w:p w14:paraId="4D618043">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噪声</w:t>
                  </w:r>
                </w:p>
              </w:tc>
              <w:tc>
                <w:tcPr>
                  <w:tcW w:w="774" w:type="dxa"/>
                  <w:vAlign w:val="center"/>
                </w:tcPr>
                <w:p w14:paraId="584195BD">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施工机械噪声</w:t>
                  </w:r>
                </w:p>
              </w:tc>
              <w:tc>
                <w:tcPr>
                  <w:tcW w:w="5593" w:type="dxa"/>
                  <w:vAlign w:val="center"/>
                </w:tcPr>
                <w:p w14:paraId="5D8721FE">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ascii="Times New Roman" w:hAnsi="Times New Roman" w:eastAsia="宋体" w:cs="Times New Roman"/>
                      <w:color w:val="auto"/>
                      <w:szCs w:val="21"/>
                    </w:rPr>
                    <w:t>选用低噪声设备</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基础减振</w:t>
                  </w:r>
                  <w:r>
                    <w:rPr>
                      <w:rFonts w:hint="eastAsia" w:ascii="Times New Roman" w:hAnsi="Times New Roman" w:eastAsia="宋体" w:cs="Times New Roman"/>
                      <w:color w:val="auto"/>
                      <w:szCs w:val="21"/>
                      <w:lang w:eastAsia="zh-CN"/>
                    </w:rPr>
                    <w:t>、合理布局施工场地和安排施工时间</w:t>
                  </w:r>
                  <w:r>
                    <w:rPr>
                      <w:rFonts w:ascii="Times New Roman" w:hAnsi="Times New Roman" w:eastAsia="宋体" w:cs="Times New Roman"/>
                      <w:color w:val="auto"/>
                      <w:szCs w:val="21"/>
                    </w:rPr>
                    <w:t>等降噪措施进行噪声控制。</w:t>
                  </w:r>
                </w:p>
              </w:tc>
              <w:tc>
                <w:tcPr>
                  <w:tcW w:w="785" w:type="dxa"/>
                  <w:vAlign w:val="center"/>
                </w:tcPr>
                <w:p w14:paraId="65D512A7">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2</w:t>
                  </w:r>
                </w:p>
              </w:tc>
            </w:tr>
            <w:tr w14:paraId="704E8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vMerge w:val="continue"/>
                  <w:vAlign w:val="center"/>
                </w:tcPr>
                <w:p w14:paraId="24353834">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p>
              </w:tc>
              <w:tc>
                <w:tcPr>
                  <w:tcW w:w="673" w:type="dxa"/>
                  <w:vMerge w:val="restart"/>
                  <w:vAlign w:val="center"/>
                </w:tcPr>
                <w:p w14:paraId="4FF029CE">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固体</w:t>
                  </w:r>
                </w:p>
                <w:p w14:paraId="1C03A8B5">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废物</w:t>
                  </w:r>
                </w:p>
              </w:tc>
              <w:tc>
                <w:tcPr>
                  <w:tcW w:w="774" w:type="dxa"/>
                  <w:vAlign w:val="center"/>
                </w:tcPr>
                <w:p w14:paraId="3BD9BE6E">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一般固废</w:t>
                  </w:r>
                </w:p>
              </w:tc>
              <w:tc>
                <w:tcPr>
                  <w:tcW w:w="5593" w:type="dxa"/>
                  <w:vAlign w:val="center"/>
                </w:tcPr>
                <w:p w14:paraId="50FFEA77">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pacing w:val="0"/>
                      <w:kern w:val="0"/>
                      <w:sz w:val="20"/>
                      <w:szCs w:val="20"/>
                      <w:lang w:val="en-US" w:eastAsia="zh-CN" w:bidi="ar"/>
                    </w:rPr>
                    <w:t>废泥浆暂存于废浆池中，施工完成后加入固化剂固化后用于周边道路填筑或者交给第三方公司综合利用。钻井岩屑</w:t>
                  </w:r>
                  <w:r>
                    <w:rPr>
                      <w:rFonts w:hint="default" w:ascii="Times New Roman" w:hAnsi="Times New Roman" w:eastAsia="宋体" w:cs="Times New Roman"/>
                      <w:color w:val="auto"/>
                      <w:spacing w:val="0"/>
                      <w:kern w:val="0"/>
                      <w:sz w:val="20"/>
                      <w:szCs w:val="20"/>
                      <w:lang w:val="en-US" w:eastAsia="zh-CN" w:bidi="ar"/>
                    </w:rPr>
                    <w:t>暂存于</w:t>
                  </w:r>
                  <w:r>
                    <w:rPr>
                      <w:rFonts w:hint="eastAsia" w:ascii="Times New Roman" w:hAnsi="Times New Roman" w:eastAsia="宋体" w:cs="Times New Roman"/>
                      <w:color w:val="auto"/>
                      <w:spacing w:val="0"/>
                      <w:kern w:val="0"/>
                      <w:sz w:val="20"/>
                      <w:szCs w:val="20"/>
                      <w:lang w:val="en-US" w:eastAsia="zh-CN" w:bidi="ar"/>
                    </w:rPr>
                    <w:t>场地砂池中，自然干化用于周边道路填筑。</w:t>
                  </w:r>
                  <w:r>
                    <w:rPr>
                      <w:rFonts w:hint="default" w:ascii="Times New Roman" w:hAnsi="Times New Roman" w:eastAsia="宋体" w:cs="Times New Roman"/>
                      <w:color w:val="auto"/>
                      <w:spacing w:val="0"/>
                      <w:kern w:val="0"/>
                      <w:sz w:val="20"/>
                      <w:szCs w:val="20"/>
                      <w:lang w:val="en-US" w:eastAsia="zh-CN" w:bidi="ar"/>
                    </w:rPr>
                    <w:t>废包装材料集中收集后外售</w:t>
                  </w:r>
                  <w:r>
                    <w:rPr>
                      <w:rFonts w:hint="eastAsia" w:ascii="Times New Roman" w:hAnsi="Times New Roman" w:eastAsia="宋体" w:cs="Times New Roman"/>
                      <w:color w:val="auto"/>
                      <w:spacing w:val="0"/>
                      <w:kern w:val="0"/>
                      <w:sz w:val="20"/>
                      <w:szCs w:val="20"/>
                      <w:lang w:val="en-US" w:eastAsia="zh-CN" w:bidi="ar"/>
                    </w:rPr>
                    <w:t>处置，废包装袋拆包后即外售给综合利用人员，施工场地不存储。</w:t>
                  </w:r>
                </w:p>
              </w:tc>
              <w:tc>
                <w:tcPr>
                  <w:tcW w:w="785" w:type="dxa"/>
                  <w:vAlign w:val="center"/>
                </w:tcPr>
                <w:p w14:paraId="78E42845">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2</w:t>
                  </w:r>
                </w:p>
              </w:tc>
            </w:tr>
            <w:tr w14:paraId="65634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16" w:type="dxa"/>
                  <w:vMerge w:val="continue"/>
                  <w:vAlign w:val="center"/>
                </w:tcPr>
                <w:p w14:paraId="3E2D1920">
                  <w:pPr>
                    <w:spacing w:line="276" w:lineRule="auto"/>
                    <w:ind w:left="-105" w:leftChars="-50" w:right="-105" w:rightChars="-50"/>
                    <w:jc w:val="center"/>
                    <w:rPr>
                      <w:rFonts w:ascii="Times New Roman" w:hAnsi="Times New Roman" w:eastAsia="宋体" w:cs="Times New Roman"/>
                      <w:color w:val="auto"/>
                      <w:szCs w:val="24"/>
                    </w:rPr>
                  </w:pPr>
                </w:p>
              </w:tc>
              <w:tc>
                <w:tcPr>
                  <w:tcW w:w="673" w:type="dxa"/>
                  <w:vMerge w:val="continue"/>
                  <w:vAlign w:val="center"/>
                </w:tcPr>
                <w:p w14:paraId="43C6DEEC">
                  <w:pPr>
                    <w:spacing w:line="276" w:lineRule="auto"/>
                    <w:ind w:left="-105" w:leftChars="-50" w:right="-105" w:rightChars="-50"/>
                    <w:jc w:val="center"/>
                    <w:rPr>
                      <w:rFonts w:ascii="Times New Roman" w:hAnsi="Times New Roman" w:eastAsia="宋体" w:cs="Times New Roman"/>
                      <w:color w:val="auto"/>
                      <w:szCs w:val="24"/>
                    </w:rPr>
                  </w:pPr>
                </w:p>
              </w:tc>
              <w:tc>
                <w:tcPr>
                  <w:tcW w:w="774" w:type="dxa"/>
                  <w:vAlign w:val="center"/>
                </w:tcPr>
                <w:p w14:paraId="5FA3309E">
                  <w:pPr>
                    <w:adjustRightInd w:val="0"/>
                    <w:snapToGrid w:val="0"/>
                    <w:jc w:val="center"/>
                    <w:rPr>
                      <w:rFonts w:hint="eastAsia"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pacing w:val="0"/>
                      <w:kern w:val="0"/>
                      <w:sz w:val="20"/>
                      <w:szCs w:val="20"/>
                      <w:lang w:val="en-US" w:eastAsia="zh-CN" w:bidi="ar"/>
                    </w:rPr>
                    <w:t>危险废物</w:t>
                  </w:r>
                </w:p>
              </w:tc>
              <w:tc>
                <w:tcPr>
                  <w:tcW w:w="5593" w:type="dxa"/>
                  <w:vAlign w:val="center"/>
                </w:tcPr>
                <w:p w14:paraId="53222226">
                  <w:pPr>
                    <w:adjustRightInd w:val="0"/>
                    <w:snapToGrid w:val="0"/>
                    <w:jc w:val="center"/>
                    <w:rPr>
                      <w:rFonts w:hint="eastAsia"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pacing w:val="0"/>
                      <w:kern w:val="0"/>
                      <w:sz w:val="20"/>
                      <w:szCs w:val="20"/>
                      <w:lang w:val="en-US" w:eastAsia="zh-CN" w:bidi="ar"/>
                    </w:rPr>
                    <w:t>施工场地设置1处危废暂存间，用于暂存危险废物，统一收集后定期交由有资质单位处理。</w:t>
                  </w:r>
                  <w:r>
                    <w:rPr>
                      <w:rFonts w:hint="eastAsia" w:ascii="Times New Roman" w:hAnsi="Times New Roman" w:eastAsia="宋体" w:cs="Times New Roman"/>
                      <w:color w:val="auto"/>
                      <w:sz w:val="21"/>
                      <w:szCs w:val="21"/>
                      <w:lang w:val="en-US" w:eastAsia="zh-CN"/>
                    </w:rPr>
                    <w:t>危废暂存间</w:t>
                  </w:r>
                  <w:r>
                    <w:rPr>
                      <w:rFonts w:hint="eastAsia" w:ascii="Times New Roman" w:hAnsi="Times New Roman" w:eastAsia="宋体" w:cs="Times New Roman"/>
                      <w:color w:val="auto"/>
                      <w:sz w:val="21"/>
                      <w:szCs w:val="21"/>
                      <w:highlight w:val="none"/>
                      <w:lang w:eastAsia="zh-CN"/>
                    </w:rPr>
                    <w:t>地面做</w:t>
                  </w:r>
                  <w:r>
                    <w:rPr>
                      <w:rFonts w:hint="eastAsia" w:ascii="宋体" w:hAnsi="宋体" w:eastAsia="宋体" w:cs="宋体"/>
                      <w:color w:val="auto"/>
                      <w:kern w:val="0"/>
                      <w:sz w:val="21"/>
                      <w:szCs w:val="21"/>
                      <w:lang w:val="en-US" w:eastAsia="zh-CN" w:bidi="ar"/>
                    </w:rPr>
                    <w:t>基础防渗，防渗层为至少</w:t>
                  </w:r>
                  <w:r>
                    <w:rPr>
                      <w:rFonts w:hint="default" w:ascii="Times New Roman" w:hAnsi="Times New Roman" w:eastAsia="宋体" w:cs="Times New Roman"/>
                      <w:color w:val="auto"/>
                      <w:kern w:val="0"/>
                      <w:sz w:val="21"/>
                      <w:szCs w:val="21"/>
                      <w:lang w:val="en-US" w:eastAsia="zh-CN" w:bidi="ar"/>
                    </w:rPr>
                    <w:t xml:space="preserve">1 m </w:t>
                  </w:r>
                  <w:r>
                    <w:rPr>
                      <w:rFonts w:hint="eastAsia" w:ascii="宋体" w:hAnsi="宋体" w:eastAsia="宋体" w:cs="宋体"/>
                      <w:color w:val="auto"/>
                      <w:kern w:val="0"/>
                      <w:sz w:val="21"/>
                      <w:szCs w:val="21"/>
                      <w:lang w:val="en-US" w:eastAsia="zh-CN" w:bidi="ar"/>
                    </w:rPr>
                    <w:t xml:space="preserve">厚黏土层（渗透系数不大于 </w:t>
                  </w:r>
                  <w:r>
                    <w:rPr>
                      <w:rFonts w:hint="default" w:ascii="Times New Roman" w:hAnsi="Times New Roman" w:eastAsia="宋体" w:cs="Times New Roman"/>
                      <w:color w:val="auto"/>
                      <w:kern w:val="0"/>
                      <w:sz w:val="21"/>
                      <w:szCs w:val="21"/>
                      <w:lang w:val="en-US" w:eastAsia="zh-CN" w:bidi="ar"/>
                    </w:rPr>
                    <w:t>10 -7 cm/s</w:t>
                  </w:r>
                  <w:r>
                    <w:rPr>
                      <w:rFonts w:hint="eastAsia" w:ascii="宋体" w:hAnsi="宋体" w:eastAsia="宋体" w:cs="宋体"/>
                      <w:color w:val="auto"/>
                      <w:kern w:val="0"/>
                      <w:sz w:val="21"/>
                      <w:szCs w:val="21"/>
                      <w:lang w:val="en-US" w:eastAsia="zh-CN" w:bidi="ar"/>
                    </w:rPr>
                    <w:t>），或至少</w:t>
                  </w:r>
                  <w:r>
                    <w:rPr>
                      <w:rFonts w:hint="default" w:ascii="Times New Roman" w:hAnsi="Times New Roman" w:eastAsia="宋体" w:cs="Times New Roman"/>
                      <w:color w:val="auto"/>
                      <w:kern w:val="0"/>
                      <w:sz w:val="21"/>
                      <w:szCs w:val="21"/>
                      <w:lang w:val="en-US" w:eastAsia="zh-CN" w:bidi="ar"/>
                    </w:rPr>
                    <w:t xml:space="preserve">2 mm </w:t>
                  </w:r>
                  <w:r>
                    <w:rPr>
                      <w:rFonts w:hint="eastAsia" w:ascii="宋体" w:hAnsi="宋体" w:eastAsia="宋体" w:cs="宋体"/>
                      <w:color w:val="auto"/>
                      <w:kern w:val="0"/>
                      <w:sz w:val="21"/>
                      <w:szCs w:val="21"/>
                      <w:lang w:val="en-US" w:eastAsia="zh-CN" w:bidi="ar"/>
                    </w:rPr>
                    <w:t xml:space="preserve">厚高密度聚乙烯膜等人工防渗材料（渗透系数不大于 </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 xml:space="preserve"> -10 </w:t>
                  </w:r>
                  <w:r>
                    <w:rPr>
                      <w:rFonts w:hint="default" w:ascii="Times New Roman" w:hAnsi="Times New Roman" w:eastAsia="宋体" w:cs="Times New Roman"/>
                      <w:color w:val="auto"/>
                      <w:kern w:val="0"/>
                      <w:sz w:val="21"/>
                      <w:szCs w:val="21"/>
                      <w:lang w:val="en-US" w:eastAsia="zh-CN" w:bidi="ar"/>
                    </w:rPr>
                    <w:t>cm/s</w:t>
                  </w:r>
                  <w:r>
                    <w:rPr>
                      <w:rFonts w:hint="eastAsia" w:ascii="Times New Roman" w:hAnsi="Times New Roman" w:eastAsia="宋体" w:cs="Times New Roman"/>
                      <w:color w:val="auto"/>
                      <w:kern w:val="0"/>
                      <w:sz w:val="21"/>
                      <w:szCs w:val="21"/>
                      <w:lang w:val="en-US" w:eastAsia="zh-CN" w:bidi="ar"/>
                    </w:rPr>
                    <w:t>。危废间设置防渗漏托盘。</w:t>
                  </w:r>
                </w:p>
              </w:tc>
              <w:tc>
                <w:tcPr>
                  <w:tcW w:w="785" w:type="dxa"/>
                  <w:vAlign w:val="center"/>
                </w:tcPr>
                <w:p w14:paraId="3FE7A617">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2</w:t>
                  </w:r>
                </w:p>
              </w:tc>
            </w:tr>
            <w:tr w14:paraId="72DC6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16" w:type="dxa"/>
                  <w:vMerge w:val="continue"/>
                  <w:vAlign w:val="center"/>
                </w:tcPr>
                <w:p w14:paraId="0D411E26">
                  <w:pPr>
                    <w:spacing w:line="276" w:lineRule="auto"/>
                    <w:ind w:left="-105" w:leftChars="-50" w:right="-105" w:rightChars="-50"/>
                    <w:jc w:val="center"/>
                    <w:rPr>
                      <w:rFonts w:ascii="Times New Roman" w:hAnsi="Times New Roman" w:eastAsia="宋体" w:cs="Times New Roman"/>
                      <w:color w:val="auto"/>
                      <w:szCs w:val="24"/>
                    </w:rPr>
                  </w:pPr>
                </w:p>
              </w:tc>
              <w:tc>
                <w:tcPr>
                  <w:tcW w:w="673" w:type="dxa"/>
                  <w:vMerge w:val="continue"/>
                  <w:vAlign w:val="center"/>
                </w:tcPr>
                <w:p w14:paraId="5B39471B">
                  <w:pPr>
                    <w:spacing w:line="276" w:lineRule="auto"/>
                    <w:ind w:left="-105" w:leftChars="-50" w:right="-105" w:rightChars="-50"/>
                    <w:jc w:val="center"/>
                    <w:rPr>
                      <w:rFonts w:ascii="Times New Roman" w:hAnsi="Times New Roman" w:eastAsia="宋体" w:cs="Times New Roman"/>
                      <w:color w:val="auto"/>
                      <w:szCs w:val="24"/>
                    </w:rPr>
                  </w:pPr>
                </w:p>
              </w:tc>
              <w:tc>
                <w:tcPr>
                  <w:tcW w:w="774" w:type="dxa"/>
                  <w:vAlign w:val="center"/>
                </w:tcPr>
                <w:p w14:paraId="7BCE959E">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生活垃圾</w:t>
                  </w:r>
                </w:p>
              </w:tc>
              <w:tc>
                <w:tcPr>
                  <w:tcW w:w="5593" w:type="dxa"/>
                  <w:vAlign w:val="center"/>
                </w:tcPr>
                <w:p w14:paraId="2DED145A">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生活垃圾</w:t>
                  </w:r>
                  <w:r>
                    <w:rPr>
                      <w:rFonts w:hint="eastAsia" w:ascii="Times New Roman" w:hAnsi="Times New Roman" w:eastAsia="宋体" w:cs="Times New Roman"/>
                      <w:color w:val="auto"/>
                      <w:spacing w:val="0"/>
                      <w:kern w:val="0"/>
                      <w:sz w:val="20"/>
                      <w:szCs w:val="20"/>
                      <w:lang w:val="en-US" w:eastAsia="zh-CN" w:bidi="ar"/>
                    </w:rPr>
                    <w:t>采用</w:t>
                  </w:r>
                  <w:r>
                    <w:rPr>
                      <w:rFonts w:hint="default" w:ascii="Times New Roman" w:hAnsi="Times New Roman" w:eastAsia="宋体" w:cs="Times New Roman"/>
                      <w:color w:val="auto"/>
                      <w:spacing w:val="0"/>
                      <w:kern w:val="0"/>
                      <w:sz w:val="20"/>
                      <w:szCs w:val="20"/>
                      <w:lang w:val="en-US" w:eastAsia="zh-CN" w:bidi="ar"/>
                    </w:rPr>
                    <w:t>垃圾桶统一收集后，由环卫部门清运</w:t>
                  </w:r>
                </w:p>
              </w:tc>
              <w:tc>
                <w:tcPr>
                  <w:tcW w:w="785" w:type="dxa"/>
                  <w:vAlign w:val="center"/>
                </w:tcPr>
                <w:p w14:paraId="092613CA">
                  <w:pPr>
                    <w:spacing w:line="276" w:lineRule="auto"/>
                    <w:jc w:val="center"/>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val="en-US" w:eastAsia="zh-CN"/>
                    </w:rPr>
                    <w:t>1</w:t>
                  </w:r>
                </w:p>
              </w:tc>
            </w:tr>
            <w:tr w14:paraId="58BA4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16" w:type="dxa"/>
                  <w:vMerge w:val="continue"/>
                  <w:vAlign w:val="center"/>
                </w:tcPr>
                <w:p w14:paraId="60DD57C3">
                  <w:pPr>
                    <w:spacing w:line="276" w:lineRule="auto"/>
                    <w:ind w:left="-105" w:leftChars="-50" w:right="-105" w:rightChars="-50"/>
                    <w:jc w:val="center"/>
                    <w:rPr>
                      <w:rFonts w:ascii="Times New Roman" w:hAnsi="Times New Roman" w:eastAsia="宋体" w:cs="Times New Roman"/>
                      <w:color w:val="auto"/>
                      <w:szCs w:val="24"/>
                    </w:rPr>
                  </w:pPr>
                </w:p>
              </w:tc>
              <w:tc>
                <w:tcPr>
                  <w:tcW w:w="673" w:type="dxa"/>
                  <w:vAlign w:val="center"/>
                </w:tcPr>
                <w:p w14:paraId="6E74A5C5">
                  <w:pPr>
                    <w:spacing w:line="276" w:lineRule="auto"/>
                    <w:ind w:left="-105" w:leftChars="-50" w:right="-105" w:rightChars="-50"/>
                    <w:jc w:val="center"/>
                    <w:rPr>
                      <w:rFonts w:ascii="Times New Roman" w:hAnsi="Times New Roman" w:eastAsia="宋体" w:cs="Times New Roman"/>
                      <w:color w:val="auto"/>
                      <w:szCs w:val="24"/>
                    </w:rPr>
                  </w:pPr>
                  <w:r>
                    <w:rPr>
                      <w:rFonts w:ascii="Times New Roman" w:hAnsi="Times New Roman" w:eastAsia="宋体" w:cs="Times New Roman"/>
                      <w:color w:val="auto"/>
                      <w:szCs w:val="24"/>
                    </w:rPr>
                    <w:t>生态</w:t>
                  </w:r>
                </w:p>
                <w:p w14:paraId="3D6AC3C7">
                  <w:pPr>
                    <w:spacing w:line="276" w:lineRule="auto"/>
                    <w:ind w:left="-105" w:leftChars="-50" w:right="-105" w:rightChars="-50"/>
                    <w:jc w:val="center"/>
                    <w:rPr>
                      <w:rFonts w:ascii="Times New Roman" w:hAnsi="Times New Roman" w:eastAsia="宋体" w:cs="Times New Roman"/>
                      <w:color w:val="auto"/>
                      <w:szCs w:val="24"/>
                    </w:rPr>
                  </w:pPr>
                  <w:r>
                    <w:rPr>
                      <w:rFonts w:ascii="Times New Roman" w:hAnsi="Times New Roman" w:eastAsia="宋体" w:cs="Times New Roman"/>
                      <w:color w:val="auto"/>
                      <w:szCs w:val="24"/>
                    </w:rPr>
                    <w:t>恢复</w:t>
                  </w:r>
                </w:p>
              </w:tc>
              <w:tc>
                <w:tcPr>
                  <w:tcW w:w="774" w:type="dxa"/>
                  <w:vAlign w:val="center"/>
                </w:tcPr>
                <w:p w14:paraId="6095D5D6">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生态恢复</w:t>
                  </w:r>
                </w:p>
              </w:tc>
              <w:tc>
                <w:tcPr>
                  <w:tcW w:w="5593" w:type="dxa"/>
                  <w:vAlign w:val="center"/>
                </w:tcPr>
                <w:p w14:paraId="76F32D7F">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default" w:ascii="Times New Roman" w:hAnsi="Times New Roman" w:eastAsia="宋体" w:cs="Times New Roman"/>
                      <w:color w:val="auto"/>
                      <w:spacing w:val="0"/>
                      <w:kern w:val="0"/>
                      <w:sz w:val="20"/>
                      <w:szCs w:val="20"/>
                      <w:lang w:val="en-US" w:eastAsia="zh-CN" w:bidi="ar"/>
                    </w:rPr>
                    <w:t>施工作业区域地貌恢复、植被恢复等</w:t>
                  </w:r>
                </w:p>
              </w:tc>
              <w:tc>
                <w:tcPr>
                  <w:tcW w:w="785" w:type="dxa"/>
                  <w:vAlign w:val="center"/>
                </w:tcPr>
                <w:p w14:paraId="427EDCB0">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80</w:t>
                  </w:r>
                </w:p>
              </w:tc>
            </w:tr>
            <w:tr w14:paraId="69377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16" w:type="dxa"/>
                  <w:vAlign w:val="center"/>
                </w:tcPr>
                <w:p w14:paraId="2272D45B">
                  <w:pPr>
                    <w:spacing w:line="276" w:lineRule="auto"/>
                    <w:ind w:left="-105" w:leftChars="-50" w:right="-105" w:rightChars="-50"/>
                    <w:jc w:val="center"/>
                    <w:rPr>
                      <w:rFonts w:ascii="Times New Roman" w:hAnsi="Times New Roman" w:eastAsia="宋体" w:cs="Times New Roman"/>
                      <w:color w:val="auto"/>
                      <w:szCs w:val="24"/>
                    </w:rPr>
                  </w:pPr>
                </w:p>
              </w:tc>
              <w:tc>
                <w:tcPr>
                  <w:tcW w:w="1447" w:type="dxa"/>
                  <w:gridSpan w:val="2"/>
                  <w:vAlign w:val="center"/>
                </w:tcPr>
                <w:p w14:paraId="6CCAEFFD">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zCs w:val="24"/>
                      <w:lang w:eastAsia="zh-CN"/>
                    </w:rPr>
                    <w:t>环境风险</w:t>
                  </w:r>
                </w:p>
              </w:tc>
              <w:tc>
                <w:tcPr>
                  <w:tcW w:w="5593" w:type="dxa"/>
                  <w:vAlign w:val="center"/>
                </w:tcPr>
                <w:p w14:paraId="2A865F04">
                  <w:pPr>
                    <w:adjustRightInd w:val="0"/>
                    <w:snapToGrid w:val="0"/>
                    <w:jc w:val="center"/>
                    <w:rPr>
                      <w:rFonts w:hint="default" w:ascii="Times New Roman" w:hAnsi="Times New Roman" w:eastAsia="宋体" w:cs="Times New Roman"/>
                      <w:color w:val="auto"/>
                      <w:spacing w:val="0"/>
                      <w:kern w:val="0"/>
                      <w:sz w:val="20"/>
                      <w:szCs w:val="20"/>
                      <w:lang w:val="en-US" w:eastAsia="zh-CN" w:bidi="ar"/>
                    </w:rPr>
                  </w:pPr>
                  <w:r>
                    <w:rPr>
                      <w:rFonts w:hint="eastAsia" w:ascii="Times New Roman" w:hAnsi="Times New Roman" w:eastAsia="宋体" w:cs="Times New Roman"/>
                      <w:color w:val="auto"/>
                      <w:sz w:val="21"/>
                      <w:szCs w:val="21"/>
                      <w:lang w:val="en-US" w:eastAsia="zh-CN"/>
                    </w:rPr>
                    <w:t>危废暂存间</w:t>
                  </w:r>
                  <w:r>
                    <w:rPr>
                      <w:rFonts w:hint="eastAsia" w:ascii="Times New Roman" w:hAnsi="Times New Roman" w:eastAsia="宋体" w:cs="Times New Roman"/>
                      <w:color w:val="auto"/>
                      <w:sz w:val="21"/>
                      <w:szCs w:val="21"/>
                      <w:highlight w:val="none"/>
                      <w:lang w:eastAsia="zh-CN"/>
                    </w:rPr>
                    <w:t>地面做</w:t>
                  </w:r>
                  <w:r>
                    <w:rPr>
                      <w:rFonts w:hint="eastAsia" w:ascii="宋体" w:hAnsi="宋体" w:eastAsia="宋体" w:cs="宋体"/>
                      <w:color w:val="auto"/>
                      <w:kern w:val="0"/>
                      <w:sz w:val="21"/>
                      <w:szCs w:val="21"/>
                      <w:lang w:val="en-US" w:eastAsia="zh-CN" w:bidi="ar"/>
                    </w:rPr>
                    <w:t>基础防渗，防渗层为至少</w:t>
                  </w:r>
                  <w:r>
                    <w:rPr>
                      <w:rFonts w:hint="default" w:ascii="Times New Roman" w:hAnsi="Times New Roman" w:eastAsia="宋体" w:cs="Times New Roman"/>
                      <w:color w:val="auto"/>
                      <w:kern w:val="0"/>
                      <w:sz w:val="21"/>
                      <w:szCs w:val="21"/>
                      <w:lang w:val="en-US" w:eastAsia="zh-CN" w:bidi="ar"/>
                    </w:rPr>
                    <w:t xml:space="preserve">1 m </w:t>
                  </w:r>
                  <w:r>
                    <w:rPr>
                      <w:rFonts w:hint="eastAsia" w:ascii="宋体" w:hAnsi="宋体" w:eastAsia="宋体" w:cs="宋体"/>
                      <w:color w:val="auto"/>
                      <w:kern w:val="0"/>
                      <w:sz w:val="21"/>
                      <w:szCs w:val="21"/>
                      <w:lang w:val="en-US" w:eastAsia="zh-CN" w:bidi="ar"/>
                    </w:rPr>
                    <w:t xml:space="preserve">厚黏土层（渗透系数不大于 </w:t>
                  </w:r>
                  <w:r>
                    <w:rPr>
                      <w:rFonts w:hint="default" w:ascii="Times New Roman" w:hAnsi="Times New Roman" w:eastAsia="宋体" w:cs="Times New Roman"/>
                      <w:color w:val="auto"/>
                      <w:kern w:val="0"/>
                      <w:sz w:val="21"/>
                      <w:szCs w:val="21"/>
                      <w:lang w:val="en-US" w:eastAsia="zh-CN" w:bidi="ar"/>
                    </w:rPr>
                    <w:t>10 -7 cm/s</w:t>
                  </w:r>
                  <w:r>
                    <w:rPr>
                      <w:rFonts w:hint="eastAsia" w:ascii="宋体" w:hAnsi="宋体" w:eastAsia="宋体" w:cs="宋体"/>
                      <w:color w:val="auto"/>
                      <w:kern w:val="0"/>
                      <w:sz w:val="21"/>
                      <w:szCs w:val="21"/>
                      <w:lang w:val="en-US" w:eastAsia="zh-CN" w:bidi="ar"/>
                    </w:rPr>
                    <w:t>），或至少</w:t>
                  </w:r>
                  <w:r>
                    <w:rPr>
                      <w:rFonts w:hint="default" w:ascii="Times New Roman" w:hAnsi="Times New Roman" w:eastAsia="宋体" w:cs="Times New Roman"/>
                      <w:color w:val="auto"/>
                      <w:kern w:val="0"/>
                      <w:sz w:val="21"/>
                      <w:szCs w:val="21"/>
                      <w:lang w:val="en-US" w:eastAsia="zh-CN" w:bidi="ar"/>
                    </w:rPr>
                    <w:t xml:space="preserve">2 mm </w:t>
                  </w:r>
                  <w:r>
                    <w:rPr>
                      <w:rFonts w:hint="eastAsia" w:ascii="宋体" w:hAnsi="宋体" w:eastAsia="宋体" w:cs="宋体"/>
                      <w:color w:val="auto"/>
                      <w:kern w:val="0"/>
                      <w:sz w:val="21"/>
                      <w:szCs w:val="21"/>
                      <w:lang w:val="en-US" w:eastAsia="zh-CN" w:bidi="ar"/>
                    </w:rPr>
                    <w:t xml:space="preserve">厚高密度聚乙烯膜等人工防渗材料（渗透系数不大于 </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 xml:space="preserve"> -10 </w:t>
                  </w:r>
                  <w:r>
                    <w:rPr>
                      <w:rFonts w:hint="default" w:ascii="Times New Roman" w:hAnsi="Times New Roman" w:eastAsia="宋体" w:cs="Times New Roman"/>
                      <w:color w:val="auto"/>
                      <w:kern w:val="0"/>
                      <w:sz w:val="21"/>
                      <w:szCs w:val="21"/>
                      <w:lang w:val="en-US" w:eastAsia="zh-CN" w:bidi="ar"/>
                    </w:rPr>
                    <w:t>cm/s</w:t>
                  </w:r>
                  <w:r>
                    <w:rPr>
                      <w:rFonts w:hint="eastAsia" w:ascii="Times New Roman" w:hAnsi="Times New Roman" w:eastAsia="宋体" w:cs="Times New Roman"/>
                      <w:color w:val="auto"/>
                      <w:kern w:val="0"/>
                      <w:sz w:val="21"/>
                      <w:szCs w:val="21"/>
                      <w:lang w:val="en-US" w:eastAsia="zh-CN" w:bidi="ar"/>
                    </w:rPr>
                    <w:t>。危废间设置防渗漏托盘。</w:t>
                  </w:r>
                </w:p>
              </w:tc>
              <w:tc>
                <w:tcPr>
                  <w:tcW w:w="785" w:type="dxa"/>
                  <w:vAlign w:val="center"/>
                </w:tcPr>
                <w:p w14:paraId="13D8A013">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1</w:t>
                  </w:r>
                </w:p>
              </w:tc>
            </w:tr>
            <w:tr w14:paraId="01316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456" w:type="dxa"/>
                  <w:gridSpan w:val="4"/>
                  <w:vAlign w:val="center"/>
                </w:tcPr>
                <w:p w14:paraId="228F40D4">
                  <w:pPr>
                    <w:spacing w:line="276"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合计</w:t>
                  </w:r>
                </w:p>
              </w:tc>
              <w:tc>
                <w:tcPr>
                  <w:tcW w:w="785" w:type="dxa"/>
                  <w:vAlign w:val="center"/>
                </w:tcPr>
                <w:p w14:paraId="2C01AA31">
                  <w:pPr>
                    <w:spacing w:line="276" w:lineRule="auto"/>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91</w:t>
                  </w:r>
                </w:p>
              </w:tc>
            </w:tr>
          </w:tbl>
          <w:p w14:paraId="71322AB8">
            <w:pPr>
              <w:rPr>
                <w:rFonts w:ascii="宋体" w:hAnsi="宋体" w:eastAsia="宋体" w:cs="宋体"/>
                <w:bCs/>
                <w:color w:val="auto"/>
                <w:spacing w:val="10"/>
                <w:szCs w:val="21"/>
              </w:rPr>
            </w:pPr>
          </w:p>
          <w:p w14:paraId="1DF6275A">
            <w:pPr>
              <w:rPr>
                <w:rFonts w:ascii="宋体" w:hAnsi="宋体" w:eastAsia="宋体" w:cs="宋体"/>
                <w:bCs/>
                <w:color w:val="auto"/>
                <w:spacing w:val="10"/>
                <w:szCs w:val="21"/>
              </w:rPr>
            </w:pPr>
          </w:p>
          <w:p w14:paraId="67112782">
            <w:pPr>
              <w:rPr>
                <w:rFonts w:ascii="宋体" w:hAnsi="宋体" w:eastAsia="宋体" w:cs="宋体"/>
                <w:bCs/>
                <w:color w:val="auto"/>
                <w:spacing w:val="10"/>
                <w:szCs w:val="21"/>
              </w:rPr>
            </w:pPr>
          </w:p>
        </w:tc>
      </w:tr>
    </w:tbl>
    <w:p w14:paraId="5F842AEA">
      <w:pPr>
        <w:rPr>
          <w:rFonts w:hint="eastAsia" w:ascii="黑体" w:hAnsi="黑体" w:eastAsia="黑体" w:cs="Times New Roman"/>
          <w:snapToGrid w:val="0"/>
          <w:color w:val="auto"/>
          <w:kern w:val="0"/>
          <w:sz w:val="30"/>
          <w:szCs w:val="30"/>
        </w:rPr>
      </w:pPr>
      <w:r>
        <w:rPr>
          <w:rFonts w:hint="eastAsia" w:ascii="黑体" w:hAnsi="黑体" w:eastAsia="黑体" w:cs="Times New Roman"/>
          <w:snapToGrid w:val="0"/>
          <w:color w:val="auto"/>
          <w:kern w:val="0"/>
          <w:sz w:val="30"/>
          <w:szCs w:val="30"/>
        </w:rPr>
        <w:br w:type="page"/>
      </w:r>
    </w:p>
    <w:p w14:paraId="3A7ADB3D">
      <w:pPr>
        <w:widowControl/>
        <w:spacing w:before="100" w:beforeAutospacing="1" w:after="100" w:afterAutospacing="1"/>
        <w:jc w:val="center"/>
        <w:outlineLvl w:val="0"/>
        <w:rPr>
          <w:rFonts w:ascii="黑体" w:hAnsi="黑体" w:eastAsia="黑体" w:cs="Times New Roman"/>
          <w:snapToGrid w:val="0"/>
          <w:color w:val="auto"/>
          <w:kern w:val="0"/>
          <w:sz w:val="30"/>
          <w:szCs w:val="30"/>
        </w:rPr>
      </w:pPr>
      <w:r>
        <w:rPr>
          <w:rFonts w:hint="eastAsia" w:ascii="黑体" w:hAnsi="黑体" w:eastAsia="黑体" w:cs="Times New Roman"/>
          <w:snapToGrid w:val="0"/>
          <w:color w:val="auto"/>
          <w:kern w:val="0"/>
          <w:sz w:val="30"/>
          <w:szCs w:val="30"/>
        </w:rPr>
        <w:t>六、生态环境保护措施监督检查清单</w:t>
      </w:r>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3255"/>
        <w:gridCol w:w="2383"/>
        <w:gridCol w:w="1211"/>
        <w:gridCol w:w="1107"/>
      </w:tblGrid>
      <w:tr w14:paraId="38A55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Merge w:val="restart"/>
            <w:tcBorders>
              <w:tl2br w:val="single" w:color="auto" w:sz="4" w:space="0"/>
            </w:tcBorders>
            <w:vAlign w:val="center"/>
          </w:tcPr>
          <w:p w14:paraId="431E9709">
            <w:pPr>
              <w:widowControl/>
              <w:adjustRightInd w:val="0"/>
              <w:snapToGrid w:val="0"/>
              <w:spacing w:beforeLines="30" w:line="276" w:lineRule="auto"/>
              <w:jc w:val="right"/>
              <w:outlineLvl w:val="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内容</w:t>
            </w:r>
          </w:p>
          <w:p w14:paraId="032EE768">
            <w:pPr>
              <w:widowControl/>
              <w:adjustRightInd w:val="0"/>
              <w:snapToGrid w:val="0"/>
              <w:spacing w:line="276" w:lineRule="auto"/>
              <w:jc w:val="left"/>
              <w:outlineLvl w:val="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要素</w:t>
            </w:r>
          </w:p>
        </w:tc>
        <w:tc>
          <w:tcPr>
            <w:tcW w:w="3050" w:type="pct"/>
            <w:gridSpan w:val="2"/>
            <w:vAlign w:val="center"/>
          </w:tcPr>
          <w:p w14:paraId="72D52824">
            <w:pPr>
              <w:widowControl/>
              <w:adjustRightInd w:val="0"/>
              <w:snapToGrid w:val="0"/>
              <w:spacing w:line="276" w:lineRule="auto"/>
              <w:jc w:val="center"/>
              <w:outlineLvl w:val="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施工期</w:t>
            </w:r>
          </w:p>
        </w:tc>
        <w:tc>
          <w:tcPr>
            <w:tcW w:w="1254" w:type="pct"/>
            <w:gridSpan w:val="2"/>
            <w:vAlign w:val="center"/>
          </w:tcPr>
          <w:p w14:paraId="21C69721">
            <w:pPr>
              <w:widowControl/>
              <w:adjustRightInd w:val="0"/>
              <w:snapToGrid w:val="0"/>
              <w:spacing w:line="276" w:lineRule="auto"/>
              <w:jc w:val="center"/>
              <w:outlineLvl w:val="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运营期</w:t>
            </w:r>
          </w:p>
        </w:tc>
      </w:tr>
      <w:tr w14:paraId="35E2D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Merge w:val="continue"/>
            <w:vAlign w:val="center"/>
          </w:tcPr>
          <w:p w14:paraId="32F0121E">
            <w:pPr>
              <w:widowControl/>
              <w:adjustRightInd w:val="0"/>
              <w:snapToGrid w:val="0"/>
              <w:spacing w:line="276" w:lineRule="auto"/>
              <w:ind w:firstLine="840"/>
              <w:jc w:val="center"/>
              <w:outlineLvl w:val="0"/>
              <w:rPr>
                <w:rFonts w:ascii="Times New Roman" w:hAnsi="Times New Roman" w:eastAsia="宋体" w:cs="Times New Roman"/>
                <w:b/>
                <w:color w:val="auto"/>
                <w:sz w:val="24"/>
                <w:szCs w:val="24"/>
              </w:rPr>
            </w:pPr>
          </w:p>
        </w:tc>
        <w:tc>
          <w:tcPr>
            <w:tcW w:w="1761" w:type="pct"/>
            <w:vAlign w:val="center"/>
          </w:tcPr>
          <w:p w14:paraId="08214D7F">
            <w:pPr>
              <w:widowControl/>
              <w:adjustRightInd w:val="0"/>
              <w:snapToGrid w:val="0"/>
              <w:spacing w:line="276" w:lineRule="auto"/>
              <w:jc w:val="center"/>
              <w:outlineLvl w:val="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环境保护措施</w:t>
            </w:r>
          </w:p>
        </w:tc>
        <w:tc>
          <w:tcPr>
            <w:tcW w:w="1289" w:type="pct"/>
            <w:vAlign w:val="center"/>
          </w:tcPr>
          <w:p w14:paraId="1F14710C">
            <w:pPr>
              <w:widowControl/>
              <w:adjustRightInd w:val="0"/>
              <w:snapToGrid w:val="0"/>
              <w:spacing w:line="276" w:lineRule="auto"/>
              <w:jc w:val="center"/>
              <w:outlineLvl w:val="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验收要求</w:t>
            </w:r>
          </w:p>
        </w:tc>
        <w:tc>
          <w:tcPr>
            <w:tcW w:w="655" w:type="pct"/>
            <w:vAlign w:val="center"/>
          </w:tcPr>
          <w:p w14:paraId="15CF57D5">
            <w:pPr>
              <w:widowControl/>
              <w:adjustRightInd w:val="0"/>
              <w:snapToGrid w:val="0"/>
              <w:spacing w:line="276" w:lineRule="auto"/>
              <w:jc w:val="center"/>
              <w:outlineLvl w:val="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环境保护措施</w:t>
            </w:r>
          </w:p>
        </w:tc>
        <w:tc>
          <w:tcPr>
            <w:tcW w:w="598" w:type="pct"/>
            <w:vAlign w:val="center"/>
          </w:tcPr>
          <w:p w14:paraId="336E1B7A">
            <w:pPr>
              <w:widowControl/>
              <w:adjustRightInd w:val="0"/>
              <w:snapToGrid w:val="0"/>
              <w:spacing w:line="276" w:lineRule="auto"/>
              <w:jc w:val="center"/>
              <w:outlineLvl w:val="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验收要求</w:t>
            </w:r>
          </w:p>
        </w:tc>
      </w:tr>
      <w:tr w14:paraId="2D5D3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270D73CE">
            <w:pPr>
              <w:adjustRightInd w:val="0"/>
              <w:snapToGrid w:val="0"/>
              <w:spacing w:line="276"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陆生生态</w:t>
            </w:r>
          </w:p>
        </w:tc>
        <w:tc>
          <w:tcPr>
            <w:tcW w:w="1761" w:type="pct"/>
            <w:shd w:val="clear" w:color="auto" w:fill="auto"/>
            <w:vAlign w:val="center"/>
          </w:tcPr>
          <w:p w14:paraId="295FD7C5">
            <w:pPr>
              <w:widowControl/>
              <w:jc w:val="left"/>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val="en-US" w:eastAsia="zh-CN"/>
              </w:rPr>
              <w:t>严格控制施工活动范围，减少项目占地影响；</w:t>
            </w:r>
            <w:r>
              <w:rPr>
                <w:rFonts w:hint="default" w:ascii="Times New Roman" w:hAnsi="Times New Roman" w:cs="Times New Roman"/>
                <w:color w:val="auto"/>
                <w:sz w:val="24"/>
                <w:szCs w:val="24"/>
                <w:lang w:eastAsia="zh-CN"/>
              </w:rPr>
              <w:t>项目施工时</w:t>
            </w:r>
            <w:r>
              <w:rPr>
                <w:rFonts w:hint="eastAsia" w:cs="Times New Roman"/>
                <w:color w:val="auto"/>
                <w:sz w:val="24"/>
                <w:szCs w:val="24"/>
                <w:lang w:eastAsia="zh-CN"/>
              </w:rPr>
              <w:t>严格落实</w:t>
            </w:r>
            <w:r>
              <w:rPr>
                <w:rFonts w:hint="default" w:ascii="Times New Roman" w:hAnsi="Times New Roman" w:cs="Times New Roman"/>
                <w:color w:val="auto"/>
                <w:sz w:val="24"/>
                <w:szCs w:val="24"/>
              </w:rPr>
              <w:t>水土保持</w:t>
            </w:r>
            <w:r>
              <w:rPr>
                <w:rFonts w:hint="default" w:ascii="Times New Roman" w:hAnsi="Times New Roman" w:eastAsia="宋体" w:cs="Times New Roman"/>
                <w:color w:val="auto"/>
                <w:sz w:val="24"/>
                <w:szCs w:val="24"/>
                <w:lang w:val="en-US" w:eastAsia="zh-CN"/>
              </w:rPr>
              <w:t>防护措施，以防雨水冲刷造成水土流失；</w:t>
            </w:r>
            <w:r>
              <w:rPr>
                <w:rFonts w:hint="eastAsia" w:ascii="Times New Roman" w:hAnsi="Times New Roman" w:eastAsia="宋体" w:cs="Times New Roman"/>
                <w:color w:val="auto"/>
                <w:sz w:val="24"/>
                <w:szCs w:val="24"/>
                <w:lang w:val="en-US" w:eastAsia="zh-CN"/>
              </w:rPr>
              <w:t>施工前土壤要分层开挖、分别堆放、分层回填。</w:t>
            </w:r>
            <w:r>
              <w:rPr>
                <w:rFonts w:hint="default" w:ascii="Times New Roman" w:hAnsi="Times New Roman" w:eastAsia="宋体" w:cs="Times New Roman"/>
                <w:color w:val="auto"/>
                <w:sz w:val="24"/>
                <w:szCs w:val="24"/>
                <w:lang w:val="en-US" w:eastAsia="zh-CN"/>
              </w:rPr>
              <w:t>施工结束后，</w:t>
            </w:r>
            <w:r>
              <w:rPr>
                <w:rFonts w:hint="eastAsia" w:ascii="Times New Roman" w:hAnsi="Times New Roman" w:eastAsia="宋体" w:cs="Times New Roman"/>
                <w:color w:val="auto"/>
                <w:sz w:val="24"/>
                <w:szCs w:val="24"/>
                <w:lang w:val="en-US" w:eastAsia="zh-CN"/>
              </w:rPr>
              <w:t>及时进行土地复垦，</w:t>
            </w:r>
            <w:r>
              <w:rPr>
                <w:rFonts w:hint="default" w:ascii="Times New Roman" w:hAnsi="Times New Roman" w:eastAsia="宋体" w:cs="Times New Roman"/>
                <w:color w:val="auto"/>
                <w:sz w:val="24"/>
                <w:szCs w:val="24"/>
                <w:lang w:val="en-US" w:eastAsia="zh-CN"/>
              </w:rPr>
              <w:t>恢复</w:t>
            </w:r>
            <w:r>
              <w:rPr>
                <w:rFonts w:hint="eastAsia" w:ascii="Times New Roman" w:hAnsi="Times New Roman" w:eastAsia="宋体" w:cs="Times New Roman"/>
                <w:color w:val="auto"/>
                <w:sz w:val="24"/>
                <w:szCs w:val="24"/>
                <w:lang w:val="en-US" w:eastAsia="zh-CN"/>
              </w:rPr>
              <w:t>场区</w:t>
            </w:r>
            <w:r>
              <w:rPr>
                <w:rFonts w:hint="default" w:ascii="Times New Roman" w:hAnsi="Times New Roman" w:eastAsia="宋体" w:cs="Times New Roman"/>
                <w:color w:val="auto"/>
                <w:sz w:val="24"/>
                <w:szCs w:val="24"/>
                <w:lang w:val="en-US" w:eastAsia="zh-CN"/>
              </w:rPr>
              <w:t>原状。</w:t>
            </w:r>
          </w:p>
        </w:tc>
        <w:tc>
          <w:tcPr>
            <w:tcW w:w="1289" w:type="pct"/>
            <w:shd w:val="clear" w:color="auto" w:fill="auto"/>
            <w:vAlign w:val="center"/>
          </w:tcPr>
          <w:p w14:paraId="32D543E7">
            <w:pPr>
              <w:widowControl/>
              <w:jc w:val="left"/>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在批复的占地范围内进行施工，</w:t>
            </w:r>
            <w:r>
              <w:rPr>
                <w:rFonts w:hint="eastAsia" w:cs="Times New Roman"/>
                <w:color w:val="auto"/>
                <w:sz w:val="24"/>
                <w:szCs w:val="24"/>
                <w:lang w:eastAsia="zh-CN"/>
              </w:rPr>
              <w:t>严格落实</w:t>
            </w:r>
            <w:r>
              <w:rPr>
                <w:rFonts w:hint="default" w:ascii="Times New Roman" w:hAnsi="Times New Roman" w:cs="Times New Roman"/>
                <w:color w:val="auto"/>
                <w:sz w:val="24"/>
                <w:szCs w:val="24"/>
              </w:rPr>
              <w:t>水土保持</w:t>
            </w:r>
            <w:r>
              <w:rPr>
                <w:rFonts w:hint="default" w:ascii="Times New Roman" w:hAnsi="Times New Roman" w:eastAsia="宋体" w:cs="Times New Roman"/>
                <w:color w:val="auto"/>
                <w:sz w:val="24"/>
                <w:szCs w:val="24"/>
                <w:lang w:val="en-US" w:eastAsia="zh-CN"/>
              </w:rPr>
              <w:t>防护措施</w:t>
            </w:r>
            <w:r>
              <w:rPr>
                <w:rFonts w:hint="eastAsia" w:ascii="Times New Roman" w:hAnsi="Times New Roman" w:eastAsia="宋体" w:cs="Times New Roman"/>
                <w:color w:val="auto"/>
                <w:sz w:val="24"/>
                <w:szCs w:val="24"/>
                <w:lang w:val="en-US" w:eastAsia="zh-CN"/>
              </w:rPr>
              <w:t>，表土分层开挖、分区堆放、分层回填，</w:t>
            </w:r>
            <w:r>
              <w:rPr>
                <w:rFonts w:hint="default" w:ascii="Times New Roman" w:hAnsi="Times New Roman" w:cs="Times New Roman"/>
                <w:color w:val="auto"/>
                <w:sz w:val="24"/>
                <w:szCs w:val="24"/>
              </w:rPr>
              <w:t>施工完成后</w:t>
            </w:r>
            <w:r>
              <w:rPr>
                <w:rFonts w:hint="eastAsia" w:ascii="Times New Roman" w:hAnsi="Times New Roman" w:cs="Times New Roman"/>
                <w:color w:val="auto"/>
                <w:sz w:val="24"/>
                <w:szCs w:val="24"/>
                <w:lang w:eastAsia="zh-CN"/>
              </w:rPr>
              <w:t>及时</w:t>
            </w:r>
            <w:r>
              <w:rPr>
                <w:rFonts w:hint="default" w:ascii="Times New Roman" w:hAnsi="Times New Roman" w:cs="Times New Roman"/>
                <w:color w:val="auto"/>
                <w:sz w:val="24"/>
                <w:szCs w:val="24"/>
              </w:rPr>
              <w:t>恢复场地原状</w:t>
            </w:r>
            <w:r>
              <w:rPr>
                <w:rFonts w:hint="eastAsia" w:ascii="Times New Roman" w:hAnsi="Times New Roman" w:cs="Times New Roman"/>
                <w:color w:val="auto"/>
                <w:sz w:val="24"/>
                <w:szCs w:val="24"/>
                <w:lang w:eastAsia="zh-CN"/>
              </w:rPr>
              <w:t>。</w:t>
            </w:r>
          </w:p>
        </w:tc>
        <w:tc>
          <w:tcPr>
            <w:tcW w:w="655" w:type="pct"/>
            <w:vAlign w:val="center"/>
          </w:tcPr>
          <w:p w14:paraId="59391C20">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598" w:type="pct"/>
            <w:vAlign w:val="center"/>
          </w:tcPr>
          <w:p w14:paraId="3A641040">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14:paraId="36D16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098881F4">
            <w:pPr>
              <w:adjustRightInd w:val="0"/>
              <w:snapToGrid w:val="0"/>
              <w:spacing w:line="276"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地表水环境</w:t>
            </w:r>
          </w:p>
        </w:tc>
        <w:tc>
          <w:tcPr>
            <w:tcW w:w="1761" w:type="pct"/>
            <w:vAlign w:val="center"/>
          </w:tcPr>
          <w:p w14:paraId="241DA8D5">
            <w:pPr>
              <w:spacing w:line="276" w:lineRule="auto"/>
              <w:jc w:val="center"/>
              <w:rPr>
                <w:rFonts w:hint="eastAsia" w:ascii="Times New Roman" w:hAnsi="Times New Roman" w:eastAsia="宋体" w:cs="Times New Roman"/>
                <w:color w:val="auto"/>
                <w:kern w:val="4"/>
                <w:sz w:val="24"/>
                <w:szCs w:val="24"/>
                <w:lang w:eastAsia="zh-CN"/>
              </w:rPr>
            </w:pPr>
            <w:r>
              <w:rPr>
                <w:rFonts w:ascii="Times New Roman" w:hAnsi="Times New Roman" w:eastAsia="宋体" w:cs="Times New Roman"/>
                <w:bCs/>
                <w:color w:val="auto"/>
                <w:sz w:val="24"/>
                <w:szCs w:val="24"/>
              </w:rPr>
              <w:t>项目</w:t>
            </w:r>
            <w:r>
              <w:rPr>
                <w:rFonts w:hint="eastAsia" w:ascii="Times New Roman" w:hAnsi="Times New Roman" w:eastAsia="宋体" w:cs="Times New Roman"/>
                <w:bCs/>
                <w:color w:val="auto"/>
                <w:sz w:val="24"/>
                <w:szCs w:val="24"/>
                <w:lang w:eastAsia="zh-CN"/>
              </w:rPr>
              <w:t>无</w:t>
            </w:r>
            <w:r>
              <w:rPr>
                <w:rFonts w:ascii="Times New Roman" w:hAnsi="Times New Roman" w:eastAsia="宋体" w:cs="Times New Roman"/>
                <w:bCs/>
                <w:color w:val="auto"/>
                <w:sz w:val="24"/>
                <w:szCs w:val="24"/>
              </w:rPr>
              <w:t>钻井废水</w:t>
            </w:r>
            <w:r>
              <w:rPr>
                <w:rFonts w:hint="eastAsia" w:ascii="Times New Roman" w:hAnsi="Times New Roman" w:eastAsia="宋体" w:cs="Times New Roman"/>
                <w:bCs/>
                <w:color w:val="auto"/>
                <w:sz w:val="24"/>
                <w:szCs w:val="24"/>
                <w:lang w:eastAsia="zh-CN"/>
              </w:rPr>
              <w:t>外排</w:t>
            </w:r>
            <w:r>
              <w:rPr>
                <w:rFonts w:ascii="Times New Roman" w:hAnsi="Times New Roman" w:eastAsia="宋体" w:cs="Times New Roman"/>
                <w:bCs/>
                <w:color w:val="auto"/>
                <w:sz w:val="24"/>
                <w:szCs w:val="24"/>
              </w:rPr>
              <w:t>、生活污水</w:t>
            </w:r>
            <w:r>
              <w:rPr>
                <w:rFonts w:ascii="Times New Roman" w:hAnsi="Times New Roman" w:eastAsia="宋体" w:cs="Times New Roman"/>
                <w:color w:val="auto"/>
                <w:sz w:val="24"/>
                <w:szCs w:val="24"/>
              </w:rPr>
              <w:t>经化粪池</w:t>
            </w:r>
            <w:r>
              <w:rPr>
                <w:rFonts w:hint="eastAsia" w:ascii="Times New Roman" w:hAnsi="Times New Roman" w:eastAsia="宋体" w:cs="Times New Roman"/>
                <w:color w:val="auto"/>
                <w:sz w:val="24"/>
                <w:szCs w:val="24"/>
                <w:lang w:eastAsia="zh-CN"/>
              </w:rPr>
              <w:t>预处理后定期</w:t>
            </w:r>
            <w:r>
              <w:rPr>
                <w:rFonts w:ascii="Times New Roman" w:hAnsi="Times New Roman" w:eastAsia="宋体" w:cs="Times New Roman"/>
                <w:color w:val="auto"/>
                <w:sz w:val="24"/>
                <w:szCs w:val="24"/>
              </w:rPr>
              <w:t>清掏用作农田施肥</w:t>
            </w:r>
            <w:r>
              <w:rPr>
                <w:rFonts w:hint="eastAsia" w:ascii="Times New Roman" w:hAnsi="Times New Roman" w:eastAsia="宋体" w:cs="Times New Roman"/>
                <w:color w:val="auto"/>
                <w:sz w:val="24"/>
                <w:szCs w:val="24"/>
                <w:lang w:eastAsia="zh-CN"/>
              </w:rPr>
              <w:t>。</w:t>
            </w:r>
          </w:p>
        </w:tc>
        <w:tc>
          <w:tcPr>
            <w:tcW w:w="1289" w:type="pct"/>
            <w:vAlign w:val="center"/>
          </w:tcPr>
          <w:p w14:paraId="726DBD9A">
            <w:pPr>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施工废水、施工生活污水禁止外排至地表水环境</w:t>
            </w:r>
          </w:p>
        </w:tc>
        <w:tc>
          <w:tcPr>
            <w:tcW w:w="655" w:type="pct"/>
            <w:vAlign w:val="center"/>
          </w:tcPr>
          <w:p w14:paraId="33371608">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598" w:type="pct"/>
            <w:vAlign w:val="center"/>
          </w:tcPr>
          <w:p w14:paraId="001FACF9">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14:paraId="4291F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7745FE3B">
            <w:pPr>
              <w:adjustRightInd w:val="0"/>
              <w:snapToGrid w:val="0"/>
              <w:spacing w:line="276"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地下水及土壤环境</w:t>
            </w:r>
          </w:p>
        </w:tc>
        <w:tc>
          <w:tcPr>
            <w:tcW w:w="1761" w:type="pct"/>
            <w:vAlign w:val="center"/>
          </w:tcPr>
          <w:p w14:paraId="761E0FB0">
            <w:pPr>
              <w:spacing w:line="240" w:lineRule="auto"/>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泥浆添加剂</w:t>
            </w:r>
            <w:r>
              <w:rPr>
                <w:rFonts w:hint="eastAsia" w:ascii="Times New Roman" w:hAnsi="Times New Roman" w:eastAsia="宋体" w:cs="Times New Roman"/>
                <w:bCs/>
                <w:color w:val="auto"/>
                <w:sz w:val="24"/>
                <w:szCs w:val="24"/>
                <w:lang w:eastAsia="zh-CN"/>
              </w:rPr>
              <w:t>不得含</w:t>
            </w:r>
            <w:r>
              <w:rPr>
                <w:rFonts w:hint="eastAsia" w:ascii="Times New Roman" w:hAnsi="Times New Roman" w:eastAsia="宋体" w:cs="Times New Roman"/>
                <w:bCs/>
                <w:color w:val="auto"/>
                <w:sz w:val="24"/>
                <w:szCs w:val="24"/>
              </w:rPr>
              <w:t>有毒有害成分，</w:t>
            </w:r>
            <w:r>
              <w:rPr>
                <w:rFonts w:hint="eastAsia" w:ascii="Times New Roman" w:hAnsi="Times New Roman" w:eastAsia="宋体" w:cs="Times New Roman"/>
                <w:bCs/>
                <w:color w:val="auto"/>
                <w:sz w:val="24"/>
                <w:szCs w:val="24"/>
                <w:lang w:eastAsia="zh-CN"/>
              </w:rPr>
              <w:t>固井</w:t>
            </w:r>
            <w:r>
              <w:rPr>
                <w:rFonts w:hint="eastAsia" w:ascii="Times New Roman" w:hAnsi="Times New Roman" w:eastAsia="宋体" w:cs="Times New Roman"/>
                <w:bCs/>
                <w:color w:val="auto"/>
                <w:sz w:val="24"/>
                <w:szCs w:val="24"/>
              </w:rPr>
              <w:t>用水泥为普通/复合硅酸盐水泥，质量符合国家标准。钻井过程中采取水泥固井，</w:t>
            </w:r>
            <w:r>
              <w:rPr>
                <w:rFonts w:hint="default" w:ascii="Times New Roman" w:hAnsi="Times New Roman" w:eastAsia="宋体" w:cs="Times New Roman"/>
                <w:bCs/>
                <w:color w:val="auto"/>
                <w:sz w:val="24"/>
                <w:szCs w:val="24"/>
              </w:rPr>
              <w:t>钻孔</w:t>
            </w:r>
            <w:r>
              <w:rPr>
                <w:rFonts w:hint="eastAsia" w:ascii="Times New Roman" w:hAnsi="Times New Roman" w:eastAsia="宋体" w:cs="Times New Roman"/>
                <w:bCs/>
                <w:color w:val="auto"/>
                <w:sz w:val="24"/>
                <w:szCs w:val="24"/>
              </w:rPr>
              <w:t>过程中下入石油</w:t>
            </w:r>
            <w:r>
              <w:rPr>
                <w:rFonts w:hint="default" w:ascii="Times New Roman" w:hAnsi="Times New Roman" w:eastAsia="宋体" w:cs="Times New Roman"/>
                <w:bCs/>
                <w:color w:val="auto"/>
                <w:sz w:val="24"/>
                <w:szCs w:val="24"/>
              </w:rPr>
              <w:t>套管，</w:t>
            </w:r>
            <w:r>
              <w:rPr>
                <w:rFonts w:hint="eastAsia" w:ascii="Times New Roman" w:hAnsi="Times New Roman" w:eastAsia="宋体" w:cs="Times New Roman"/>
                <w:bCs/>
                <w:color w:val="auto"/>
                <w:sz w:val="24"/>
                <w:szCs w:val="24"/>
              </w:rPr>
              <w:t>并用水泥固结牢固</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隔离松散地层，</w:t>
            </w:r>
            <w:r>
              <w:rPr>
                <w:rFonts w:hint="eastAsia" w:ascii="Times New Roman" w:hAnsi="Times New Roman" w:eastAsia="宋体" w:cs="Times New Roman"/>
                <w:bCs/>
                <w:color w:val="auto"/>
                <w:sz w:val="24"/>
                <w:szCs w:val="24"/>
                <w:lang w:eastAsia="zh-CN"/>
              </w:rPr>
              <w:t>防治</w:t>
            </w:r>
            <w:r>
              <w:rPr>
                <w:rFonts w:hint="eastAsia" w:ascii="Times New Roman" w:hAnsi="Times New Roman" w:eastAsia="宋体" w:cs="Times New Roman"/>
                <w:bCs/>
                <w:color w:val="auto"/>
                <w:sz w:val="24"/>
                <w:szCs w:val="24"/>
              </w:rPr>
              <w:t>地下水涌出。</w:t>
            </w:r>
          </w:p>
        </w:tc>
        <w:tc>
          <w:tcPr>
            <w:tcW w:w="1289" w:type="pct"/>
            <w:vAlign w:val="center"/>
          </w:tcPr>
          <w:p w14:paraId="77ECE28B">
            <w:pPr>
              <w:spacing w:line="276"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sz w:val="24"/>
                <w:szCs w:val="24"/>
              </w:rPr>
              <w:t>泥浆添加剂</w:t>
            </w:r>
            <w:r>
              <w:rPr>
                <w:rFonts w:hint="eastAsia" w:ascii="Times New Roman" w:hAnsi="Times New Roman" w:eastAsia="宋体" w:cs="Times New Roman"/>
                <w:bCs/>
                <w:color w:val="auto"/>
                <w:sz w:val="24"/>
                <w:szCs w:val="24"/>
                <w:lang w:eastAsia="zh-CN"/>
              </w:rPr>
              <w:t>不得含</w:t>
            </w:r>
            <w:r>
              <w:rPr>
                <w:rFonts w:hint="eastAsia" w:ascii="Times New Roman" w:hAnsi="Times New Roman" w:eastAsia="宋体" w:cs="Times New Roman"/>
                <w:bCs/>
                <w:color w:val="auto"/>
                <w:sz w:val="24"/>
                <w:szCs w:val="24"/>
              </w:rPr>
              <w:t>有毒有害成分，</w:t>
            </w:r>
            <w:r>
              <w:rPr>
                <w:rFonts w:hint="eastAsia" w:ascii="Times New Roman" w:hAnsi="Times New Roman" w:eastAsia="宋体" w:cs="Times New Roman"/>
                <w:bCs/>
                <w:color w:val="auto"/>
                <w:sz w:val="24"/>
                <w:szCs w:val="24"/>
                <w:lang w:eastAsia="zh-CN"/>
              </w:rPr>
              <w:t>固井</w:t>
            </w:r>
            <w:r>
              <w:rPr>
                <w:rFonts w:hint="eastAsia" w:ascii="Times New Roman" w:hAnsi="Times New Roman" w:eastAsia="宋体" w:cs="Times New Roman"/>
                <w:bCs/>
                <w:color w:val="auto"/>
                <w:sz w:val="24"/>
                <w:szCs w:val="24"/>
              </w:rPr>
              <w:t>用水泥为普通/复合硅酸盐水泥，质量符合国家标准。钻井过程中采取水泥固井，</w:t>
            </w:r>
            <w:r>
              <w:rPr>
                <w:rFonts w:hint="default" w:ascii="Times New Roman" w:hAnsi="Times New Roman" w:eastAsia="宋体" w:cs="Times New Roman"/>
                <w:bCs/>
                <w:color w:val="auto"/>
                <w:sz w:val="24"/>
                <w:szCs w:val="24"/>
              </w:rPr>
              <w:t>钻孔</w:t>
            </w:r>
            <w:r>
              <w:rPr>
                <w:rFonts w:hint="eastAsia" w:ascii="Times New Roman" w:hAnsi="Times New Roman" w:eastAsia="宋体" w:cs="Times New Roman"/>
                <w:bCs/>
                <w:color w:val="auto"/>
                <w:sz w:val="24"/>
                <w:szCs w:val="24"/>
              </w:rPr>
              <w:t>过程中下入石油</w:t>
            </w:r>
            <w:r>
              <w:rPr>
                <w:rFonts w:hint="default" w:ascii="Times New Roman" w:hAnsi="Times New Roman" w:eastAsia="宋体" w:cs="Times New Roman"/>
                <w:bCs/>
                <w:color w:val="auto"/>
                <w:sz w:val="24"/>
                <w:szCs w:val="24"/>
              </w:rPr>
              <w:t>套管，</w:t>
            </w:r>
            <w:r>
              <w:rPr>
                <w:rFonts w:hint="eastAsia" w:ascii="Times New Roman" w:hAnsi="Times New Roman" w:eastAsia="宋体" w:cs="Times New Roman"/>
                <w:bCs/>
                <w:color w:val="auto"/>
                <w:sz w:val="24"/>
                <w:szCs w:val="24"/>
              </w:rPr>
              <w:t>并用水泥固结牢固</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隔离松散地层，</w:t>
            </w:r>
            <w:r>
              <w:rPr>
                <w:rFonts w:hint="eastAsia" w:ascii="Times New Roman" w:hAnsi="Times New Roman" w:eastAsia="宋体" w:cs="Times New Roman"/>
                <w:bCs/>
                <w:color w:val="auto"/>
                <w:sz w:val="24"/>
                <w:szCs w:val="24"/>
                <w:lang w:eastAsia="zh-CN"/>
              </w:rPr>
              <w:t>防治</w:t>
            </w:r>
            <w:r>
              <w:rPr>
                <w:rFonts w:hint="eastAsia" w:ascii="Times New Roman" w:hAnsi="Times New Roman" w:eastAsia="宋体" w:cs="Times New Roman"/>
                <w:bCs/>
                <w:color w:val="auto"/>
                <w:sz w:val="24"/>
                <w:szCs w:val="24"/>
              </w:rPr>
              <w:t>地下水涌出。</w:t>
            </w:r>
          </w:p>
        </w:tc>
        <w:tc>
          <w:tcPr>
            <w:tcW w:w="655" w:type="pct"/>
            <w:vAlign w:val="center"/>
          </w:tcPr>
          <w:p w14:paraId="63568843">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598" w:type="pct"/>
            <w:vAlign w:val="center"/>
          </w:tcPr>
          <w:p w14:paraId="6AD82D08">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14:paraId="435F4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3813F093">
            <w:pPr>
              <w:adjustRightInd w:val="0"/>
              <w:snapToGrid w:val="0"/>
              <w:spacing w:line="276"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声环境</w:t>
            </w:r>
          </w:p>
        </w:tc>
        <w:tc>
          <w:tcPr>
            <w:tcW w:w="1761" w:type="pct"/>
            <w:vAlign w:val="center"/>
          </w:tcPr>
          <w:p w14:paraId="1158E2C2">
            <w:pPr>
              <w:spacing w:line="276" w:lineRule="auto"/>
              <w:jc w:val="center"/>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合理安排施工时间，合理布局施工场地，选用</w:t>
            </w:r>
            <w:r>
              <w:rPr>
                <w:rFonts w:hint="eastAsia" w:ascii="Times New Roman" w:hAnsi="Times New Roman" w:eastAsia="宋体" w:cs="Times New Roman"/>
                <w:color w:val="auto"/>
                <w:sz w:val="24"/>
                <w:szCs w:val="24"/>
                <w:lang w:eastAsia="zh-CN"/>
              </w:rPr>
              <w:t>低噪声设备</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加强现场管理等措施。</w:t>
            </w:r>
          </w:p>
        </w:tc>
        <w:tc>
          <w:tcPr>
            <w:tcW w:w="1289" w:type="pct"/>
            <w:vAlign w:val="center"/>
          </w:tcPr>
          <w:p w14:paraId="0A78ACD6">
            <w:pPr>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满足《建筑施工场界环境噪声排放标准》（GB12523-2011）中昼间70dB(A)，夜间55dB(A)</w:t>
            </w:r>
          </w:p>
        </w:tc>
        <w:tc>
          <w:tcPr>
            <w:tcW w:w="655" w:type="pct"/>
            <w:vAlign w:val="center"/>
          </w:tcPr>
          <w:p w14:paraId="18ABB470">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598" w:type="pct"/>
            <w:vAlign w:val="center"/>
          </w:tcPr>
          <w:p w14:paraId="3BC5789D">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14:paraId="234BE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090FDE6B">
            <w:pPr>
              <w:adjustRightInd w:val="0"/>
              <w:snapToGrid w:val="0"/>
              <w:spacing w:line="276"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大气环境</w:t>
            </w:r>
          </w:p>
        </w:tc>
        <w:tc>
          <w:tcPr>
            <w:tcW w:w="1761" w:type="pct"/>
            <w:vAlign w:val="center"/>
          </w:tcPr>
          <w:p w14:paraId="3FBACFD7">
            <w:pPr>
              <w:autoSpaceDE w:val="0"/>
              <w:autoSpaceDN w:val="0"/>
              <w:spacing w:line="240" w:lineRule="auto"/>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现场封闭管理百分之百</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施工现场硬质围挡应连续设置，施工场地围挡不低于1.8m，做到坚固、平稳、整洁、美观。</w:t>
            </w:r>
          </w:p>
          <w:p w14:paraId="1775B4DA">
            <w:pPr>
              <w:autoSpaceDE w:val="0"/>
              <w:autoSpaceDN w:val="0"/>
              <w:spacing w:line="24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②</w:t>
            </w:r>
            <w:r>
              <w:rPr>
                <w:rFonts w:ascii="Times New Roman" w:hAnsi="Times New Roman" w:eastAsia="宋体" w:cs="Times New Roman"/>
                <w:color w:val="auto"/>
                <w:kern w:val="0"/>
                <w:sz w:val="24"/>
                <w:szCs w:val="24"/>
              </w:rPr>
              <w:t>渣土物料蓬盖百分之百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施工现场内裸露的场地和集中堆放的土方应采取覆盖、固化或绿化等防尘措施。易产生扬尘的物料要篷盖。</w:t>
            </w:r>
          </w:p>
          <w:p w14:paraId="26FD6826">
            <w:pPr>
              <w:autoSpaceDE w:val="0"/>
              <w:autoSpaceDN w:val="0"/>
              <w:spacing w:line="24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洒水清扫保洁百分之百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5B0A4938">
            <w:pPr>
              <w:autoSpaceDE w:val="0"/>
              <w:autoSpaceDN w:val="0"/>
              <w:spacing w:line="24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物料密闭运输百分之百</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易产生扬尘的原料和渣土应采取密闭搬运、存储或采用防尘布苫盖等防尘措施。严禁熔融沥青、焚烧垃圾等有毒有害物质，禁止无牌无证车辆进入施工现场。</w:t>
            </w:r>
          </w:p>
          <w:p w14:paraId="244C7558">
            <w:pPr>
              <w:autoSpaceDE w:val="0"/>
              <w:autoSpaceDN w:val="0"/>
              <w:spacing w:line="24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⑤施工车辆在易起尘路段运输时</w:t>
            </w:r>
            <w:r>
              <w:rPr>
                <w:rFonts w:ascii="Times New Roman" w:hAnsi="Times New Roman" w:eastAsia="宋体" w:cs="Times New Roman"/>
                <w:color w:val="auto"/>
                <w:kern w:val="0"/>
                <w:sz w:val="24"/>
                <w:szCs w:val="24"/>
              </w:rPr>
              <w:t>限制车速</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设置限速标志</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车速越慢，扬尘量越小。避免大风天气作业进行水泥</w:t>
            </w:r>
            <w:r>
              <w:rPr>
                <w:rFonts w:hint="eastAsia" w:ascii="Times New Roman" w:hAnsi="Times New Roman" w:eastAsia="宋体" w:cs="Times New Roman"/>
                <w:color w:val="auto"/>
                <w:kern w:val="0"/>
                <w:sz w:val="24"/>
                <w:szCs w:val="24"/>
                <w:lang w:eastAsia="zh-CN"/>
              </w:rPr>
              <w:t>装卸、搅拌</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eastAsia="zh-CN"/>
              </w:rPr>
              <w:t>土方</w:t>
            </w:r>
            <w:r>
              <w:rPr>
                <w:rFonts w:ascii="Times New Roman" w:hAnsi="Times New Roman" w:eastAsia="宋体" w:cs="Times New Roman"/>
                <w:color w:val="auto"/>
                <w:kern w:val="0"/>
                <w:sz w:val="24"/>
                <w:szCs w:val="24"/>
              </w:rPr>
              <w:t>等的作业，对水泥</w:t>
            </w:r>
            <w:r>
              <w:rPr>
                <w:rFonts w:hint="eastAsia" w:ascii="Times New Roman" w:hAnsi="Times New Roman" w:eastAsia="宋体" w:cs="Times New Roman"/>
                <w:color w:val="auto"/>
                <w:kern w:val="0"/>
                <w:sz w:val="24"/>
                <w:szCs w:val="24"/>
                <w:lang w:eastAsia="zh-CN"/>
              </w:rPr>
              <w:t>等粉状物料</w:t>
            </w:r>
            <w:r>
              <w:rPr>
                <w:rFonts w:ascii="Times New Roman" w:hAnsi="Times New Roman" w:eastAsia="宋体" w:cs="Times New Roman"/>
                <w:color w:val="auto"/>
                <w:kern w:val="0"/>
                <w:sz w:val="24"/>
                <w:szCs w:val="24"/>
              </w:rPr>
              <w:t>堆放</w:t>
            </w:r>
            <w:r>
              <w:rPr>
                <w:rFonts w:hint="eastAsia" w:ascii="Times New Roman" w:hAnsi="Times New Roman" w:eastAsia="宋体" w:cs="Times New Roman"/>
                <w:color w:val="auto"/>
                <w:kern w:val="0"/>
                <w:sz w:val="24"/>
                <w:szCs w:val="24"/>
                <w:lang w:eastAsia="zh-CN"/>
              </w:rPr>
              <w:t>在材料棚内，严禁</w:t>
            </w:r>
            <w:r>
              <w:rPr>
                <w:rFonts w:ascii="Times New Roman" w:hAnsi="Times New Roman" w:eastAsia="宋体" w:cs="Times New Roman"/>
                <w:color w:val="auto"/>
                <w:kern w:val="0"/>
                <w:sz w:val="24"/>
                <w:szCs w:val="24"/>
              </w:rPr>
              <w:t>露天堆放。</w:t>
            </w:r>
          </w:p>
          <w:p w14:paraId="33B349E2">
            <w:pPr>
              <w:spacing w:line="24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eastAsia="zh-CN"/>
              </w:rPr>
              <w:t>⑥</w:t>
            </w:r>
            <w:r>
              <w:rPr>
                <w:rFonts w:ascii="Times New Roman" w:hAnsi="Times New Roman" w:eastAsia="宋体" w:cs="Times New Roman"/>
                <w:color w:val="auto"/>
                <w:kern w:val="0"/>
                <w:sz w:val="24"/>
                <w:szCs w:val="24"/>
              </w:rPr>
              <w:t>结合《安徽省大气污染防治行动计划实施方案》《大气污染防治行动计划》（国发〔2013〕37号）、《安徽省建筑工程施工和预拌混凝土生产扬尘污染防治标准（试行）》《淮南市扬尘污染防治</w:t>
            </w:r>
            <w:r>
              <w:rPr>
                <w:rFonts w:hint="eastAsia" w:ascii="Times New Roman" w:hAnsi="Times New Roman" w:eastAsia="宋体" w:cs="Times New Roman"/>
                <w:color w:val="auto"/>
                <w:kern w:val="0"/>
                <w:sz w:val="24"/>
                <w:szCs w:val="24"/>
              </w:rPr>
              <w:t>条例</w:t>
            </w:r>
            <w:r>
              <w:rPr>
                <w:rFonts w:ascii="Times New Roman" w:hAnsi="Times New Roman" w:eastAsia="宋体" w:cs="Times New Roman"/>
                <w:color w:val="auto"/>
                <w:kern w:val="0"/>
                <w:sz w:val="24"/>
                <w:szCs w:val="24"/>
              </w:rPr>
              <w:t>》中相关要求，加强现场管理，做好文明标化施工，采取配置工地滞尘防护网、设置围挡和硬化道路，选用合格的施工车辆，禁止使用淘汰、报废车辆进行施工等措施</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最大程度减少扬尘对周围大气环境的</w:t>
            </w:r>
            <w:r>
              <w:rPr>
                <w:rFonts w:hint="eastAsia" w:ascii="Times New Roman" w:hAnsi="Times New Roman" w:eastAsia="宋体" w:cs="Times New Roman"/>
                <w:color w:val="auto"/>
                <w:kern w:val="0"/>
                <w:sz w:val="24"/>
                <w:szCs w:val="24"/>
                <w:lang w:eastAsia="zh-CN"/>
              </w:rPr>
              <w:t>影响。</w:t>
            </w:r>
          </w:p>
        </w:tc>
        <w:tc>
          <w:tcPr>
            <w:tcW w:w="1289" w:type="pct"/>
            <w:vAlign w:val="center"/>
          </w:tcPr>
          <w:p w14:paraId="2BA83129">
            <w:pPr>
              <w:spacing w:line="276" w:lineRule="auto"/>
              <w:jc w:val="center"/>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本项目施工期废气颗粒物执行执行</w:t>
            </w:r>
            <w:r>
              <w:rPr>
                <w:rFonts w:hint="eastAsia" w:ascii="Times New Roman" w:hAnsi="Times New Roman" w:eastAsia="宋体" w:cs="Times New Roman"/>
                <w:color w:val="auto"/>
                <w:sz w:val="24"/>
                <w:szCs w:val="24"/>
              </w:rPr>
              <w:t>安徽省《施工场地颗粒物排放标准》（</w:t>
            </w:r>
            <w:r>
              <w:rPr>
                <w:rFonts w:ascii="Times New Roman" w:hAnsi="Times New Roman" w:eastAsia="宋体" w:cs="Times New Roman"/>
                <w:color w:val="auto"/>
                <w:sz w:val="24"/>
                <w:szCs w:val="24"/>
              </w:rPr>
              <w:t>DB34/4811-2024</w:t>
            </w:r>
            <w:r>
              <w:rPr>
                <w:rFonts w:hint="eastAsia" w:ascii="Times New Roman" w:hAnsi="Times New Roman" w:eastAsia="宋体" w:cs="Times New Roman"/>
                <w:color w:val="auto"/>
                <w:sz w:val="24"/>
                <w:szCs w:val="24"/>
              </w:rPr>
              <w:t>）</w:t>
            </w:r>
          </w:p>
        </w:tc>
        <w:tc>
          <w:tcPr>
            <w:tcW w:w="655" w:type="pct"/>
            <w:vAlign w:val="center"/>
          </w:tcPr>
          <w:p w14:paraId="1F9AB1AA">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598" w:type="pct"/>
            <w:vAlign w:val="center"/>
          </w:tcPr>
          <w:p w14:paraId="2FE2BDB3">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14:paraId="3A638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64A104B5">
            <w:pPr>
              <w:adjustRightInd w:val="0"/>
              <w:snapToGrid w:val="0"/>
              <w:spacing w:line="276"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固体废物</w:t>
            </w:r>
          </w:p>
        </w:tc>
        <w:tc>
          <w:tcPr>
            <w:tcW w:w="1761" w:type="pct"/>
            <w:vAlign w:val="center"/>
          </w:tcPr>
          <w:p w14:paraId="5E7FE0AB">
            <w:pPr>
              <w:autoSpaceDE w:val="0"/>
              <w:autoSpaceDN w:val="0"/>
              <w:spacing w:line="360" w:lineRule="auto"/>
              <w:rPr>
                <w:rFonts w:hint="eastAsia" w:ascii="Times New Roman" w:hAnsi="Times New Roman" w:eastAsia="宋体" w:cs="Times New Roman"/>
                <w:color w:val="auto"/>
                <w:kern w:val="0"/>
                <w:sz w:val="24"/>
                <w:szCs w:val="21"/>
                <w:lang w:eastAsia="zh-CN"/>
              </w:rPr>
            </w:pPr>
            <w:r>
              <w:rPr>
                <w:rFonts w:hint="eastAsia" w:ascii="Times New Roman" w:hAnsi="Times New Roman" w:eastAsia="宋体" w:cs="Times New Roman"/>
                <w:bCs/>
                <w:color w:val="auto"/>
                <w:sz w:val="24"/>
                <w:szCs w:val="24"/>
                <w:lang w:eastAsia="zh-CN"/>
              </w:rPr>
              <w:t>废泥浆暂存于废浆池中</w:t>
            </w:r>
            <w:r>
              <w:rPr>
                <w:rFonts w:hint="eastAsia" w:ascii="Times New Roman" w:hAnsi="Times New Roman" w:eastAsia="宋体" w:cs="Times New Roman"/>
                <w:bCs/>
                <w:color w:val="auto"/>
                <w:sz w:val="24"/>
                <w:szCs w:val="24"/>
                <w:lang w:val="en-US" w:eastAsia="zh-CN"/>
              </w:rPr>
              <w:t>，施工完成后加入固化剂固化后用于周</w:t>
            </w:r>
            <w:r>
              <w:rPr>
                <w:rFonts w:hint="eastAsia" w:ascii="Times New Roman" w:hAnsi="Times New Roman" w:eastAsia="宋体" w:cs="Times New Roman"/>
                <w:color w:val="auto"/>
                <w:kern w:val="0"/>
                <w:sz w:val="24"/>
                <w:szCs w:val="24"/>
                <w:highlight w:val="none"/>
                <w:lang w:val="en-US" w:eastAsia="zh-CN" w:bidi="ar-SA"/>
              </w:rPr>
              <w:t>边道路填筑或者交给第三方公司综合利用。钻井</w:t>
            </w:r>
            <w:r>
              <w:rPr>
                <w:rFonts w:hint="eastAsia" w:ascii="Times New Roman" w:hAnsi="Times New Roman" w:eastAsia="宋体" w:cs="Times New Roman"/>
                <w:color w:val="auto"/>
                <w:sz w:val="24"/>
                <w:szCs w:val="24"/>
                <w:highlight w:val="none"/>
                <w:lang w:eastAsia="zh-CN"/>
              </w:rPr>
              <w:t>岩屑</w:t>
            </w:r>
            <w:r>
              <w:rPr>
                <w:rFonts w:ascii="Times New Roman" w:hAnsi="Times New Roman" w:eastAsia="宋体" w:cs="Times New Roman"/>
                <w:bCs/>
                <w:color w:val="auto"/>
                <w:sz w:val="24"/>
                <w:szCs w:val="24"/>
              </w:rPr>
              <w:t>暂存于</w:t>
            </w:r>
            <w:r>
              <w:rPr>
                <w:rFonts w:hint="eastAsia" w:ascii="Times New Roman" w:hAnsi="Times New Roman" w:eastAsia="宋体" w:cs="Times New Roman"/>
                <w:bCs/>
                <w:color w:val="auto"/>
                <w:sz w:val="24"/>
                <w:szCs w:val="24"/>
                <w:lang w:eastAsia="zh-CN"/>
              </w:rPr>
              <w:t>场地砂池中，自然干化用于</w:t>
            </w:r>
            <w:r>
              <w:rPr>
                <w:rFonts w:hint="eastAsia" w:ascii="Times New Roman" w:hAnsi="Times New Roman" w:eastAsia="宋体" w:cs="Times New Roman"/>
                <w:color w:val="auto"/>
                <w:kern w:val="0"/>
                <w:sz w:val="24"/>
                <w:szCs w:val="24"/>
                <w:highlight w:val="none"/>
                <w:lang w:val="en-US" w:eastAsia="zh-CN" w:bidi="ar-SA"/>
              </w:rPr>
              <w:t>周边道路填筑。</w:t>
            </w:r>
            <w:r>
              <w:rPr>
                <w:rFonts w:hint="eastAsia" w:ascii="Times New Roman" w:hAnsi="Times New Roman" w:eastAsia="宋体" w:cs="Times New Roman"/>
                <w:color w:val="auto"/>
                <w:sz w:val="24"/>
                <w:szCs w:val="24"/>
              </w:rPr>
              <w:t>废包装</w:t>
            </w:r>
            <w:r>
              <w:rPr>
                <w:rFonts w:hint="eastAsia" w:ascii="Times New Roman" w:hAnsi="Times New Roman" w:eastAsia="宋体" w:cs="Times New Roman"/>
                <w:color w:val="auto"/>
                <w:sz w:val="24"/>
                <w:szCs w:val="24"/>
                <w:lang w:eastAsia="zh-CN"/>
              </w:rPr>
              <w:t>袋</w:t>
            </w:r>
            <w:r>
              <w:rPr>
                <w:rFonts w:hint="eastAsia" w:ascii="Times New Roman" w:hAnsi="宋体" w:eastAsia="宋体" w:cs="Times New Roman"/>
                <w:color w:val="auto"/>
                <w:sz w:val="24"/>
              </w:rPr>
              <w:t>拆包</w:t>
            </w:r>
            <w:r>
              <w:rPr>
                <w:rFonts w:hint="eastAsia" w:ascii="Times New Roman" w:hAnsi="宋体" w:eastAsia="宋体" w:cs="Times New Roman"/>
                <w:color w:val="auto"/>
                <w:sz w:val="24"/>
                <w:lang w:eastAsia="zh-CN"/>
              </w:rPr>
              <w:t>后即外售给综合利用人员，施工场地不存储</w:t>
            </w:r>
            <w:r>
              <w:rPr>
                <w:rFonts w:hint="eastAsia" w:ascii="Times New Roman" w:hAnsi="Times New Roman" w:eastAsia="宋体" w:cs="Times New Roman"/>
                <w:color w:val="auto"/>
                <w:kern w:val="0"/>
                <w:sz w:val="24"/>
                <w:szCs w:val="21"/>
                <w:lang w:eastAsia="zh-CN"/>
              </w:rPr>
              <w:t>。</w:t>
            </w:r>
            <w:r>
              <w:rPr>
                <w:rFonts w:ascii="Times New Roman" w:hAnsi="Times New Roman" w:eastAsia="宋体" w:cs="Times New Roman"/>
                <w:color w:val="auto"/>
                <w:kern w:val="0"/>
                <w:sz w:val="24"/>
                <w:szCs w:val="21"/>
              </w:rPr>
              <w:t>生活垃圾依托附近居民垃圾桶统一收集后，由环卫部门清运</w:t>
            </w:r>
            <w:r>
              <w:rPr>
                <w:rFonts w:hint="eastAsia" w:ascii="Times New Roman" w:hAnsi="Times New Roman" w:eastAsia="宋体" w:cs="Times New Roman"/>
                <w:color w:val="auto"/>
                <w:kern w:val="0"/>
                <w:sz w:val="24"/>
                <w:szCs w:val="21"/>
                <w:lang w:eastAsia="zh-CN"/>
              </w:rPr>
              <w:t>。</w:t>
            </w:r>
          </w:p>
          <w:p w14:paraId="12D9C72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1"/>
                <w:lang w:eastAsia="zh-CN"/>
              </w:rPr>
              <w:t>项目施工过程中应加强废弃泥浆的管理，严禁随意丢弃和排放，避免对周边环境造成污染。</w:t>
            </w:r>
          </w:p>
        </w:tc>
        <w:tc>
          <w:tcPr>
            <w:tcW w:w="1289" w:type="pct"/>
            <w:vAlign w:val="center"/>
          </w:tcPr>
          <w:p w14:paraId="0BDFB2C6">
            <w:pPr>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处置率100%，符合环境卫生及环境保护管理要求</w:t>
            </w:r>
          </w:p>
        </w:tc>
        <w:tc>
          <w:tcPr>
            <w:tcW w:w="655" w:type="pct"/>
            <w:vAlign w:val="center"/>
          </w:tcPr>
          <w:p w14:paraId="7CDA1159">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598" w:type="pct"/>
            <w:vAlign w:val="center"/>
          </w:tcPr>
          <w:p w14:paraId="50B67500">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14:paraId="749CC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226B58A9">
            <w:pPr>
              <w:adjustRightInd w:val="0"/>
              <w:snapToGrid w:val="0"/>
              <w:spacing w:line="276"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环境监测</w:t>
            </w:r>
          </w:p>
        </w:tc>
        <w:tc>
          <w:tcPr>
            <w:tcW w:w="1761" w:type="pct"/>
            <w:vAlign w:val="center"/>
          </w:tcPr>
          <w:p w14:paraId="0C8A3458">
            <w:pPr>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按监测计划进行监测</w:t>
            </w:r>
          </w:p>
        </w:tc>
        <w:tc>
          <w:tcPr>
            <w:tcW w:w="1289" w:type="pct"/>
            <w:vAlign w:val="center"/>
          </w:tcPr>
          <w:p w14:paraId="76027273">
            <w:pPr>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按监测计划进行监测</w:t>
            </w:r>
          </w:p>
        </w:tc>
        <w:tc>
          <w:tcPr>
            <w:tcW w:w="655" w:type="pct"/>
            <w:vAlign w:val="center"/>
          </w:tcPr>
          <w:p w14:paraId="2DCA347E">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598" w:type="pct"/>
            <w:vAlign w:val="center"/>
          </w:tcPr>
          <w:p w14:paraId="693E0DDF">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14:paraId="2C179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5" w:type="pct"/>
            <w:vAlign w:val="center"/>
          </w:tcPr>
          <w:p w14:paraId="61BCFB10">
            <w:pPr>
              <w:adjustRightInd w:val="0"/>
              <w:snapToGrid w:val="0"/>
              <w:spacing w:line="276" w:lineRule="auto"/>
              <w:jc w:val="center"/>
              <w:rPr>
                <w:rFonts w:ascii="Times New Roman" w:hAnsi="Times New Roman" w:eastAsia="宋体" w:cs="Times New Roman"/>
                <w:color w:val="auto"/>
                <w:sz w:val="24"/>
                <w:szCs w:val="24"/>
              </w:rPr>
            </w:pPr>
            <w:r>
              <w:rPr>
                <w:rFonts w:ascii="Times New Roman" w:hAnsi="宋体" w:eastAsia="宋体" w:cs="Times New Roman"/>
                <w:color w:val="auto"/>
                <w:sz w:val="24"/>
                <w:szCs w:val="24"/>
              </w:rPr>
              <w:t>其他</w:t>
            </w:r>
          </w:p>
        </w:tc>
        <w:tc>
          <w:tcPr>
            <w:tcW w:w="1761" w:type="pct"/>
            <w:vAlign w:val="center"/>
          </w:tcPr>
          <w:p w14:paraId="7DF3BBFF">
            <w:pPr>
              <w:autoSpaceDE w:val="0"/>
              <w:autoSpaceDN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设立环境保护管理机构；健全环境管理制度</w:t>
            </w:r>
          </w:p>
        </w:tc>
        <w:tc>
          <w:tcPr>
            <w:tcW w:w="1289" w:type="pct"/>
            <w:vAlign w:val="center"/>
          </w:tcPr>
          <w:p w14:paraId="64C86896">
            <w:pPr>
              <w:autoSpaceDE w:val="0"/>
              <w:autoSpaceDN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设立环境保护管理机构；健全环境管理制度</w:t>
            </w:r>
          </w:p>
        </w:tc>
        <w:tc>
          <w:tcPr>
            <w:tcW w:w="655" w:type="pct"/>
            <w:vAlign w:val="center"/>
          </w:tcPr>
          <w:p w14:paraId="36D394C9">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598" w:type="pct"/>
            <w:vAlign w:val="center"/>
          </w:tcPr>
          <w:p w14:paraId="612480F8">
            <w:pPr>
              <w:adjustRightInd w:val="0"/>
              <w:snapToGrid w:val="0"/>
              <w:spacing w:line="276"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bl>
    <w:p w14:paraId="5651D8C3">
      <w:pPr>
        <w:pStyle w:val="22"/>
        <w:jc w:val="center"/>
        <w:outlineLvl w:val="0"/>
        <w:rPr>
          <w:rFonts w:ascii="黑体" w:hAnsi="黑体" w:eastAsia="黑体"/>
          <w:snapToGrid w:val="0"/>
          <w:color w:val="auto"/>
          <w:sz w:val="30"/>
          <w:szCs w:val="30"/>
        </w:rPr>
      </w:pPr>
    </w:p>
    <w:p w14:paraId="68AA03AF">
      <w:pPr>
        <w:pStyle w:val="22"/>
        <w:jc w:val="center"/>
        <w:outlineLvl w:val="0"/>
        <w:rPr>
          <w:rFonts w:ascii="黑体" w:hAnsi="黑体" w:eastAsia="黑体"/>
          <w:snapToGrid w:val="0"/>
          <w:color w:val="auto"/>
          <w:sz w:val="30"/>
          <w:szCs w:val="30"/>
        </w:rPr>
      </w:pPr>
    </w:p>
    <w:p w14:paraId="71451C47">
      <w:pPr>
        <w:pStyle w:val="22"/>
        <w:jc w:val="center"/>
        <w:outlineLvl w:val="0"/>
        <w:rPr>
          <w:rFonts w:ascii="黑体" w:hAnsi="黑体" w:eastAsia="黑体"/>
          <w:snapToGrid w:val="0"/>
          <w:color w:val="auto"/>
          <w:sz w:val="30"/>
          <w:szCs w:val="30"/>
        </w:rPr>
      </w:pPr>
    </w:p>
    <w:p w14:paraId="3342F299">
      <w:pPr>
        <w:pStyle w:val="22"/>
        <w:jc w:val="center"/>
        <w:outlineLvl w:val="0"/>
        <w:rPr>
          <w:rFonts w:ascii="黑体" w:hAnsi="黑体" w:eastAsia="黑体"/>
          <w:snapToGrid w:val="0"/>
          <w:color w:val="auto"/>
          <w:sz w:val="30"/>
          <w:szCs w:val="30"/>
        </w:rPr>
      </w:pPr>
    </w:p>
    <w:p w14:paraId="2F39046A">
      <w:pPr>
        <w:pStyle w:val="2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七、结论</w:t>
      </w:r>
    </w:p>
    <w:tbl>
      <w:tblPr>
        <w:tblStyle w:val="26"/>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4F5C0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89" w:type="dxa"/>
          </w:tcPr>
          <w:p w14:paraId="7A90AA11">
            <w:pPr>
              <w:spacing w:line="360" w:lineRule="auto"/>
              <w:ind w:firstLine="480" w:firstLineChars="200"/>
              <w:rPr>
                <w:rFonts w:ascii="Times New Roman" w:cs="Times New Roman"/>
                <w:bCs/>
                <w:color w:val="auto"/>
                <w:sz w:val="24"/>
              </w:rPr>
            </w:pPr>
            <w:r>
              <w:rPr>
                <w:rFonts w:ascii="Times New Roman" w:cs="Times New Roman"/>
                <w:bCs/>
                <w:color w:val="auto"/>
                <w:sz w:val="24"/>
              </w:rPr>
              <w:t>综上所述，</w:t>
            </w:r>
            <w:r>
              <w:rPr>
                <w:rFonts w:hint="eastAsia" w:ascii="Times New Roman" w:hAnsi="宋体" w:eastAsia="宋体" w:cs="Times New Roman"/>
                <w:color w:val="auto"/>
                <w:kern w:val="0"/>
                <w:sz w:val="24"/>
                <w:szCs w:val="24"/>
                <w:lang w:eastAsia="zh-CN"/>
              </w:rPr>
              <w:t>淮南矿业（集团）有限责任公司朱集东煤矿</w:t>
            </w:r>
            <w:r>
              <w:rPr>
                <w:rFonts w:hint="eastAsia" w:ascii="宋体" w:hAnsi="宋体" w:cs="宋体"/>
                <w:color w:val="auto"/>
                <w:kern w:val="0"/>
                <w:sz w:val="24"/>
                <w:szCs w:val="24"/>
                <w:lang w:val="en-US" w:eastAsia="zh-CN" w:bidi="ar"/>
              </w:rPr>
              <w:t>投</w:t>
            </w:r>
            <w:r>
              <w:rPr>
                <w:rFonts w:hint="eastAsia" w:ascii="宋体" w:hAnsi="宋体" w:cs="宋体"/>
                <w:color w:val="auto"/>
                <w:kern w:val="0"/>
                <w:sz w:val="24"/>
                <w:szCs w:val="24"/>
                <w:lang w:bidi="ar"/>
              </w:rPr>
              <w:t>资建设的</w:t>
            </w:r>
            <w:r>
              <w:rPr>
                <w:rFonts w:hint="eastAsia" w:ascii="Times New Roman" w:hAnsi="宋体" w:eastAsia="宋体" w:cs="Times New Roman"/>
                <w:color w:val="auto"/>
                <w:sz w:val="24"/>
                <w:szCs w:val="24"/>
                <w:lang w:eastAsia="zh-CN"/>
              </w:rPr>
              <w:t>朱集东煤矿1262（1）工作面地面钻井工程</w:t>
            </w:r>
            <w:r>
              <w:rPr>
                <w:rFonts w:ascii="Times New Roman" w:cs="Times New Roman"/>
                <w:bCs/>
                <w:color w:val="auto"/>
                <w:sz w:val="24"/>
              </w:rPr>
              <w:t>建设符合相关产业政策的要求，选址符合相关规划要求，选址合理</w:t>
            </w:r>
            <w:r>
              <w:rPr>
                <w:rFonts w:hint="eastAsia" w:ascii="Times New Roman" w:cs="Times New Roman"/>
                <w:bCs/>
                <w:color w:val="auto"/>
                <w:sz w:val="24"/>
                <w:lang w:eastAsia="zh-CN"/>
              </w:rPr>
              <w:t>。</w:t>
            </w:r>
            <w:r>
              <w:rPr>
                <w:rFonts w:hint="eastAsia" w:ascii="宋体" w:hAnsi="宋体" w:cs="宋体"/>
                <w:color w:val="auto"/>
                <w:kern w:val="0"/>
                <w:sz w:val="24"/>
                <w:szCs w:val="24"/>
                <w:lang w:bidi="ar"/>
              </w:rPr>
              <w:t>施工期提出的</w:t>
            </w:r>
            <w:r>
              <w:rPr>
                <w:rFonts w:hint="eastAsia" w:ascii="宋体" w:hAnsi="宋体" w:cs="宋体"/>
                <w:color w:val="auto"/>
                <w:kern w:val="0"/>
                <w:sz w:val="24"/>
                <w:szCs w:val="24"/>
                <w:lang w:eastAsia="zh-CN" w:bidi="ar"/>
              </w:rPr>
              <w:t>生态保护、</w:t>
            </w:r>
            <w:r>
              <w:rPr>
                <w:rFonts w:hint="eastAsia" w:ascii="宋体" w:hAnsi="宋体" w:cs="宋体"/>
                <w:color w:val="auto"/>
                <w:kern w:val="0"/>
                <w:sz w:val="24"/>
                <w:szCs w:val="24"/>
                <w:lang w:bidi="ar"/>
              </w:rPr>
              <w:t>废水、废气、噪声和固体废物治理措施是可行的，只要在项目建设中认真落实设计和评价中提出的污染防治措施，就可使该项目的不利影响控制在环境允许的范围内，项目的建设是必要的。从环境影响的角度而言，本项目环境影响是可以接受的。</w:t>
            </w:r>
          </w:p>
          <w:p w14:paraId="1C15B425">
            <w:pPr>
              <w:spacing w:line="360" w:lineRule="auto"/>
              <w:ind w:firstLine="480" w:firstLineChars="200"/>
              <w:rPr>
                <w:rFonts w:ascii="Times New Roman" w:cs="Times New Roman"/>
                <w:bCs/>
                <w:color w:val="auto"/>
                <w:sz w:val="24"/>
              </w:rPr>
            </w:pPr>
          </w:p>
          <w:p w14:paraId="2E3F4CC8">
            <w:pPr>
              <w:spacing w:line="360" w:lineRule="auto"/>
              <w:ind w:firstLine="480" w:firstLineChars="200"/>
              <w:rPr>
                <w:bCs/>
                <w:color w:val="auto"/>
                <w:sz w:val="24"/>
              </w:rPr>
            </w:pPr>
          </w:p>
        </w:tc>
      </w:tr>
    </w:tbl>
    <w:p w14:paraId="77C6EDE5">
      <w:pPr>
        <w:rPr>
          <w:color w:val="auto"/>
        </w:rPr>
      </w:pPr>
    </w:p>
    <w:sectPr>
      <w:headerReference r:id="rId6" w:type="default"/>
      <w:footerReference r:id="rId8" w:type="default"/>
      <w:headerReference r:id="rId7" w:type="even"/>
      <w:pgSz w:w="11906" w:h="16838"/>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F7A1B">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51C88">
    <w:pPr>
      <w:pStyle w:val="17"/>
      <w:framePr w:wrap="around" w:vAnchor="text" w:hAnchor="margin" w:xAlign="outside" w:y="1"/>
      <w:rPr>
        <w:rStyle w:val="30"/>
      </w:rPr>
    </w:pPr>
    <w:r>
      <w:fldChar w:fldCharType="begin"/>
    </w:r>
    <w:r>
      <w:rPr>
        <w:rStyle w:val="30"/>
      </w:rPr>
      <w:instrText xml:space="preserve">PAGE  </w:instrText>
    </w:r>
    <w:r>
      <w:fldChar w:fldCharType="end"/>
    </w:r>
  </w:p>
  <w:p w14:paraId="735EB641">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0"/>
        <w:szCs w:val="20"/>
      </w:rPr>
      <w:id w:val="260658563"/>
    </w:sdtPr>
    <w:sdtEndPr>
      <w:rPr>
        <w:rFonts w:ascii="Times New Roman" w:hAnsi="Times New Roman" w:cs="Times New Roman"/>
        <w:sz w:val="20"/>
        <w:szCs w:val="20"/>
      </w:rPr>
    </w:sdtEndPr>
    <w:sdtContent>
      <w:p w14:paraId="151B6819">
        <w:pPr>
          <w:pStyle w:val="17"/>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35</w:t>
        </w:r>
        <w:r>
          <w:rPr>
            <w:rFonts w:ascii="Times New Roman" w:hAnsi="Times New Roman" w:cs="Times New Roman"/>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D1249">
    <w:pPr>
      <w:pStyle w:val="17"/>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117</w:t>
    </w:r>
    <w:r>
      <w:rPr>
        <w:rFonts w:ascii="Times New Roman" w:hAnsi="Times New Roman" w:cs="Times New Roman"/>
        <w:sz w:val="20"/>
        <w:szCs w:val="20"/>
      </w:rPr>
      <w:fldChar w:fldCharType="end"/>
    </w:r>
  </w:p>
  <w:p w14:paraId="0567FE2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04D03">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3ACD">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1647A1"/>
    <w:multiLevelType w:val="singleLevel"/>
    <w:tmpl w:val="CF1647A1"/>
    <w:lvl w:ilvl="0" w:tentative="0">
      <w:start w:val="2"/>
      <w:numFmt w:val="decimal"/>
      <w:suff w:val="nothing"/>
      <w:lvlText w:val="%1、"/>
      <w:lvlJc w:val="left"/>
    </w:lvl>
  </w:abstractNum>
  <w:abstractNum w:abstractNumId="1">
    <w:nsid w:val="F1E986E3"/>
    <w:multiLevelType w:val="multilevel"/>
    <w:tmpl w:val="F1E986E3"/>
    <w:lvl w:ilvl="0" w:tentative="0">
      <w:start w:val="1"/>
      <w:numFmt w:val="decimal"/>
      <w:lvlText w:val="表%1"/>
      <w:lvlJc w:val="center"/>
      <w:pPr>
        <w:ind w:left="3902" w:hanging="132"/>
      </w:pPr>
      <w:rPr>
        <w:rFonts w:hint="default" w:ascii="Times New Roman" w:hAnsi="Times New Roman" w:cs="Times New Roman"/>
        <w:b/>
        <w:sz w:val="24"/>
        <w:szCs w:val="24"/>
      </w:rPr>
    </w:lvl>
    <w:lvl w:ilvl="1" w:tentative="0">
      <w:start w:val="1"/>
      <w:numFmt w:val="decimal"/>
      <w:lvlText w:val="表%2"/>
      <w:lvlJc w:val="left"/>
      <w:pPr>
        <w:tabs>
          <w:tab w:val="left" w:pos="1440"/>
        </w:tabs>
        <w:ind w:left="3300" w:hanging="360"/>
      </w:pPr>
      <w:rPr>
        <w:rFonts w:hint="default" w:ascii="Times New Roman" w:hAnsi="Times New Roman" w:eastAsia="宋体" w:cs="Times New Roman"/>
        <w:b/>
        <w:bCs/>
        <w:sz w:val="24"/>
        <w:szCs w:val="24"/>
      </w:rPr>
    </w:lvl>
    <w:lvl w:ilvl="2" w:tentative="0">
      <w:start w:val="1"/>
      <w:numFmt w:val="decimal"/>
      <w:lvlText w:val="%3."/>
      <w:lvlJc w:val="left"/>
      <w:pPr>
        <w:tabs>
          <w:tab w:val="left" w:pos="2160"/>
        </w:tabs>
        <w:ind w:left="3131" w:hanging="360"/>
      </w:pPr>
    </w:lvl>
    <w:lvl w:ilvl="3" w:tentative="0">
      <w:start w:val="1"/>
      <w:numFmt w:val="decimal"/>
      <w:lvlText w:val="%4."/>
      <w:lvlJc w:val="left"/>
      <w:pPr>
        <w:tabs>
          <w:tab w:val="left" w:pos="2880"/>
        </w:tabs>
        <w:ind w:left="3851" w:hanging="360"/>
      </w:pPr>
    </w:lvl>
    <w:lvl w:ilvl="4" w:tentative="0">
      <w:start w:val="1"/>
      <w:numFmt w:val="decimal"/>
      <w:lvlText w:val="%5."/>
      <w:lvlJc w:val="left"/>
      <w:pPr>
        <w:tabs>
          <w:tab w:val="left" w:pos="3600"/>
        </w:tabs>
        <w:ind w:left="4571" w:hanging="360"/>
      </w:pPr>
    </w:lvl>
    <w:lvl w:ilvl="5" w:tentative="0">
      <w:start w:val="1"/>
      <w:numFmt w:val="decimal"/>
      <w:lvlText w:val="%6."/>
      <w:lvlJc w:val="left"/>
      <w:pPr>
        <w:tabs>
          <w:tab w:val="left" w:pos="4320"/>
        </w:tabs>
        <w:ind w:left="5291" w:hanging="360"/>
      </w:pPr>
    </w:lvl>
    <w:lvl w:ilvl="6" w:tentative="0">
      <w:start w:val="1"/>
      <w:numFmt w:val="decimal"/>
      <w:lvlText w:val="%7."/>
      <w:lvlJc w:val="left"/>
      <w:pPr>
        <w:tabs>
          <w:tab w:val="left" w:pos="5040"/>
        </w:tabs>
        <w:ind w:left="6011" w:hanging="360"/>
      </w:pPr>
    </w:lvl>
    <w:lvl w:ilvl="7" w:tentative="0">
      <w:start w:val="1"/>
      <w:numFmt w:val="decimal"/>
      <w:lvlText w:val="%8."/>
      <w:lvlJc w:val="left"/>
      <w:pPr>
        <w:tabs>
          <w:tab w:val="left" w:pos="5760"/>
        </w:tabs>
        <w:ind w:left="6731" w:hanging="360"/>
      </w:pPr>
    </w:lvl>
    <w:lvl w:ilvl="8" w:tentative="0">
      <w:start w:val="1"/>
      <w:numFmt w:val="decimal"/>
      <w:lvlText w:val="%9."/>
      <w:lvlJc w:val="left"/>
      <w:pPr>
        <w:tabs>
          <w:tab w:val="left" w:pos="6480"/>
        </w:tabs>
        <w:ind w:left="7451" w:hanging="360"/>
      </w:pPr>
    </w:lvl>
  </w:abstractNum>
  <w:abstractNum w:abstractNumId="2">
    <w:nsid w:val="3376A5AA"/>
    <w:multiLevelType w:val="multilevel"/>
    <w:tmpl w:val="3376A5AA"/>
    <w:lvl w:ilvl="0" w:tentative="0">
      <w:start w:val="1"/>
      <w:numFmt w:val="decimal"/>
      <w:suff w:val="nothing"/>
      <w:lvlText w:val="图%1"/>
      <w:lvlJc w:val="left"/>
      <w:pPr>
        <w:tabs>
          <w:tab w:val="left" w:pos="0"/>
        </w:tabs>
        <w:ind w:left="0" w:firstLine="560"/>
      </w:pPr>
      <w:rPr>
        <w:rFonts w:hint="default" w:ascii="Times New Roman" w:hAnsi="Times New Roman" w:eastAsia="宋体"/>
        <w:sz w:val="24"/>
        <w:szCs w:val="24"/>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64"/>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4FFFDB20"/>
    <w:multiLevelType w:val="singleLevel"/>
    <w:tmpl w:val="4FFFDB20"/>
    <w:lvl w:ilvl="0" w:tentative="0">
      <w:start w:val="4"/>
      <w:numFmt w:val="decimal"/>
      <w:suff w:val="nothing"/>
      <w:lvlText w:val="%1）"/>
      <w:lvlJc w:val="left"/>
      <w:pPr>
        <w:ind w:left="-60"/>
      </w:pPr>
    </w:lvl>
  </w:abstractNum>
  <w:abstractNum w:abstractNumId="5">
    <w:nsid w:val="73322DCB"/>
    <w:multiLevelType w:val="singleLevel"/>
    <w:tmpl w:val="73322DCB"/>
    <w:lvl w:ilvl="0" w:tentative="0">
      <w:start w:val="3"/>
      <w:numFmt w:val="decimal"/>
      <w:suff w:val="nothing"/>
      <w:lvlText w:val="%1、"/>
      <w:lvlJc w:val="left"/>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E2MGRhOTAyMDA5MmJjYzMyNTY1ZThlZjM3YTI3ZjUifQ=="/>
  </w:docVars>
  <w:rsids>
    <w:rsidRoot w:val="00C04947"/>
    <w:rsid w:val="00000BA1"/>
    <w:rsid w:val="0000107C"/>
    <w:rsid w:val="000045F7"/>
    <w:rsid w:val="00005447"/>
    <w:rsid w:val="00011D5F"/>
    <w:rsid w:val="00012265"/>
    <w:rsid w:val="00015FB8"/>
    <w:rsid w:val="000202C1"/>
    <w:rsid w:val="0002128E"/>
    <w:rsid w:val="0002210E"/>
    <w:rsid w:val="00024A08"/>
    <w:rsid w:val="000264A0"/>
    <w:rsid w:val="00027412"/>
    <w:rsid w:val="0003519F"/>
    <w:rsid w:val="00041A1F"/>
    <w:rsid w:val="00042BA3"/>
    <w:rsid w:val="00045ECA"/>
    <w:rsid w:val="00050520"/>
    <w:rsid w:val="00050F2D"/>
    <w:rsid w:val="000514F9"/>
    <w:rsid w:val="0005461D"/>
    <w:rsid w:val="00054F64"/>
    <w:rsid w:val="00055FD7"/>
    <w:rsid w:val="00056039"/>
    <w:rsid w:val="00056B21"/>
    <w:rsid w:val="0006106C"/>
    <w:rsid w:val="00070437"/>
    <w:rsid w:val="00072B47"/>
    <w:rsid w:val="0007510D"/>
    <w:rsid w:val="00075D57"/>
    <w:rsid w:val="00081B6E"/>
    <w:rsid w:val="000824DB"/>
    <w:rsid w:val="0008413C"/>
    <w:rsid w:val="000903C5"/>
    <w:rsid w:val="00094BCA"/>
    <w:rsid w:val="00097B8A"/>
    <w:rsid w:val="00097BF8"/>
    <w:rsid w:val="000A002F"/>
    <w:rsid w:val="000A2023"/>
    <w:rsid w:val="000B5461"/>
    <w:rsid w:val="000C2D80"/>
    <w:rsid w:val="000C5164"/>
    <w:rsid w:val="000D004A"/>
    <w:rsid w:val="000D098D"/>
    <w:rsid w:val="000D0D9B"/>
    <w:rsid w:val="000D1331"/>
    <w:rsid w:val="000D40C9"/>
    <w:rsid w:val="000D5B96"/>
    <w:rsid w:val="000D691B"/>
    <w:rsid w:val="000E05D0"/>
    <w:rsid w:val="000E0996"/>
    <w:rsid w:val="000E244A"/>
    <w:rsid w:val="000F26C1"/>
    <w:rsid w:val="00100157"/>
    <w:rsid w:val="00103DF3"/>
    <w:rsid w:val="00104371"/>
    <w:rsid w:val="00105C5E"/>
    <w:rsid w:val="001079CF"/>
    <w:rsid w:val="001107C1"/>
    <w:rsid w:val="001166EE"/>
    <w:rsid w:val="00117A51"/>
    <w:rsid w:val="00121791"/>
    <w:rsid w:val="00126622"/>
    <w:rsid w:val="001308E4"/>
    <w:rsid w:val="00130919"/>
    <w:rsid w:val="00131DA8"/>
    <w:rsid w:val="0013584D"/>
    <w:rsid w:val="001366FD"/>
    <w:rsid w:val="001428E0"/>
    <w:rsid w:val="0014372E"/>
    <w:rsid w:val="00143B86"/>
    <w:rsid w:val="001448C1"/>
    <w:rsid w:val="00152E76"/>
    <w:rsid w:val="0015395E"/>
    <w:rsid w:val="00153BE1"/>
    <w:rsid w:val="001578A3"/>
    <w:rsid w:val="001603B8"/>
    <w:rsid w:val="001631B2"/>
    <w:rsid w:val="001631B4"/>
    <w:rsid w:val="00163504"/>
    <w:rsid w:val="00163E45"/>
    <w:rsid w:val="00164EDB"/>
    <w:rsid w:val="00165A49"/>
    <w:rsid w:val="00167B9A"/>
    <w:rsid w:val="00170132"/>
    <w:rsid w:val="00170168"/>
    <w:rsid w:val="00170A97"/>
    <w:rsid w:val="001725F6"/>
    <w:rsid w:val="00175156"/>
    <w:rsid w:val="001766AB"/>
    <w:rsid w:val="00176A75"/>
    <w:rsid w:val="0018172D"/>
    <w:rsid w:val="00187F7D"/>
    <w:rsid w:val="00192EA6"/>
    <w:rsid w:val="00193A75"/>
    <w:rsid w:val="00195DBE"/>
    <w:rsid w:val="0019610F"/>
    <w:rsid w:val="001962B9"/>
    <w:rsid w:val="00196985"/>
    <w:rsid w:val="00197217"/>
    <w:rsid w:val="00197910"/>
    <w:rsid w:val="001A0C03"/>
    <w:rsid w:val="001A2305"/>
    <w:rsid w:val="001A6001"/>
    <w:rsid w:val="001B095A"/>
    <w:rsid w:val="001B2EF1"/>
    <w:rsid w:val="001B34E8"/>
    <w:rsid w:val="001B4D2E"/>
    <w:rsid w:val="001C03F3"/>
    <w:rsid w:val="001C1C2C"/>
    <w:rsid w:val="001C380E"/>
    <w:rsid w:val="001C6C3E"/>
    <w:rsid w:val="001D00E0"/>
    <w:rsid w:val="001D5393"/>
    <w:rsid w:val="001D63D6"/>
    <w:rsid w:val="001D6A3D"/>
    <w:rsid w:val="001D6EF8"/>
    <w:rsid w:val="001E1EDD"/>
    <w:rsid w:val="001E5B0A"/>
    <w:rsid w:val="001E724E"/>
    <w:rsid w:val="001F22E9"/>
    <w:rsid w:val="001F3634"/>
    <w:rsid w:val="001F47F7"/>
    <w:rsid w:val="002002ED"/>
    <w:rsid w:val="002071A4"/>
    <w:rsid w:val="00210D04"/>
    <w:rsid w:val="00211620"/>
    <w:rsid w:val="0021240B"/>
    <w:rsid w:val="00216149"/>
    <w:rsid w:val="00217943"/>
    <w:rsid w:val="0022040F"/>
    <w:rsid w:val="002212ED"/>
    <w:rsid w:val="00221D3D"/>
    <w:rsid w:val="00222A06"/>
    <w:rsid w:val="00223E5F"/>
    <w:rsid w:val="002240CB"/>
    <w:rsid w:val="0022497E"/>
    <w:rsid w:val="00225759"/>
    <w:rsid w:val="00225B2B"/>
    <w:rsid w:val="002305F6"/>
    <w:rsid w:val="00230D2B"/>
    <w:rsid w:val="002346BD"/>
    <w:rsid w:val="00234A79"/>
    <w:rsid w:val="002354CC"/>
    <w:rsid w:val="00237E7E"/>
    <w:rsid w:val="00242FB3"/>
    <w:rsid w:val="002453AE"/>
    <w:rsid w:val="002465DC"/>
    <w:rsid w:val="002513D3"/>
    <w:rsid w:val="0025545E"/>
    <w:rsid w:val="002572F9"/>
    <w:rsid w:val="002641B2"/>
    <w:rsid w:val="002659BE"/>
    <w:rsid w:val="00266000"/>
    <w:rsid w:val="00266178"/>
    <w:rsid w:val="002727CA"/>
    <w:rsid w:val="00272D5E"/>
    <w:rsid w:val="00283267"/>
    <w:rsid w:val="0028331A"/>
    <w:rsid w:val="00290F81"/>
    <w:rsid w:val="0029219C"/>
    <w:rsid w:val="00293086"/>
    <w:rsid w:val="00295DAA"/>
    <w:rsid w:val="002A5DF8"/>
    <w:rsid w:val="002B1285"/>
    <w:rsid w:val="002B1D3E"/>
    <w:rsid w:val="002B1E81"/>
    <w:rsid w:val="002B50B8"/>
    <w:rsid w:val="002B52AC"/>
    <w:rsid w:val="002B6D10"/>
    <w:rsid w:val="002C4465"/>
    <w:rsid w:val="002C5B52"/>
    <w:rsid w:val="002C5F79"/>
    <w:rsid w:val="002C71A7"/>
    <w:rsid w:val="002D1612"/>
    <w:rsid w:val="002D29A3"/>
    <w:rsid w:val="002D2B41"/>
    <w:rsid w:val="002D4168"/>
    <w:rsid w:val="002D5506"/>
    <w:rsid w:val="002E02DE"/>
    <w:rsid w:val="002E1AB8"/>
    <w:rsid w:val="002E1F55"/>
    <w:rsid w:val="002E3D95"/>
    <w:rsid w:val="002E6CEB"/>
    <w:rsid w:val="002F2B1B"/>
    <w:rsid w:val="002F4379"/>
    <w:rsid w:val="002F53B5"/>
    <w:rsid w:val="002F55FC"/>
    <w:rsid w:val="002F6C98"/>
    <w:rsid w:val="00301601"/>
    <w:rsid w:val="003032AB"/>
    <w:rsid w:val="00307BD8"/>
    <w:rsid w:val="003100E5"/>
    <w:rsid w:val="00310766"/>
    <w:rsid w:val="00312929"/>
    <w:rsid w:val="00313131"/>
    <w:rsid w:val="00313849"/>
    <w:rsid w:val="0031614D"/>
    <w:rsid w:val="00321776"/>
    <w:rsid w:val="00326DFF"/>
    <w:rsid w:val="00330D3D"/>
    <w:rsid w:val="00331882"/>
    <w:rsid w:val="00331BD3"/>
    <w:rsid w:val="003330E8"/>
    <w:rsid w:val="00336527"/>
    <w:rsid w:val="00336D2B"/>
    <w:rsid w:val="003406A9"/>
    <w:rsid w:val="00340C62"/>
    <w:rsid w:val="00345043"/>
    <w:rsid w:val="00351804"/>
    <w:rsid w:val="00355979"/>
    <w:rsid w:val="00355BDC"/>
    <w:rsid w:val="0036026F"/>
    <w:rsid w:val="00363FD5"/>
    <w:rsid w:val="00375769"/>
    <w:rsid w:val="00377196"/>
    <w:rsid w:val="003869C2"/>
    <w:rsid w:val="003873F7"/>
    <w:rsid w:val="003919E5"/>
    <w:rsid w:val="003943DF"/>
    <w:rsid w:val="003947C0"/>
    <w:rsid w:val="0039592D"/>
    <w:rsid w:val="003A234D"/>
    <w:rsid w:val="003A535D"/>
    <w:rsid w:val="003A5706"/>
    <w:rsid w:val="003A5EA5"/>
    <w:rsid w:val="003B0042"/>
    <w:rsid w:val="003B038E"/>
    <w:rsid w:val="003B226B"/>
    <w:rsid w:val="003B3693"/>
    <w:rsid w:val="003B7834"/>
    <w:rsid w:val="003C0BFD"/>
    <w:rsid w:val="003C5C4C"/>
    <w:rsid w:val="003D008E"/>
    <w:rsid w:val="003D3DB5"/>
    <w:rsid w:val="003D573D"/>
    <w:rsid w:val="003D58D7"/>
    <w:rsid w:val="003D7534"/>
    <w:rsid w:val="003E1A3A"/>
    <w:rsid w:val="003E2742"/>
    <w:rsid w:val="003E5295"/>
    <w:rsid w:val="003E5756"/>
    <w:rsid w:val="003F011C"/>
    <w:rsid w:val="003F06C4"/>
    <w:rsid w:val="003F13F0"/>
    <w:rsid w:val="003F3B8C"/>
    <w:rsid w:val="003F4206"/>
    <w:rsid w:val="003F4693"/>
    <w:rsid w:val="003F4973"/>
    <w:rsid w:val="003F6063"/>
    <w:rsid w:val="003F7798"/>
    <w:rsid w:val="00400959"/>
    <w:rsid w:val="00401A91"/>
    <w:rsid w:val="00403871"/>
    <w:rsid w:val="0041161E"/>
    <w:rsid w:val="00411A4B"/>
    <w:rsid w:val="00414CAA"/>
    <w:rsid w:val="004156B3"/>
    <w:rsid w:val="00415F8D"/>
    <w:rsid w:val="0042566C"/>
    <w:rsid w:val="0043178B"/>
    <w:rsid w:val="0043261C"/>
    <w:rsid w:val="00432CAA"/>
    <w:rsid w:val="00432ECE"/>
    <w:rsid w:val="00434B23"/>
    <w:rsid w:val="004364BC"/>
    <w:rsid w:val="00440D74"/>
    <w:rsid w:val="0044181A"/>
    <w:rsid w:val="00443860"/>
    <w:rsid w:val="0044513C"/>
    <w:rsid w:val="004465FA"/>
    <w:rsid w:val="00450A76"/>
    <w:rsid w:val="00450C5E"/>
    <w:rsid w:val="004516D5"/>
    <w:rsid w:val="00457AD5"/>
    <w:rsid w:val="00460627"/>
    <w:rsid w:val="0046154C"/>
    <w:rsid w:val="00461A2C"/>
    <w:rsid w:val="00466E6B"/>
    <w:rsid w:val="00467A37"/>
    <w:rsid w:val="004752CB"/>
    <w:rsid w:val="004806CA"/>
    <w:rsid w:val="00481283"/>
    <w:rsid w:val="00485924"/>
    <w:rsid w:val="00485DC3"/>
    <w:rsid w:val="00486A67"/>
    <w:rsid w:val="00490EB0"/>
    <w:rsid w:val="00492B80"/>
    <w:rsid w:val="00494070"/>
    <w:rsid w:val="00494B22"/>
    <w:rsid w:val="00494C21"/>
    <w:rsid w:val="004952AF"/>
    <w:rsid w:val="004A605A"/>
    <w:rsid w:val="004A6EB5"/>
    <w:rsid w:val="004A7378"/>
    <w:rsid w:val="004A780F"/>
    <w:rsid w:val="004B085D"/>
    <w:rsid w:val="004B45C8"/>
    <w:rsid w:val="004C1919"/>
    <w:rsid w:val="004C1C87"/>
    <w:rsid w:val="004C2D6F"/>
    <w:rsid w:val="004D01DD"/>
    <w:rsid w:val="004D07BC"/>
    <w:rsid w:val="004D08FA"/>
    <w:rsid w:val="004D2956"/>
    <w:rsid w:val="004D2EAF"/>
    <w:rsid w:val="004D3C62"/>
    <w:rsid w:val="004D4FA1"/>
    <w:rsid w:val="004E4A02"/>
    <w:rsid w:val="004E7850"/>
    <w:rsid w:val="004F20C0"/>
    <w:rsid w:val="004F6910"/>
    <w:rsid w:val="00503903"/>
    <w:rsid w:val="00504DCE"/>
    <w:rsid w:val="005057BF"/>
    <w:rsid w:val="00505A6F"/>
    <w:rsid w:val="00510E5F"/>
    <w:rsid w:val="00511A0A"/>
    <w:rsid w:val="0051277E"/>
    <w:rsid w:val="0051371E"/>
    <w:rsid w:val="00520266"/>
    <w:rsid w:val="005204A8"/>
    <w:rsid w:val="00520990"/>
    <w:rsid w:val="00520C99"/>
    <w:rsid w:val="005220CB"/>
    <w:rsid w:val="00524697"/>
    <w:rsid w:val="00524E6E"/>
    <w:rsid w:val="00525E30"/>
    <w:rsid w:val="00526D39"/>
    <w:rsid w:val="00532C0D"/>
    <w:rsid w:val="00532FB4"/>
    <w:rsid w:val="005338AA"/>
    <w:rsid w:val="00537283"/>
    <w:rsid w:val="005476D2"/>
    <w:rsid w:val="00551A36"/>
    <w:rsid w:val="00563FF3"/>
    <w:rsid w:val="0056555E"/>
    <w:rsid w:val="00565A23"/>
    <w:rsid w:val="00570E4F"/>
    <w:rsid w:val="00574928"/>
    <w:rsid w:val="0057529E"/>
    <w:rsid w:val="0058048E"/>
    <w:rsid w:val="0058244A"/>
    <w:rsid w:val="0058453B"/>
    <w:rsid w:val="00586114"/>
    <w:rsid w:val="005876DF"/>
    <w:rsid w:val="00597EEB"/>
    <w:rsid w:val="005A001F"/>
    <w:rsid w:val="005A1FD1"/>
    <w:rsid w:val="005A3379"/>
    <w:rsid w:val="005B233B"/>
    <w:rsid w:val="005B423E"/>
    <w:rsid w:val="005B4BE4"/>
    <w:rsid w:val="005B55AE"/>
    <w:rsid w:val="005C1221"/>
    <w:rsid w:val="005C417D"/>
    <w:rsid w:val="005C465C"/>
    <w:rsid w:val="005C67FA"/>
    <w:rsid w:val="005D207E"/>
    <w:rsid w:val="005D2DE2"/>
    <w:rsid w:val="005D6DE1"/>
    <w:rsid w:val="005E26CA"/>
    <w:rsid w:val="005E5B83"/>
    <w:rsid w:val="005F0918"/>
    <w:rsid w:val="005F4E25"/>
    <w:rsid w:val="005F5598"/>
    <w:rsid w:val="005F5839"/>
    <w:rsid w:val="005F67E4"/>
    <w:rsid w:val="00602974"/>
    <w:rsid w:val="00603E4B"/>
    <w:rsid w:val="00607E70"/>
    <w:rsid w:val="006109BE"/>
    <w:rsid w:val="00610C61"/>
    <w:rsid w:val="00611329"/>
    <w:rsid w:val="00611550"/>
    <w:rsid w:val="00612730"/>
    <w:rsid w:val="0061400C"/>
    <w:rsid w:val="00615041"/>
    <w:rsid w:val="00617080"/>
    <w:rsid w:val="00617AFF"/>
    <w:rsid w:val="00620D34"/>
    <w:rsid w:val="00622A82"/>
    <w:rsid w:val="00622B67"/>
    <w:rsid w:val="0062456D"/>
    <w:rsid w:val="00630169"/>
    <w:rsid w:val="0063578A"/>
    <w:rsid w:val="00635874"/>
    <w:rsid w:val="00635BE0"/>
    <w:rsid w:val="006437AA"/>
    <w:rsid w:val="00644E0F"/>
    <w:rsid w:val="00647C31"/>
    <w:rsid w:val="006501A5"/>
    <w:rsid w:val="00650862"/>
    <w:rsid w:val="0065195F"/>
    <w:rsid w:val="00653914"/>
    <w:rsid w:val="00656683"/>
    <w:rsid w:val="00656784"/>
    <w:rsid w:val="0065765D"/>
    <w:rsid w:val="0066122E"/>
    <w:rsid w:val="00661B63"/>
    <w:rsid w:val="00662E4C"/>
    <w:rsid w:val="00665457"/>
    <w:rsid w:val="00674091"/>
    <w:rsid w:val="00674A76"/>
    <w:rsid w:val="00676B3B"/>
    <w:rsid w:val="00680323"/>
    <w:rsid w:val="0068348E"/>
    <w:rsid w:val="00691055"/>
    <w:rsid w:val="006916B7"/>
    <w:rsid w:val="00691B35"/>
    <w:rsid w:val="00693EDF"/>
    <w:rsid w:val="00694A0E"/>
    <w:rsid w:val="00694DE3"/>
    <w:rsid w:val="006974F1"/>
    <w:rsid w:val="006A074A"/>
    <w:rsid w:val="006A572B"/>
    <w:rsid w:val="006B0A83"/>
    <w:rsid w:val="006B0BD5"/>
    <w:rsid w:val="006C0404"/>
    <w:rsid w:val="006C2482"/>
    <w:rsid w:val="006C5106"/>
    <w:rsid w:val="006C63DA"/>
    <w:rsid w:val="006C6558"/>
    <w:rsid w:val="006D2D38"/>
    <w:rsid w:val="006D2DBB"/>
    <w:rsid w:val="006D4683"/>
    <w:rsid w:val="006D67EF"/>
    <w:rsid w:val="006E1FF2"/>
    <w:rsid w:val="006F1CB5"/>
    <w:rsid w:val="006F2929"/>
    <w:rsid w:val="006F2E52"/>
    <w:rsid w:val="006F3063"/>
    <w:rsid w:val="006F3BF2"/>
    <w:rsid w:val="006F4D43"/>
    <w:rsid w:val="006F68DA"/>
    <w:rsid w:val="006F7E12"/>
    <w:rsid w:val="007102FD"/>
    <w:rsid w:val="0071179F"/>
    <w:rsid w:val="00714134"/>
    <w:rsid w:val="00714788"/>
    <w:rsid w:val="00715F79"/>
    <w:rsid w:val="00716038"/>
    <w:rsid w:val="00716D91"/>
    <w:rsid w:val="0072251E"/>
    <w:rsid w:val="007237D8"/>
    <w:rsid w:val="00724ECF"/>
    <w:rsid w:val="0072596D"/>
    <w:rsid w:val="00727AE4"/>
    <w:rsid w:val="00733ADE"/>
    <w:rsid w:val="00737F31"/>
    <w:rsid w:val="007401C4"/>
    <w:rsid w:val="00744B54"/>
    <w:rsid w:val="00745141"/>
    <w:rsid w:val="007456C5"/>
    <w:rsid w:val="00746224"/>
    <w:rsid w:val="0074653F"/>
    <w:rsid w:val="00751428"/>
    <w:rsid w:val="00752ABE"/>
    <w:rsid w:val="007564ED"/>
    <w:rsid w:val="00761B8B"/>
    <w:rsid w:val="00763391"/>
    <w:rsid w:val="00764891"/>
    <w:rsid w:val="00766FAE"/>
    <w:rsid w:val="00767DA9"/>
    <w:rsid w:val="00770946"/>
    <w:rsid w:val="00771854"/>
    <w:rsid w:val="007724EE"/>
    <w:rsid w:val="00774198"/>
    <w:rsid w:val="00785B18"/>
    <w:rsid w:val="007871D2"/>
    <w:rsid w:val="00790CC0"/>
    <w:rsid w:val="007925BC"/>
    <w:rsid w:val="007927FE"/>
    <w:rsid w:val="00795630"/>
    <w:rsid w:val="007A5104"/>
    <w:rsid w:val="007A61F5"/>
    <w:rsid w:val="007B65F5"/>
    <w:rsid w:val="007C2C1D"/>
    <w:rsid w:val="007C56A3"/>
    <w:rsid w:val="007C607E"/>
    <w:rsid w:val="007D66A3"/>
    <w:rsid w:val="007D69F7"/>
    <w:rsid w:val="007D6AB0"/>
    <w:rsid w:val="007E1216"/>
    <w:rsid w:val="007E262C"/>
    <w:rsid w:val="007E49E6"/>
    <w:rsid w:val="007F0256"/>
    <w:rsid w:val="007F2189"/>
    <w:rsid w:val="007F2512"/>
    <w:rsid w:val="008017A8"/>
    <w:rsid w:val="00802552"/>
    <w:rsid w:val="008052EB"/>
    <w:rsid w:val="00807F54"/>
    <w:rsid w:val="00812204"/>
    <w:rsid w:val="00815E52"/>
    <w:rsid w:val="0081767B"/>
    <w:rsid w:val="008200CF"/>
    <w:rsid w:val="0082367C"/>
    <w:rsid w:val="008272C4"/>
    <w:rsid w:val="00827469"/>
    <w:rsid w:val="00830500"/>
    <w:rsid w:val="00831E00"/>
    <w:rsid w:val="00834221"/>
    <w:rsid w:val="0083599A"/>
    <w:rsid w:val="008403C4"/>
    <w:rsid w:val="008417F7"/>
    <w:rsid w:val="00842CDF"/>
    <w:rsid w:val="008434E0"/>
    <w:rsid w:val="0084632B"/>
    <w:rsid w:val="00850939"/>
    <w:rsid w:val="008512B0"/>
    <w:rsid w:val="00852976"/>
    <w:rsid w:val="00853421"/>
    <w:rsid w:val="008544CD"/>
    <w:rsid w:val="0085626E"/>
    <w:rsid w:val="008574BF"/>
    <w:rsid w:val="00857D86"/>
    <w:rsid w:val="008600DE"/>
    <w:rsid w:val="0086038B"/>
    <w:rsid w:val="00861379"/>
    <w:rsid w:val="00861C8D"/>
    <w:rsid w:val="00864109"/>
    <w:rsid w:val="008641F7"/>
    <w:rsid w:val="008646EB"/>
    <w:rsid w:val="00866842"/>
    <w:rsid w:val="00866F75"/>
    <w:rsid w:val="00867BDE"/>
    <w:rsid w:val="0087431D"/>
    <w:rsid w:val="00876E7D"/>
    <w:rsid w:val="00880356"/>
    <w:rsid w:val="00880BAC"/>
    <w:rsid w:val="00883A9B"/>
    <w:rsid w:val="008842E5"/>
    <w:rsid w:val="008859D9"/>
    <w:rsid w:val="00886CF2"/>
    <w:rsid w:val="008905B0"/>
    <w:rsid w:val="008926B5"/>
    <w:rsid w:val="00892BB1"/>
    <w:rsid w:val="00893C51"/>
    <w:rsid w:val="00895E62"/>
    <w:rsid w:val="008A19BE"/>
    <w:rsid w:val="008A260A"/>
    <w:rsid w:val="008A3FB1"/>
    <w:rsid w:val="008A5419"/>
    <w:rsid w:val="008B472B"/>
    <w:rsid w:val="008B735B"/>
    <w:rsid w:val="008B790B"/>
    <w:rsid w:val="008C11D9"/>
    <w:rsid w:val="008C3278"/>
    <w:rsid w:val="008C340B"/>
    <w:rsid w:val="008C5B3E"/>
    <w:rsid w:val="008C5BCE"/>
    <w:rsid w:val="008D1A69"/>
    <w:rsid w:val="008D4022"/>
    <w:rsid w:val="008D5A65"/>
    <w:rsid w:val="008E15C9"/>
    <w:rsid w:val="008E2DEB"/>
    <w:rsid w:val="008E5B11"/>
    <w:rsid w:val="008F1677"/>
    <w:rsid w:val="008F6AE4"/>
    <w:rsid w:val="00900E6F"/>
    <w:rsid w:val="0090102B"/>
    <w:rsid w:val="00906786"/>
    <w:rsid w:val="00914B69"/>
    <w:rsid w:val="00915266"/>
    <w:rsid w:val="009206BD"/>
    <w:rsid w:val="00921438"/>
    <w:rsid w:val="00924116"/>
    <w:rsid w:val="00927607"/>
    <w:rsid w:val="009301FB"/>
    <w:rsid w:val="00932360"/>
    <w:rsid w:val="009335B9"/>
    <w:rsid w:val="009339D5"/>
    <w:rsid w:val="00933FE2"/>
    <w:rsid w:val="009502FB"/>
    <w:rsid w:val="0095075C"/>
    <w:rsid w:val="009529B7"/>
    <w:rsid w:val="00954860"/>
    <w:rsid w:val="00954DBB"/>
    <w:rsid w:val="00962040"/>
    <w:rsid w:val="00963D0B"/>
    <w:rsid w:val="00964966"/>
    <w:rsid w:val="00965514"/>
    <w:rsid w:val="009664EF"/>
    <w:rsid w:val="00966AB2"/>
    <w:rsid w:val="00971D91"/>
    <w:rsid w:val="00973C57"/>
    <w:rsid w:val="00974661"/>
    <w:rsid w:val="009751AF"/>
    <w:rsid w:val="00981770"/>
    <w:rsid w:val="0098356B"/>
    <w:rsid w:val="00983F0A"/>
    <w:rsid w:val="00994F67"/>
    <w:rsid w:val="00995E8A"/>
    <w:rsid w:val="00995EC2"/>
    <w:rsid w:val="009A2797"/>
    <w:rsid w:val="009A29C2"/>
    <w:rsid w:val="009A5540"/>
    <w:rsid w:val="009A61EA"/>
    <w:rsid w:val="009A61F1"/>
    <w:rsid w:val="009B140A"/>
    <w:rsid w:val="009B4676"/>
    <w:rsid w:val="009C197D"/>
    <w:rsid w:val="009C4788"/>
    <w:rsid w:val="009C74C4"/>
    <w:rsid w:val="009D43BE"/>
    <w:rsid w:val="009D4B33"/>
    <w:rsid w:val="009D4B7F"/>
    <w:rsid w:val="009E0907"/>
    <w:rsid w:val="009E1D74"/>
    <w:rsid w:val="009E2523"/>
    <w:rsid w:val="009E3F91"/>
    <w:rsid w:val="009E5037"/>
    <w:rsid w:val="009F19F5"/>
    <w:rsid w:val="009F5A39"/>
    <w:rsid w:val="009F68AA"/>
    <w:rsid w:val="009F6922"/>
    <w:rsid w:val="00A05957"/>
    <w:rsid w:val="00A06DD9"/>
    <w:rsid w:val="00A076D1"/>
    <w:rsid w:val="00A1010C"/>
    <w:rsid w:val="00A10AC2"/>
    <w:rsid w:val="00A16643"/>
    <w:rsid w:val="00A1681B"/>
    <w:rsid w:val="00A16902"/>
    <w:rsid w:val="00A17C1F"/>
    <w:rsid w:val="00A2090E"/>
    <w:rsid w:val="00A20D76"/>
    <w:rsid w:val="00A219E5"/>
    <w:rsid w:val="00A256DB"/>
    <w:rsid w:val="00A25BB5"/>
    <w:rsid w:val="00A25DDD"/>
    <w:rsid w:val="00A30102"/>
    <w:rsid w:val="00A30BA7"/>
    <w:rsid w:val="00A3317A"/>
    <w:rsid w:val="00A33AA5"/>
    <w:rsid w:val="00A351A7"/>
    <w:rsid w:val="00A36A3D"/>
    <w:rsid w:val="00A41FB2"/>
    <w:rsid w:val="00A42CB4"/>
    <w:rsid w:val="00A446F0"/>
    <w:rsid w:val="00A45642"/>
    <w:rsid w:val="00A50CA1"/>
    <w:rsid w:val="00A53744"/>
    <w:rsid w:val="00A5432C"/>
    <w:rsid w:val="00A55803"/>
    <w:rsid w:val="00A56482"/>
    <w:rsid w:val="00A64F19"/>
    <w:rsid w:val="00A67119"/>
    <w:rsid w:val="00A676B9"/>
    <w:rsid w:val="00A70742"/>
    <w:rsid w:val="00A73A52"/>
    <w:rsid w:val="00A75892"/>
    <w:rsid w:val="00A768A1"/>
    <w:rsid w:val="00A76F9D"/>
    <w:rsid w:val="00A80C10"/>
    <w:rsid w:val="00A8314C"/>
    <w:rsid w:val="00A85B45"/>
    <w:rsid w:val="00A861D0"/>
    <w:rsid w:val="00A90CFE"/>
    <w:rsid w:val="00A90D5A"/>
    <w:rsid w:val="00A92CCF"/>
    <w:rsid w:val="00A943E1"/>
    <w:rsid w:val="00A94521"/>
    <w:rsid w:val="00A94A18"/>
    <w:rsid w:val="00A95B49"/>
    <w:rsid w:val="00A973E0"/>
    <w:rsid w:val="00AA238C"/>
    <w:rsid w:val="00AA5882"/>
    <w:rsid w:val="00AA7278"/>
    <w:rsid w:val="00AB0805"/>
    <w:rsid w:val="00AB2995"/>
    <w:rsid w:val="00AB2BB6"/>
    <w:rsid w:val="00AB3AA0"/>
    <w:rsid w:val="00AB700D"/>
    <w:rsid w:val="00AC3D01"/>
    <w:rsid w:val="00AC54E3"/>
    <w:rsid w:val="00AD1051"/>
    <w:rsid w:val="00AD11F3"/>
    <w:rsid w:val="00AD2EDF"/>
    <w:rsid w:val="00AD607C"/>
    <w:rsid w:val="00AD64C7"/>
    <w:rsid w:val="00AD7DF8"/>
    <w:rsid w:val="00AE01DF"/>
    <w:rsid w:val="00AE03FE"/>
    <w:rsid w:val="00AE79C0"/>
    <w:rsid w:val="00AF19D4"/>
    <w:rsid w:val="00AF56AA"/>
    <w:rsid w:val="00B058A6"/>
    <w:rsid w:val="00B05E6B"/>
    <w:rsid w:val="00B072E5"/>
    <w:rsid w:val="00B07BFC"/>
    <w:rsid w:val="00B13F3C"/>
    <w:rsid w:val="00B140C2"/>
    <w:rsid w:val="00B20894"/>
    <w:rsid w:val="00B20C73"/>
    <w:rsid w:val="00B25C86"/>
    <w:rsid w:val="00B26B62"/>
    <w:rsid w:val="00B27264"/>
    <w:rsid w:val="00B30396"/>
    <w:rsid w:val="00B33621"/>
    <w:rsid w:val="00B366E8"/>
    <w:rsid w:val="00B40553"/>
    <w:rsid w:val="00B406AE"/>
    <w:rsid w:val="00B47578"/>
    <w:rsid w:val="00B476A8"/>
    <w:rsid w:val="00B50512"/>
    <w:rsid w:val="00B541EC"/>
    <w:rsid w:val="00B56668"/>
    <w:rsid w:val="00B56FB9"/>
    <w:rsid w:val="00B64158"/>
    <w:rsid w:val="00B65B21"/>
    <w:rsid w:val="00B73099"/>
    <w:rsid w:val="00B82D31"/>
    <w:rsid w:val="00B84A6C"/>
    <w:rsid w:val="00B84D42"/>
    <w:rsid w:val="00B85469"/>
    <w:rsid w:val="00B85AB8"/>
    <w:rsid w:val="00B860DB"/>
    <w:rsid w:val="00B875A1"/>
    <w:rsid w:val="00B92D3B"/>
    <w:rsid w:val="00B978E9"/>
    <w:rsid w:val="00BA26B4"/>
    <w:rsid w:val="00BA523A"/>
    <w:rsid w:val="00BA70A1"/>
    <w:rsid w:val="00BB0FFA"/>
    <w:rsid w:val="00BB3CE8"/>
    <w:rsid w:val="00BB50E4"/>
    <w:rsid w:val="00BC0BC9"/>
    <w:rsid w:val="00BC3A6D"/>
    <w:rsid w:val="00BC3B3E"/>
    <w:rsid w:val="00BC5A67"/>
    <w:rsid w:val="00BC68AA"/>
    <w:rsid w:val="00BC6F29"/>
    <w:rsid w:val="00BD03C9"/>
    <w:rsid w:val="00BD4372"/>
    <w:rsid w:val="00BD6A96"/>
    <w:rsid w:val="00BD79C5"/>
    <w:rsid w:val="00BE10AB"/>
    <w:rsid w:val="00BE1D1D"/>
    <w:rsid w:val="00BE44D6"/>
    <w:rsid w:val="00BE46C0"/>
    <w:rsid w:val="00BE6D06"/>
    <w:rsid w:val="00BF0AA3"/>
    <w:rsid w:val="00BF19EE"/>
    <w:rsid w:val="00BF5B04"/>
    <w:rsid w:val="00BF6728"/>
    <w:rsid w:val="00BF6F23"/>
    <w:rsid w:val="00BF7E5D"/>
    <w:rsid w:val="00C04947"/>
    <w:rsid w:val="00C1013A"/>
    <w:rsid w:val="00C129E1"/>
    <w:rsid w:val="00C15BCC"/>
    <w:rsid w:val="00C17B8C"/>
    <w:rsid w:val="00C20E62"/>
    <w:rsid w:val="00C23FCB"/>
    <w:rsid w:val="00C244E1"/>
    <w:rsid w:val="00C2687A"/>
    <w:rsid w:val="00C307E7"/>
    <w:rsid w:val="00C31545"/>
    <w:rsid w:val="00C31F66"/>
    <w:rsid w:val="00C43D41"/>
    <w:rsid w:val="00C44A58"/>
    <w:rsid w:val="00C5752B"/>
    <w:rsid w:val="00C57D6A"/>
    <w:rsid w:val="00C57F7B"/>
    <w:rsid w:val="00C61152"/>
    <w:rsid w:val="00C617B2"/>
    <w:rsid w:val="00C66812"/>
    <w:rsid w:val="00C67E39"/>
    <w:rsid w:val="00C73F72"/>
    <w:rsid w:val="00C832BD"/>
    <w:rsid w:val="00C842B8"/>
    <w:rsid w:val="00C8741C"/>
    <w:rsid w:val="00C87EEF"/>
    <w:rsid w:val="00C90046"/>
    <w:rsid w:val="00C94084"/>
    <w:rsid w:val="00C976E7"/>
    <w:rsid w:val="00CA3598"/>
    <w:rsid w:val="00CA4BA5"/>
    <w:rsid w:val="00CA5738"/>
    <w:rsid w:val="00CA5BFA"/>
    <w:rsid w:val="00CB5010"/>
    <w:rsid w:val="00CC2255"/>
    <w:rsid w:val="00CC23F1"/>
    <w:rsid w:val="00CC477A"/>
    <w:rsid w:val="00CC620E"/>
    <w:rsid w:val="00CC742C"/>
    <w:rsid w:val="00CD1007"/>
    <w:rsid w:val="00CD5253"/>
    <w:rsid w:val="00CD5928"/>
    <w:rsid w:val="00CE12CC"/>
    <w:rsid w:val="00CE1FE8"/>
    <w:rsid w:val="00CF00FD"/>
    <w:rsid w:val="00CF4021"/>
    <w:rsid w:val="00CF4C80"/>
    <w:rsid w:val="00D004C0"/>
    <w:rsid w:val="00D07369"/>
    <w:rsid w:val="00D10E9B"/>
    <w:rsid w:val="00D11B0E"/>
    <w:rsid w:val="00D12B01"/>
    <w:rsid w:val="00D12F5C"/>
    <w:rsid w:val="00D13502"/>
    <w:rsid w:val="00D17A2A"/>
    <w:rsid w:val="00D21FC5"/>
    <w:rsid w:val="00D222F7"/>
    <w:rsid w:val="00D25642"/>
    <w:rsid w:val="00D2662A"/>
    <w:rsid w:val="00D302AC"/>
    <w:rsid w:val="00D324A7"/>
    <w:rsid w:val="00D35F76"/>
    <w:rsid w:val="00D43E1F"/>
    <w:rsid w:val="00D462A9"/>
    <w:rsid w:val="00D46BE4"/>
    <w:rsid w:val="00D46FA4"/>
    <w:rsid w:val="00D46FAF"/>
    <w:rsid w:val="00D4724B"/>
    <w:rsid w:val="00D477F4"/>
    <w:rsid w:val="00D50E3C"/>
    <w:rsid w:val="00D51FC7"/>
    <w:rsid w:val="00D5218D"/>
    <w:rsid w:val="00D52B43"/>
    <w:rsid w:val="00D537E8"/>
    <w:rsid w:val="00D53EDB"/>
    <w:rsid w:val="00D55172"/>
    <w:rsid w:val="00D62C19"/>
    <w:rsid w:val="00D63257"/>
    <w:rsid w:val="00D655CB"/>
    <w:rsid w:val="00D70D3C"/>
    <w:rsid w:val="00D71450"/>
    <w:rsid w:val="00D716A1"/>
    <w:rsid w:val="00D75EBD"/>
    <w:rsid w:val="00D764B6"/>
    <w:rsid w:val="00D7781C"/>
    <w:rsid w:val="00D86207"/>
    <w:rsid w:val="00D867C9"/>
    <w:rsid w:val="00D86A7B"/>
    <w:rsid w:val="00D86C19"/>
    <w:rsid w:val="00D909C1"/>
    <w:rsid w:val="00D90AC6"/>
    <w:rsid w:val="00D90BDA"/>
    <w:rsid w:val="00D92BAE"/>
    <w:rsid w:val="00D92EF5"/>
    <w:rsid w:val="00D96137"/>
    <w:rsid w:val="00D96C81"/>
    <w:rsid w:val="00DA1F56"/>
    <w:rsid w:val="00DA2268"/>
    <w:rsid w:val="00DA356F"/>
    <w:rsid w:val="00DA3C9F"/>
    <w:rsid w:val="00DB0BC8"/>
    <w:rsid w:val="00DB1A34"/>
    <w:rsid w:val="00DB2443"/>
    <w:rsid w:val="00DB6602"/>
    <w:rsid w:val="00DC444C"/>
    <w:rsid w:val="00DC65C4"/>
    <w:rsid w:val="00DC6FBC"/>
    <w:rsid w:val="00DC7304"/>
    <w:rsid w:val="00DD1F73"/>
    <w:rsid w:val="00DD2C95"/>
    <w:rsid w:val="00DD3CAF"/>
    <w:rsid w:val="00DD4EC6"/>
    <w:rsid w:val="00DD50CE"/>
    <w:rsid w:val="00DE01AE"/>
    <w:rsid w:val="00DE0777"/>
    <w:rsid w:val="00DE0EB8"/>
    <w:rsid w:val="00DE0FCA"/>
    <w:rsid w:val="00DE6497"/>
    <w:rsid w:val="00DF0E4B"/>
    <w:rsid w:val="00DF2C62"/>
    <w:rsid w:val="00DF58A2"/>
    <w:rsid w:val="00DF5D03"/>
    <w:rsid w:val="00DF5FB0"/>
    <w:rsid w:val="00E00857"/>
    <w:rsid w:val="00E02DE1"/>
    <w:rsid w:val="00E0468A"/>
    <w:rsid w:val="00E05D53"/>
    <w:rsid w:val="00E14A4D"/>
    <w:rsid w:val="00E161FB"/>
    <w:rsid w:val="00E17F6C"/>
    <w:rsid w:val="00E24C25"/>
    <w:rsid w:val="00E26C61"/>
    <w:rsid w:val="00E2765A"/>
    <w:rsid w:val="00E30414"/>
    <w:rsid w:val="00E31BBC"/>
    <w:rsid w:val="00E335D9"/>
    <w:rsid w:val="00E336B8"/>
    <w:rsid w:val="00E42221"/>
    <w:rsid w:val="00E450ED"/>
    <w:rsid w:val="00E4604B"/>
    <w:rsid w:val="00E46EDE"/>
    <w:rsid w:val="00E515B0"/>
    <w:rsid w:val="00E52EF4"/>
    <w:rsid w:val="00E551C3"/>
    <w:rsid w:val="00E56664"/>
    <w:rsid w:val="00E56885"/>
    <w:rsid w:val="00E60BB4"/>
    <w:rsid w:val="00E6109E"/>
    <w:rsid w:val="00E67A37"/>
    <w:rsid w:val="00E724DC"/>
    <w:rsid w:val="00E73626"/>
    <w:rsid w:val="00E73DA7"/>
    <w:rsid w:val="00E76E77"/>
    <w:rsid w:val="00E81F25"/>
    <w:rsid w:val="00E82BDA"/>
    <w:rsid w:val="00E87D8E"/>
    <w:rsid w:val="00E900B7"/>
    <w:rsid w:val="00E94B52"/>
    <w:rsid w:val="00E96C07"/>
    <w:rsid w:val="00EA242B"/>
    <w:rsid w:val="00EA2D3C"/>
    <w:rsid w:val="00EA37E7"/>
    <w:rsid w:val="00EA7451"/>
    <w:rsid w:val="00EA7C23"/>
    <w:rsid w:val="00EB1518"/>
    <w:rsid w:val="00EB3D71"/>
    <w:rsid w:val="00EC163B"/>
    <w:rsid w:val="00EC2AB1"/>
    <w:rsid w:val="00EC32D5"/>
    <w:rsid w:val="00ED199A"/>
    <w:rsid w:val="00ED2076"/>
    <w:rsid w:val="00ED2CDC"/>
    <w:rsid w:val="00ED3860"/>
    <w:rsid w:val="00ED4594"/>
    <w:rsid w:val="00ED45CB"/>
    <w:rsid w:val="00ED4A39"/>
    <w:rsid w:val="00EE2053"/>
    <w:rsid w:val="00EE2CA0"/>
    <w:rsid w:val="00EE61B4"/>
    <w:rsid w:val="00EE7738"/>
    <w:rsid w:val="00EF0C73"/>
    <w:rsid w:val="00EF10CD"/>
    <w:rsid w:val="00EF1F94"/>
    <w:rsid w:val="00EF2AD1"/>
    <w:rsid w:val="00EF6760"/>
    <w:rsid w:val="00EF6DBE"/>
    <w:rsid w:val="00F052A1"/>
    <w:rsid w:val="00F11FEF"/>
    <w:rsid w:val="00F158B6"/>
    <w:rsid w:val="00F24384"/>
    <w:rsid w:val="00F268C1"/>
    <w:rsid w:val="00F31979"/>
    <w:rsid w:val="00F33733"/>
    <w:rsid w:val="00F33D66"/>
    <w:rsid w:val="00F3459A"/>
    <w:rsid w:val="00F347E2"/>
    <w:rsid w:val="00F35016"/>
    <w:rsid w:val="00F36D54"/>
    <w:rsid w:val="00F4133B"/>
    <w:rsid w:val="00F41ACB"/>
    <w:rsid w:val="00F428A3"/>
    <w:rsid w:val="00F4426C"/>
    <w:rsid w:val="00F4514E"/>
    <w:rsid w:val="00F46B93"/>
    <w:rsid w:val="00F50745"/>
    <w:rsid w:val="00F55505"/>
    <w:rsid w:val="00F55D7B"/>
    <w:rsid w:val="00F56526"/>
    <w:rsid w:val="00F56810"/>
    <w:rsid w:val="00F56E54"/>
    <w:rsid w:val="00F60CB6"/>
    <w:rsid w:val="00F63AA6"/>
    <w:rsid w:val="00F6589E"/>
    <w:rsid w:val="00F66470"/>
    <w:rsid w:val="00F72583"/>
    <w:rsid w:val="00F76E97"/>
    <w:rsid w:val="00F77023"/>
    <w:rsid w:val="00F83080"/>
    <w:rsid w:val="00F86345"/>
    <w:rsid w:val="00F913CA"/>
    <w:rsid w:val="00F916DB"/>
    <w:rsid w:val="00F92AAD"/>
    <w:rsid w:val="00F93D98"/>
    <w:rsid w:val="00F95F09"/>
    <w:rsid w:val="00FA3AA2"/>
    <w:rsid w:val="00FA5651"/>
    <w:rsid w:val="00FB2063"/>
    <w:rsid w:val="00FB2B25"/>
    <w:rsid w:val="00FB31CC"/>
    <w:rsid w:val="00FB4B92"/>
    <w:rsid w:val="00FB4F9D"/>
    <w:rsid w:val="00FB5F61"/>
    <w:rsid w:val="00FB6DBA"/>
    <w:rsid w:val="00FB7512"/>
    <w:rsid w:val="00FB77B8"/>
    <w:rsid w:val="00FC06EC"/>
    <w:rsid w:val="00FC2DEE"/>
    <w:rsid w:val="00FC2E99"/>
    <w:rsid w:val="00FC42B1"/>
    <w:rsid w:val="00FC526E"/>
    <w:rsid w:val="00FC5DCF"/>
    <w:rsid w:val="00FD4C28"/>
    <w:rsid w:val="00FD62BE"/>
    <w:rsid w:val="00FD6E99"/>
    <w:rsid w:val="00FD6EF9"/>
    <w:rsid w:val="00FD70E6"/>
    <w:rsid w:val="00FD72EE"/>
    <w:rsid w:val="00FE387F"/>
    <w:rsid w:val="00FE40F9"/>
    <w:rsid w:val="00FE4809"/>
    <w:rsid w:val="00FE7181"/>
    <w:rsid w:val="00FF14D4"/>
    <w:rsid w:val="00FF25EE"/>
    <w:rsid w:val="00FF6354"/>
    <w:rsid w:val="00FF71F6"/>
    <w:rsid w:val="00FF7E3A"/>
    <w:rsid w:val="0144009C"/>
    <w:rsid w:val="01516116"/>
    <w:rsid w:val="01743AA8"/>
    <w:rsid w:val="01750760"/>
    <w:rsid w:val="019C2363"/>
    <w:rsid w:val="01A544B3"/>
    <w:rsid w:val="01B34E22"/>
    <w:rsid w:val="01B54DB7"/>
    <w:rsid w:val="01BD43CF"/>
    <w:rsid w:val="01D408F4"/>
    <w:rsid w:val="021B7CDD"/>
    <w:rsid w:val="021C29C7"/>
    <w:rsid w:val="022B2C0A"/>
    <w:rsid w:val="0261662C"/>
    <w:rsid w:val="02B0310F"/>
    <w:rsid w:val="02B56978"/>
    <w:rsid w:val="02C60F94"/>
    <w:rsid w:val="02D36DFE"/>
    <w:rsid w:val="02D71436"/>
    <w:rsid w:val="02EF1E8A"/>
    <w:rsid w:val="02F63D76"/>
    <w:rsid w:val="02FF20EF"/>
    <w:rsid w:val="03103BAE"/>
    <w:rsid w:val="0317318F"/>
    <w:rsid w:val="03191311"/>
    <w:rsid w:val="03766107"/>
    <w:rsid w:val="039667A9"/>
    <w:rsid w:val="039B3DC0"/>
    <w:rsid w:val="03AD2390"/>
    <w:rsid w:val="03B24C65"/>
    <w:rsid w:val="03D60954"/>
    <w:rsid w:val="03D85DCB"/>
    <w:rsid w:val="03D932D0"/>
    <w:rsid w:val="04431BD5"/>
    <w:rsid w:val="044A06DB"/>
    <w:rsid w:val="04553BA2"/>
    <w:rsid w:val="045D2E23"/>
    <w:rsid w:val="045E0D02"/>
    <w:rsid w:val="04732647"/>
    <w:rsid w:val="04BD34AB"/>
    <w:rsid w:val="04D400AC"/>
    <w:rsid w:val="04EB1333"/>
    <w:rsid w:val="04F419D9"/>
    <w:rsid w:val="051D683D"/>
    <w:rsid w:val="051E6349"/>
    <w:rsid w:val="05373674"/>
    <w:rsid w:val="054D2E98"/>
    <w:rsid w:val="0563222F"/>
    <w:rsid w:val="05761D8A"/>
    <w:rsid w:val="05777856"/>
    <w:rsid w:val="05850816"/>
    <w:rsid w:val="05C313AC"/>
    <w:rsid w:val="05C375FE"/>
    <w:rsid w:val="05D64447"/>
    <w:rsid w:val="05D84323"/>
    <w:rsid w:val="05FD3614"/>
    <w:rsid w:val="063D2F0C"/>
    <w:rsid w:val="064619CE"/>
    <w:rsid w:val="06516CA1"/>
    <w:rsid w:val="0664327A"/>
    <w:rsid w:val="06A55C31"/>
    <w:rsid w:val="06D64EA7"/>
    <w:rsid w:val="06D870D9"/>
    <w:rsid w:val="06E51C97"/>
    <w:rsid w:val="070F7027"/>
    <w:rsid w:val="074412F2"/>
    <w:rsid w:val="07591FC8"/>
    <w:rsid w:val="07723089"/>
    <w:rsid w:val="07897965"/>
    <w:rsid w:val="07936150"/>
    <w:rsid w:val="07A05FDC"/>
    <w:rsid w:val="07C165CD"/>
    <w:rsid w:val="07C35693"/>
    <w:rsid w:val="07C66F31"/>
    <w:rsid w:val="08057B40"/>
    <w:rsid w:val="081A31D6"/>
    <w:rsid w:val="08275C22"/>
    <w:rsid w:val="08281AC6"/>
    <w:rsid w:val="084408F1"/>
    <w:rsid w:val="08524EA3"/>
    <w:rsid w:val="087B58B7"/>
    <w:rsid w:val="087D1CE6"/>
    <w:rsid w:val="08BA59AC"/>
    <w:rsid w:val="08C75F19"/>
    <w:rsid w:val="094E5A0C"/>
    <w:rsid w:val="095B101E"/>
    <w:rsid w:val="09A45050"/>
    <w:rsid w:val="09A62E5B"/>
    <w:rsid w:val="09BB0D18"/>
    <w:rsid w:val="09C76179"/>
    <w:rsid w:val="09D73678"/>
    <w:rsid w:val="09E813E1"/>
    <w:rsid w:val="09F20B6C"/>
    <w:rsid w:val="0A0106F5"/>
    <w:rsid w:val="0A6C3DC0"/>
    <w:rsid w:val="0A917CCA"/>
    <w:rsid w:val="0A935352"/>
    <w:rsid w:val="0AE222D4"/>
    <w:rsid w:val="0AFF69E2"/>
    <w:rsid w:val="0B154457"/>
    <w:rsid w:val="0B4C09C6"/>
    <w:rsid w:val="0B6A5377"/>
    <w:rsid w:val="0BBE064B"/>
    <w:rsid w:val="0BC34CD1"/>
    <w:rsid w:val="0BED7182"/>
    <w:rsid w:val="0C0B7609"/>
    <w:rsid w:val="0C2506CA"/>
    <w:rsid w:val="0C30706F"/>
    <w:rsid w:val="0C3E353A"/>
    <w:rsid w:val="0C427AB6"/>
    <w:rsid w:val="0C566A28"/>
    <w:rsid w:val="0C7B29E0"/>
    <w:rsid w:val="0C994C14"/>
    <w:rsid w:val="0CE92DF4"/>
    <w:rsid w:val="0CFC644E"/>
    <w:rsid w:val="0D8A019F"/>
    <w:rsid w:val="0D991270"/>
    <w:rsid w:val="0D9F44AC"/>
    <w:rsid w:val="0DE67152"/>
    <w:rsid w:val="0DFC07C5"/>
    <w:rsid w:val="0E0D58BA"/>
    <w:rsid w:val="0E5139F9"/>
    <w:rsid w:val="0E5D33A6"/>
    <w:rsid w:val="0E6F1FF4"/>
    <w:rsid w:val="0E747096"/>
    <w:rsid w:val="0E9E1920"/>
    <w:rsid w:val="0EB92499"/>
    <w:rsid w:val="0EBF099D"/>
    <w:rsid w:val="0EC67223"/>
    <w:rsid w:val="0EC96337"/>
    <w:rsid w:val="0ED44466"/>
    <w:rsid w:val="0EDE1004"/>
    <w:rsid w:val="0EF40828"/>
    <w:rsid w:val="0EFB3964"/>
    <w:rsid w:val="0EFF0B63"/>
    <w:rsid w:val="0F0038F7"/>
    <w:rsid w:val="0F0650EC"/>
    <w:rsid w:val="0F15709A"/>
    <w:rsid w:val="0F195480"/>
    <w:rsid w:val="0F1A0121"/>
    <w:rsid w:val="0F4075C9"/>
    <w:rsid w:val="0F582B65"/>
    <w:rsid w:val="0F5A35E0"/>
    <w:rsid w:val="0F5A68DD"/>
    <w:rsid w:val="0FBE7C1C"/>
    <w:rsid w:val="0FC47022"/>
    <w:rsid w:val="0FC919CD"/>
    <w:rsid w:val="0FD96DC6"/>
    <w:rsid w:val="0FE663C2"/>
    <w:rsid w:val="0FE74ED2"/>
    <w:rsid w:val="0FF84697"/>
    <w:rsid w:val="10014FAA"/>
    <w:rsid w:val="10054FEF"/>
    <w:rsid w:val="10256E88"/>
    <w:rsid w:val="104650B3"/>
    <w:rsid w:val="10E47AC3"/>
    <w:rsid w:val="10E84CB0"/>
    <w:rsid w:val="10FB7C4C"/>
    <w:rsid w:val="110F2985"/>
    <w:rsid w:val="11252648"/>
    <w:rsid w:val="113B44EC"/>
    <w:rsid w:val="11415AA2"/>
    <w:rsid w:val="11446A4D"/>
    <w:rsid w:val="1154649A"/>
    <w:rsid w:val="115A2318"/>
    <w:rsid w:val="117B48A9"/>
    <w:rsid w:val="11800CCC"/>
    <w:rsid w:val="11C2175E"/>
    <w:rsid w:val="11CF3483"/>
    <w:rsid w:val="11DD06AB"/>
    <w:rsid w:val="11EA3D96"/>
    <w:rsid w:val="11ED4BC1"/>
    <w:rsid w:val="11F50B3F"/>
    <w:rsid w:val="11F76665"/>
    <w:rsid w:val="12170AB5"/>
    <w:rsid w:val="12490E8B"/>
    <w:rsid w:val="124E024F"/>
    <w:rsid w:val="125F245C"/>
    <w:rsid w:val="12632CF8"/>
    <w:rsid w:val="127F61C0"/>
    <w:rsid w:val="12842A3B"/>
    <w:rsid w:val="128B3251"/>
    <w:rsid w:val="128D433E"/>
    <w:rsid w:val="12CB3CA1"/>
    <w:rsid w:val="12E84200"/>
    <w:rsid w:val="12EC7BC3"/>
    <w:rsid w:val="1325533D"/>
    <w:rsid w:val="13337B71"/>
    <w:rsid w:val="133631BD"/>
    <w:rsid w:val="13566AB3"/>
    <w:rsid w:val="135E2714"/>
    <w:rsid w:val="13755298"/>
    <w:rsid w:val="137F5BE5"/>
    <w:rsid w:val="138C102F"/>
    <w:rsid w:val="13CB0E1B"/>
    <w:rsid w:val="13DA2F6E"/>
    <w:rsid w:val="13E7095B"/>
    <w:rsid w:val="13E7683E"/>
    <w:rsid w:val="14382F65"/>
    <w:rsid w:val="145747D4"/>
    <w:rsid w:val="14617754"/>
    <w:rsid w:val="146E07B6"/>
    <w:rsid w:val="14740441"/>
    <w:rsid w:val="14867895"/>
    <w:rsid w:val="148D3ADA"/>
    <w:rsid w:val="14945773"/>
    <w:rsid w:val="14AB7E78"/>
    <w:rsid w:val="14D7213A"/>
    <w:rsid w:val="14ED2E94"/>
    <w:rsid w:val="15115235"/>
    <w:rsid w:val="15185B8C"/>
    <w:rsid w:val="159B1B63"/>
    <w:rsid w:val="15CA5E3E"/>
    <w:rsid w:val="15EC04AB"/>
    <w:rsid w:val="15F2036A"/>
    <w:rsid w:val="15F85DBC"/>
    <w:rsid w:val="15FE458D"/>
    <w:rsid w:val="16106637"/>
    <w:rsid w:val="161C2B3E"/>
    <w:rsid w:val="162C583E"/>
    <w:rsid w:val="16340EDE"/>
    <w:rsid w:val="165757BC"/>
    <w:rsid w:val="165D7C2E"/>
    <w:rsid w:val="165E1815"/>
    <w:rsid w:val="166E197A"/>
    <w:rsid w:val="168D4FB5"/>
    <w:rsid w:val="1699418F"/>
    <w:rsid w:val="16AD7C3A"/>
    <w:rsid w:val="16C32FBA"/>
    <w:rsid w:val="16D00D56"/>
    <w:rsid w:val="16F615E1"/>
    <w:rsid w:val="17057572"/>
    <w:rsid w:val="170C0F93"/>
    <w:rsid w:val="170E3AE7"/>
    <w:rsid w:val="1711641B"/>
    <w:rsid w:val="171750B3"/>
    <w:rsid w:val="17190E2C"/>
    <w:rsid w:val="172577D0"/>
    <w:rsid w:val="173329EC"/>
    <w:rsid w:val="173E7859"/>
    <w:rsid w:val="174116A4"/>
    <w:rsid w:val="175400B6"/>
    <w:rsid w:val="178277E7"/>
    <w:rsid w:val="178A120B"/>
    <w:rsid w:val="17A06CB9"/>
    <w:rsid w:val="17A71C37"/>
    <w:rsid w:val="17D2722C"/>
    <w:rsid w:val="17D77670"/>
    <w:rsid w:val="17DF34B7"/>
    <w:rsid w:val="17F00002"/>
    <w:rsid w:val="17FD2A7E"/>
    <w:rsid w:val="18041ADC"/>
    <w:rsid w:val="18090EA0"/>
    <w:rsid w:val="184364E7"/>
    <w:rsid w:val="18443D55"/>
    <w:rsid w:val="184A6C90"/>
    <w:rsid w:val="184C0317"/>
    <w:rsid w:val="184E4D3B"/>
    <w:rsid w:val="18513952"/>
    <w:rsid w:val="185A1E38"/>
    <w:rsid w:val="187817E9"/>
    <w:rsid w:val="187D53EA"/>
    <w:rsid w:val="18A44730"/>
    <w:rsid w:val="18C64903"/>
    <w:rsid w:val="18D83B83"/>
    <w:rsid w:val="18DD4AAD"/>
    <w:rsid w:val="18FC459F"/>
    <w:rsid w:val="190855FC"/>
    <w:rsid w:val="190C374D"/>
    <w:rsid w:val="19157D18"/>
    <w:rsid w:val="192C753C"/>
    <w:rsid w:val="194E081D"/>
    <w:rsid w:val="19524AC9"/>
    <w:rsid w:val="197E766C"/>
    <w:rsid w:val="1994787E"/>
    <w:rsid w:val="19AF0D41"/>
    <w:rsid w:val="19E87935"/>
    <w:rsid w:val="19EF2318"/>
    <w:rsid w:val="1A085187"/>
    <w:rsid w:val="1A1A55E6"/>
    <w:rsid w:val="1A1D256E"/>
    <w:rsid w:val="1A2D0B2C"/>
    <w:rsid w:val="1A2E0D57"/>
    <w:rsid w:val="1A332FCB"/>
    <w:rsid w:val="1A514708"/>
    <w:rsid w:val="1A6C5716"/>
    <w:rsid w:val="1A7550B9"/>
    <w:rsid w:val="1A8B06F1"/>
    <w:rsid w:val="1A9133CF"/>
    <w:rsid w:val="1AD0039B"/>
    <w:rsid w:val="1AFE4451"/>
    <w:rsid w:val="1B05246E"/>
    <w:rsid w:val="1B295A57"/>
    <w:rsid w:val="1B59213E"/>
    <w:rsid w:val="1B986486"/>
    <w:rsid w:val="1BC07081"/>
    <w:rsid w:val="1BC670A8"/>
    <w:rsid w:val="1BE063BC"/>
    <w:rsid w:val="1BF34341"/>
    <w:rsid w:val="1C136791"/>
    <w:rsid w:val="1C16284B"/>
    <w:rsid w:val="1C22798D"/>
    <w:rsid w:val="1C230C3E"/>
    <w:rsid w:val="1C556DAA"/>
    <w:rsid w:val="1C567BE5"/>
    <w:rsid w:val="1C76645C"/>
    <w:rsid w:val="1C896A53"/>
    <w:rsid w:val="1C915908"/>
    <w:rsid w:val="1CAA0778"/>
    <w:rsid w:val="1CBD494F"/>
    <w:rsid w:val="1CE22C5D"/>
    <w:rsid w:val="1CEE68B6"/>
    <w:rsid w:val="1D0C2C33"/>
    <w:rsid w:val="1D0C44B0"/>
    <w:rsid w:val="1D1D719C"/>
    <w:rsid w:val="1D30030A"/>
    <w:rsid w:val="1D563A59"/>
    <w:rsid w:val="1D5822E5"/>
    <w:rsid w:val="1D90463C"/>
    <w:rsid w:val="1DE33F41"/>
    <w:rsid w:val="1E07642F"/>
    <w:rsid w:val="1E41383E"/>
    <w:rsid w:val="1E543091"/>
    <w:rsid w:val="1E68488B"/>
    <w:rsid w:val="1E7D4396"/>
    <w:rsid w:val="1ED62D72"/>
    <w:rsid w:val="1EED06C1"/>
    <w:rsid w:val="1F02489B"/>
    <w:rsid w:val="1F334A54"/>
    <w:rsid w:val="1F5321E4"/>
    <w:rsid w:val="1F7A3087"/>
    <w:rsid w:val="1F7F17CC"/>
    <w:rsid w:val="1F801420"/>
    <w:rsid w:val="1F9C4CF0"/>
    <w:rsid w:val="1FAF2243"/>
    <w:rsid w:val="1FB042F7"/>
    <w:rsid w:val="1FC52FAD"/>
    <w:rsid w:val="1FC61D6D"/>
    <w:rsid w:val="1FCF0C21"/>
    <w:rsid w:val="1FD2426D"/>
    <w:rsid w:val="1FE673DA"/>
    <w:rsid w:val="20030948"/>
    <w:rsid w:val="201C5D39"/>
    <w:rsid w:val="203171E6"/>
    <w:rsid w:val="20354F75"/>
    <w:rsid w:val="203D143D"/>
    <w:rsid w:val="20446769"/>
    <w:rsid w:val="205F2F58"/>
    <w:rsid w:val="20B90B59"/>
    <w:rsid w:val="20BD4F1E"/>
    <w:rsid w:val="20C1083E"/>
    <w:rsid w:val="20E30EE6"/>
    <w:rsid w:val="20E56222"/>
    <w:rsid w:val="21224D81"/>
    <w:rsid w:val="213E03C0"/>
    <w:rsid w:val="218F3108"/>
    <w:rsid w:val="21A610CC"/>
    <w:rsid w:val="21AD4F92"/>
    <w:rsid w:val="21CB366A"/>
    <w:rsid w:val="21DE626B"/>
    <w:rsid w:val="220F17A9"/>
    <w:rsid w:val="2217240B"/>
    <w:rsid w:val="223B0D82"/>
    <w:rsid w:val="22520A20"/>
    <w:rsid w:val="226159BD"/>
    <w:rsid w:val="22AC5986"/>
    <w:rsid w:val="22C07DB6"/>
    <w:rsid w:val="22CD4C5E"/>
    <w:rsid w:val="22D7082A"/>
    <w:rsid w:val="22E04EF3"/>
    <w:rsid w:val="22FD65ED"/>
    <w:rsid w:val="22FF6FB7"/>
    <w:rsid w:val="231132FF"/>
    <w:rsid w:val="23467CA0"/>
    <w:rsid w:val="235B27CC"/>
    <w:rsid w:val="239161EE"/>
    <w:rsid w:val="239E0527"/>
    <w:rsid w:val="23BA1BD2"/>
    <w:rsid w:val="23E34C9B"/>
    <w:rsid w:val="241A47BB"/>
    <w:rsid w:val="243005EF"/>
    <w:rsid w:val="24474830"/>
    <w:rsid w:val="244D480A"/>
    <w:rsid w:val="245242FF"/>
    <w:rsid w:val="246C460D"/>
    <w:rsid w:val="2472691F"/>
    <w:rsid w:val="24765B0F"/>
    <w:rsid w:val="248D7C7E"/>
    <w:rsid w:val="24AE3584"/>
    <w:rsid w:val="24DD793C"/>
    <w:rsid w:val="24EC5DD1"/>
    <w:rsid w:val="24EE7D9B"/>
    <w:rsid w:val="25070E5D"/>
    <w:rsid w:val="250C1FD0"/>
    <w:rsid w:val="25106368"/>
    <w:rsid w:val="25231339"/>
    <w:rsid w:val="253D487F"/>
    <w:rsid w:val="255B6AB3"/>
    <w:rsid w:val="256B580A"/>
    <w:rsid w:val="257A585C"/>
    <w:rsid w:val="257E6F39"/>
    <w:rsid w:val="25893620"/>
    <w:rsid w:val="25D23219"/>
    <w:rsid w:val="25D735A0"/>
    <w:rsid w:val="25DB061E"/>
    <w:rsid w:val="25DD6BD2"/>
    <w:rsid w:val="25E208CD"/>
    <w:rsid w:val="26247A03"/>
    <w:rsid w:val="26854F97"/>
    <w:rsid w:val="26C31B41"/>
    <w:rsid w:val="26C80178"/>
    <w:rsid w:val="26F62F37"/>
    <w:rsid w:val="27194E78"/>
    <w:rsid w:val="275024C4"/>
    <w:rsid w:val="277D533A"/>
    <w:rsid w:val="2787423E"/>
    <w:rsid w:val="279A1B15"/>
    <w:rsid w:val="27A3634D"/>
    <w:rsid w:val="27BC6A31"/>
    <w:rsid w:val="27DE3507"/>
    <w:rsid w:val="28060DDF"/>
    <w:rsid w:val="282835C4"/>
    <w:rsid w:val="28286F65"/>
    <w:rsid w:val="28456ABE"/>
    <w:rsid w:val="285717B4"/>
    <w:rsid w:val="28764E07"/>
    <w:rsid w:val="28771E56"/>
    <w:rsid w:val="287849A4"/>
    <w:rsid w:val="2882411F"/>
    <w:rsid w:val="28B64D5F"/>
    <w:rsid w:val="28CF4E13"/>
    <w:rsid w:val="28EE33BA"/>
    <w:rsid w:val="29041055"/>
    <w:rsid w:val="290C0055"/>
    <w:rsid w:val="293E5DCA"/>
    <w:rsid w:val="29883451"/>
    <w:rsid w:val="298F4F7D"/>
    <w:rsid w:val="29BF51B1"/>
    <w:rsid w:val="29D137E8"/>
    <w:rsid w:val="29F319B0"/>
    <w:rsid w:val="2A0921C6"/>
    <w:rsid w:val="2A1A48D4"/>
    <w:rsid w:val="2AC23E36"/>
    <w:rsid w:val="2ACB0237"/>
    <w:rsid w:val="2B143F38"/>
    <w:rsid w:val="2B204512"/>
    <w:rsid w:val="2B2A1A69"/>
    <w:rsid w:val="2B3F1D11"/>
    <w:rsid w:val="2B606BD1"/>
    <w:rsid w:val="2B82123D"/>
    <w:rsid w:val="2B881DA7"/>
    <w:rsid w:val="2B993C24"/>
    <w:rsid w:val="2BA64024"/>
    <w:rsid w:val="2BBC094A"/>
    <w:rsid w:val="2BC76C50"/>
    <w:rsid w:val="2BD17E07"/>
    <w:rsid w:val="2BDA30DB"/>
    <w:rsid w:val="2BDA63FB"/>
    <w:rsid w:val="2C053AC3"/>
    <w:rsid w:val="2C246C72"/>
    <w:rsid w:val="2C2B39A8"/>
    <w:rsid w:val="2C2C11A9"/>
    <w:rsid w:val="2C5A3DBD"/>
    <w:rsid w:val="2C827F1B"/>
    <w:rsid w:val="2C954FA0"/>
    <w:rsid w:val="2CB928AC"/>
    <w:rsid w:val="2CF77E86"/>
    <w:rsid w:val="2D053ED4"/>
    <w:rsid w:val="2D274C3F"/>
    <w:rsid w:val="2D2D342B"/>
    <w:rsid w:val="2D3C541C"/>
    <w:rsid w:val="2D47719B"/>
    <w:rsid w:val="2D4C797B"/>
    <w:rsid w:val="2D662499"/>
    <w:rsid w:val="2D71156A"/>
    <w:rsid w:val="2D762D19"/>
    <w:rsid w:val="2D9055FD"/>
    <w:rsid w:val="2DAA1F12"/>
    <w:rsid w:val="2DED451B"/>
    <w:rsid w:val="2DFF606C"/>
    <w:rsid w:val="2E023E21"/>
    <w:rsid w:val="2E160B95"/>
    <w:rsid w:val="2E2F6D2F"/>
    <w:rsid w:val="2E3A7276"/>
    <w:rsid w:val="2E4253D1"/>
    <w:rsid w:val="2E4609FB"/>
    <w:rsid w:val="2E7C5A29"/>
    <w:rsid w:val="2E8A3797"/>
    <w:rsid w:val="2E8E614B"/>
    <w:rsid w:val="2EAE5EA6"/>
    <w:rsid w:val="2EB75385"/>
    <w:rsid w:val="2ECF07FE"/>
    <w:rsid w:val="2ED00512"/>
    <w:rsid w:val="2ED438FE"/>
    <w:rsid w:val="2EEF1EE6"/>
    <w:rsid w:val="2EF97A69"/>
    <w:rsid w:val="2F0D0E1E"/>
    <w:rsid w:val="2F18096A"/>
    <w:rsid w:val="2F2919D0"/>
    <w:rsid w:val="2F5007E6"/>
    <w:rsid w:val="2F762E67"/>
    <w:rsid w:val="2F990904"/>
    <w:rsid w:val="2FA379D4"/>
    <w:rsid w:val="2FC878A4"/>
    <w:rsid w:val="2FFD5837"/>
    <w:rsid w:val="300A35B0"/>
    <w:rsid w:val="300A7A53"/>
    <w:rsid w:val="303332EF"/>
    <w:rsid w:val="3058256D"/>
    <w:rsid w:val="308D6616"/>
    <w:rsid w:val="309B6BB3"/>
    <w:rsid w:val="30A47561"/>
    <w:rsid w:val="31046163"/>
    <w:rsid w:val="31133076"/>
    <w:rsid w:val="31267258"/>
    <w:rsid w:val="313034EA"/>
    <w:rsid w:val="31413B7F"/>
    <w:rsid w:val="31462CB6"/>
    <w:rsid w:val="31615451"/>
    <w:rsid w:val="316D3DF6"/>
    <w:rsid w:val="31AB01F8"/>
    <w:rsid w:val="31B2700D"/>
    <w:rsid w:val="31DD0B8E"/>
    <w:rsid w:val="31E60FC9"/>
    <w:rsid w:val="320D4F82"/>
    <w:rsid w:val="32365EF2"/>
    <w:rsid w:val="32747406"/>
    <w:rsid w:val="32773F62"/>
    <w:rsid w:val="329C2DB1"/>
    <w:rsid w:val="32BF68D3"/>
    <w:rsid w:val="32C62C13"/>
    <w:rsid w:val="32E008FA"/>
    <w:rsid w:val="32FB0998"/>
    <w:rsid w:val="33235DEF"/>
    <w:rsid w:val="332C03C6"/>
    <w:rsid w:val="336D632F"/>
    <w:rsid w:val="337A0EEE"/>
    <w:rsid w:val="33A11F2B"/>
    <w:rsid w:val="33AA7BD5"/>
    <w:rsid w:val="33F15215"/>
    <w:rsid w:val="340E2829"/>
    <w:rsid w:val="34675474"/>
    <w:rsid w:val="34741A8A"/>
    <w:rsid w:val="347A0206"/>
    <w:rsid w:val="349D49B0"/>
    <w:rsid w:val="34C53F49"/>
    <w:rsid w:val="34C927BF"/>
    <w:rsid w:val="34D80BF3"/>
    <w:rsid w:val="34DA3E98"/>
    <w:rsid w:val="34E652B5"/>
    <w:rsid w:val="34EA4438"/>
    <w:rsid w:val="34FD36E3"/>
    <w:rsid w:val="35010DA2"/>
    <w:rsid w:val="35011C52"/>
    <w:rsid w:val="350C46F9"/>
    <w:rsid w:val="35335357"/>
    <w:rsid w:val="3538471B"/>
    <w:rsid w:val="35845BB2"/>
    <w:rsid w:val="35891DD3"/>
    <w:rsid w:val="358B19F4"/>
    <w:rsid w:val="35977693"/>
    <w:rsid w:val="35D2691D"/>
    <w:rsid w:val="35D73F34"/>
    <w:rsid w:val="36057CF5"/>
    <w:rsid w:val="36216BB8"/>
    <w:rsid w:val="3659703F"/>
    <w:rsid w:val="365B4E52"/>
    <w:rsid w:val="366C6D72"/>
    <w:rsid w:val="366C716A"/>
    <w:rsid w:val="366F384A"/>
    <w:rsid w:val="367A6645"/>
    <w:rsid w:val="369411B6"/>
    <w:rsid w:val="369905D2"/>
    <w:rsid w:val="369E4FA3"/>
    <w:rsid w:val="36A302BA"/>
    <w:rsid w:val="36A44F75"/>
    <w:rsid w:val="36AF3103"/>
    <w:rsid w:val="36B22824"/>
    <w:rsid w:val="36BB5FF9"/>
    <w:rsid w:val="37094303"/>
    <w:rsid w:val="371F710E"/>
    <w:rsid w:val="372A370D"/>
    <w:rsid w:val="375611A6"/>
    <w:rsid w:val="377759CE"/>
    <w:rsid w:val="377B45CC"/>
    <w:rsid w:val="3786627E"/>
    <w:rsid w:val="37A111BE"/>
    <w:rsid w:val="37B87D95"/>
    <w:rsid w:val="37DD0B1D"/>
    <w:rsid w:val="37EB5D09"/>
    <w:rsid w:val="37F039D3"/>
    <w:rsid w:val="38012341"/>
    <w:rsid w:val="385E6B8E"/>
    <w:rsid w:val="38606463"/>
    <w:rsid w:val="386121DB"/>
    <w:rsid w:val="38666E23"/>
    <w:rsid w:val="387542FC"/>
    <w:rsid w:val="38800011"/>
    <w:rsid w:val="388760E5"/>
    <w:rsid w:val="38D66725"/>
    <w:rsid w:val="38EC3423"/>
    <w:rsid w:val="3907605B"/>
    <w:rsid w:val="390E6E28"/>
    <w:rsid w:val="39313159"/>
    <w:rsid w:val="3934169D"/>
    <w:rsid w:val="393C6ED0"/>
    <w:rsid w:val="395A32FB"/>
    <w:rsid w:val="39614519"/>
    <w:rsid w:val="39693679"/>
    <w:rsid w:val="397D5E61"/>
    <w:rsid w:val="398D772B"/>
    <w:rsid w:val="39A13B77"/>
    <w:rsid w:val="39B67BFA"/>
    <w:rsid w:val="39B743F8"/>
    <w:rsid w:val="39D5472D"/>
    <w:rsid w:val="39E60BE9"/>
    <w:rsid w:val="39EB5AF5"/>
    <w:rsid w:val="39F53952"/>
    <w:rsid w:val="3A015D7D"/>
    <w:rsid w:val="3A127C30"/>
    <w:rsid w:val="3A257E9D"/>
    <w:rsid w:val="3A361B71"/>
    <w:rsid w:val="3A425330"/>
    <w:rsid w:val="3A8D72B7"/>
    <w:rsid w:val="3AB26D1E"/>
    <w:rsid w:val="3B1738EF"/>
    <w:rsid w:val="3B411538"/>
    <w:rsid w:val="3B7D557D"/>
    <w:rsid w:val="3BB05953"/>
    <w:rsid w:val="3BB56AC5"/>
    <w:rsid w:val="3BD3519D"/>
    <w:rsid w:val="3BF03FA1"/>
    <w:rsid w:val="3BF82E56"/>
    <w:rsid w:val="3C055B87"/>
    <w:rsid w:val="3C180A48"/>
    <w:rsid w:val="3C1D1103"/>
    <w:rsid w:val="3C574020"/>
    <w:rsid w:val="3C6F136A"/>
    <w:rsid w:val="3C7B1DEF"/>
    <w:rsid w:val="3C964B49"/>
    <w:rsid w:val="3C9708C1"/>
    <w:rsid w:val="3CB015E0"/>
    <w:rsid w:val="3CB93F59"/>
    <w:rsid w:val="3CB94CE1"/>
    <w:rsid w:val="3CBA3F22"/>
    <w:rsid w:val="3CBD1A62"/>
    <w:rsid w:val="3CC43FCC"/>
    <w:rsid w:val="3CD45671"/>
    <w:rsid w:val="3CDC4526"/>
    <w:rsid w:val="3CDD14C8"/>
    <w:rsid w:val="3D1D0ABF"/>
    <w:rsid w:val="3D2263DC"/>
    <w:rsid w:val="3D311355"/>
    <w:rsid w:val="3D5A63BA"/>
    <w:rsid w:val="3D9B3CB4"/>
    <w:rsid w:val="3DA212CB"/>
    <w:rsid w:val="3DB35286"/>
    <w:rsid w:val="3DB57251"/>
    <w:rsid w:val="3DD35929"/>
    <w:rsid w:val="3DEC14F7"/>
    <w:rsid w:val="3DF55F0E"/>
    <w:rsid w:val="3DFF6034"/>
    <w:rsid w:val="3E2148E6"/>
    <w:rsid w:val="3E4D1237"/>
    <w:rsid w:val="3E6A2A38"/>
    <w:rsid w:val="3E813130"/>
    <w:rsid w:val="3F2D1069"/>
    <w:rsid w:val="3F3146B5"/>
    <w:rsid w:val="3F354D52"/>
    <w:rsid w:val="3F375A43"/>
    <w:rsid w:val="3F6031EC"/>
    <w:rsid w:val="3F9D36D7"/>
    <w:rsid w:val="3FC61201"/>
    <w:rsid w:val="3FEC585B"/>
    <w:rsid w:val="3FFA44EC"/>
    <w:rsid w:val="400C2376"/>
    <w:rsid w:val="40322DDA"/>
    <w:rsid w:val="403D4DEF"/>
    <w:rsid w:val="404228F2"/>
    <w:rsid w:val="40672D0C"/>
    <w:rsid w:val="40865776"/>
    <w:rsid w:val="40902447"/>
    <w:rsid w:val="409A0980"/>
    <w:rsid w:val="409A1C6E"/>
    <w:rsid w:val="40BC26A4"/>
    <w:rsid w:val="40DC0573"/>
    <w:rsid w:val="40EB2F55"/>
    <w:rsid w:val="40FA626B"/>
    <w:rsid w:val="411614C0"/>
    <w:rsid w:val="412344D1"/>
    <w:rsid w:val="41390F4D"/>
    <w:rsid w:val="417C24EF"/>
    <w:rsid w:val="41F36599"/>
    <w:rsid w:val="41FD751D"/>
    <w:rsid w:val="41FF4DFA"/>
    <w:rsid w:val="42010CB6"/>
    <w:rsid w:val="42134546"/>
    <w:rsid w:val="42193A8C"/>
    <w:rsid w:val="421F03C5"/>
    <w:rsid w:val="42613503"/>
    <w:rsid w:val="42A11B51"/>
    <w:rsid w:val="42AE24C0"/>
    <w:rsid w:val="42C41CE4"/>
    <w:rsid w:val="42CA0555"/>
    <w:rsid w:val="42CC5D38"/>
    <w:rsid w:val="42D02437"/>
    <w:rsid w:val="42D47E7D"/>
    <w:rsid w:val="42F06635"/>
    <w:rsid w:val="430420E0"/>
    <w:rsid w:val="43184A46"/>
    <w:rsid w:val="431A7B56"/>
    <w:rsid w:val="432D1EE7"/>
    <w:rsid w:val="43357305"/>
    <w:rsid w:val="4368266F"/>
    <w:rsid w:val="436F1C50"/>
    <w:rsid w:val="437B23A2"/>
    <w:rsid w:val="43824618"/>
    <w:rsid w:val="438748E7"/>
    <w:rsid w:val="4397033A"/>
    <w:rsid w:val="43C26223"/>
    <w:rsid w:val="43C63838"/>
    <w:rsid w:val="43D67F21"/>
    <w:rsid w:val="43EF4B3E"/>
    <w:rsid w:val="44077066"/>
    <w:rsid w:val="443718B9"/>
    <w:rsid w:val="4476157F"/>
    <w:rsid w:val="447A41FD"/>
    <w:rsid w:val="447C0AC8"/>
    <w:rsid w:val="447F42ED"/>
    <w:rsid w:val="449C3299"/>
    <w:rsid w:val="44BC1359"/>
    <w:rsid w:val="44C71267"/>
    <w:rsid w:val="44DB2592"/>
    <w:rsid w:val="44F460BD"/>
    <w:rsid w:val="450634C4"/>
    <w:rsid w:val="451A3E3D"/>
    <w:rsid w:val="452E7123"/>
    <w:rsid w:val="45392515"/>
    <w:rsid w:val="457724B6"/>
    <w:rsid w:val="457B6DEE"/>
    <w:rsid w:val="45894936"/>
    <w:rsid w:val="458C5BF1"/>
    <w:rsid w:val="45A059AC"/>
    <w:rsid w:val="45B1582B"/>
    <w:rsid w:val="45C41112"/>
    <w:rsid w:val="45E10B02"/>
    <w:rsid w:val="4615686A"/>
    <w:rsid w:val="461D4BCB"/>
    <w:rsid w:val="46473ECC"/>
    <w:rsid w:val="46696E2A"/>
    <w:rsid w:val="468679DC"/>
    <w:rsid w:val="468E4AE3"/>
    <w:rsid w:val="46A20ABF"/>
    <w:rsid w:val="46D53BDF"/>
    <w:rsid w:val="46D544C0"/>
    <w:rsid w:val="46DA3884"/>
    <w:rsid w:val="470E3EA2"/>
    <w:rsid w:val="471B3FF5"/>
    <w:rsid w:val="471F6483"/>
    <w:rsid w:val="472745EF"/>
    <w:rsid w:val="47340824"/>
    <w:rsid w:val="474F7B2F"/>
    <w:rsid w:val="47613FA5"/>
    <w:rsid w:val="476870E2"/>
    <w:rsid w:val="477535AD"/>
    <w:rsid w:val="477E06B3"/>
    <w:rsid w:val="478A7058"/>
    <w:rsid w:val="478E2BD5"/>
    <w:rsid w:val="47A67C0A"/>
    <w:rsid w:val="47B16CDB"/>
    <w:rsid w:val="47B75973"/>
    <w:rsid w:val="47FB1C56"/>
    <w:rsid w:val="480F17F3"/>
    <w:rsid w:val="48144FBA"/>
    <w:rsid w:val="481A44CD"/>
    <w:rsid w:val="48503B31"/>
    <w:rsid w:val="485D609C"/>
    <w:rsid w:val="48613353"/>
    <w:rsid w:val="48671E1B"/>
    <w:rsid w:val="487321E2"/>
    <w:rsid w:val="48A71135"/>
    <w:rsid w:val="48F51F3E"/>
    <w:rsid w:val="4925499E"/>
    <w:rsid w:val="49465201"/>
    <w:rsid w:val="4948541D"/>
    <w:rsid w:val="49521DF7"/>
    <w:rsid w:val="49535015"/>
    <w:rsid w:val="49C10D2B"/>
    <w:rsid w:val="49C425C9"/>
    <w:rsid w:val="49D97612"/>
    <w:rsid w:val="49E730A6"/>
    <w:rsid w:val="4A0330F2"/>
    <w:rsid w:val="4A12297F"/>
    <w:rsid w:val="4A275032"/>
    <w:rsid w:val="4A2D6585"/>
    <w:rsid w:val="4A390992"/>
    <w:rsid w:val="4A404346"/>
    <w:rsid w:val="4A477482"/>
    <w:rsid w:val="4A510301"/>
    <w:rsid w:val="4A5F1168"/>
    <w:rsid w:val="4A626156"/>
    <w:rsid w:val="4A6A13C3"/>
    <w:rsid w:val="4A7A7858"/>
    <w:rsid w:val="4A901238"/>
    <w:rsid w:val="4A9E2E1A"/>
    <w:rsid w:val="4AB80380"/>
    <w:rsid w:val="4ACB711A"/>
    <w:rsid w:val="4AD12E5A"/>
    <w:rsid w:val="4AD16AFB"/>
    <w:rsid w:val="4B3F63AB"/>
    <w:rsid w:val="4B4439C2"/>
    <w:rsid w:val="4B4F5F07"/>
    <w:rsid w:val="4B616322"/>
    <w:rsid w:val="4B726781"/>
    <w:rsid w:val="4B7A7238"/>
    <w:rsid w:val="4B84557B"/>
    <w:rsid w:val="4B9C55AC"/>
    <w:rsid w:val="4BE96317"/>
    <w:rsid w:val="4C001FDF"/>
    <w:rsid w:val="4C40469D"/>
    <w:rsid w:val="4C4579F1"/>
    <w:rsid w:val="4C7C718B"/>
    <w:rsid w:val="4C820C46"/>
    <w:rsid w:val="4C9D79E9"/>
    <w:rsid w:val="4CA00932"/>
    <w:rsid w:val="4CA07433"/>
    <w:rsid w:val="4CD9638C"/>
    <w:rsid w:val="4CDC4BC5"/>
    <w:rsid w:val="4CFD207A"/>
    <w:rsid w:val="4D810EFD"/>
    <w:rsid w:val="4D8F7023"/>
    <w:rsid w:val="4D936A18"/>
    <w:rsid w:val="4D9562FA"/>
    <w:rsid w:val="4DB56DF9"/>
    <w:rsid w:val="4DD54DA5"/>
    <w:rsid w:val="4DDA685F"/>
    <w:rsid w:val="4E1F107E"/>
    <w:rsid w:val="4E24720D"/>
    <w:rsid w:val="4E265601"/>
    <w:rsid w:val="4E2B2C17"/>
    <w:rsid w:val="4E4837C9"/>
    <w:rsid w:val="4E4B5067"/>
    <w:rsid w:val="4E597784"/>
    <w:rsid w:val="4E6879C7"/>
    <w:rsid w:val="4E740A62"/>
    <w:rsid w:val="4E8C5DAC"/>
    <w:rsid w:val="4EB726FD"/>
    <w:rsid w:val="4F007262"/>
    <w:rsid w:val="4F082F58"/>
    <w:rsid w:val="4F135B85"/>
    <w:rsid w:val="4F196F13"/>
    <w:rsid w:val="4F302BDB"/>
    <w:rsid w:val="4F4E6AC3"/>
    <w:rsid w:val="4F5B752C"/>
    <w:rsid w:val="4FC82703"/>
    <w:rsid w:val="4FE45773"/>
    <w:rsid w:val="4FE542AE"/>
    <w:rsid w:val="4FEA6D37"/>
    <w:rsid w:val="500C68C2"/>
    <w:rsid w:val="500F0A42"/>
    <w:rsid w:val="500F7206"/>
    <w:rsid w:val="50167971"/>
    <w:rsid w:val="50290592"/>
    <w:rsid w:val="504601DC"/>
    <w:rsid w:val="508617D1"/>
    <w:rsid w:val="50A82971"/>
    <w:rsid w:val="50D564DF"/>
    <w:rsid w:val="50DF3A5C"/>
    <w:rsid w:val="5100038B"/>
    <w:rsid w:val="5105260E"/>
    <w:rsid w:val="51206ED5"/>
    <w:rsid w:val="512247A5"/>
    <w:rsid w:val="513B5867"/>
    <w:rsid w:val="514F70CF"/>
    <w:rsid w:val="51583D23"/>
    <w:rsid w:val="51D57A6A"/>
    <w:rsid w:val="51DF61F2"/>
    <w:rsid w:val="51E11C7A"/>
    <w:rsid w:val="521A1920"/>
    <w:rsid w:val="52352944"/>
    <w:rsid w:val="523A5B1F"/>
    <w:rsid w:val="52554706"/>
    <w:rsid w:val="527C4817"/>
    <w:rsid w:val="528F5E6A"/>
    <w:rsid w:val="52E03B44"/>
    <w:rsid w:val="53285977"/>
    <w:rsid w:val="53394028"/>
    <w:rsid w:val="534C78B7"/>
    <w:rsid w:val="53520ED4"/>
    <w:rsid w:val="535E7B3D"/>
    <w:rsid w:val="536B275A"/>
    <w:rsid w:val="537A08C9"/>
    <w:rsid w:val="53800C39"/>
    <w:rsid w:val="53AF1317"/>
    <w:rsid w:val="53BB4A3D"/>
    <w:rsid w:val="53D44BB5"/>
    <w:rsid w:val="53DC38BE"/>
    <w:rsid w:val="53E4044E"/>
    <w:rsid w:val="540D035F"/>
    <w:rsid w:val="543D5452"/>
    <w:rsid w:val="5462232D"/>
    <w:rsid w:val="547370C6"/>
    <w:rsid w:val="54837309"/>
    <w:rsid w:val="54994D7E"/>
    <w:rsid w:val="54BC6CBF"/>
    <w:rsid w:val="54C06D50"/>
    <w:rsid w:val="54C42991"/>
    <w:rsid w:val="54CD1014"/>
    <w:rsid w:val="54E83610"/>
    <w:rsid w:val="54EA382C"/>
    <w:rsid w:val="550B53AB"/>
    <w:rsid w:val="5528246B"/>
    <w:rsid w:val="552D22DF"/>
    <w:rsid w:val="55326F81"/>
    <w:rsid w:val="5539030F"/>
    <w:rsid w:val="55486D1A"/>
    <w:rsid w:val="556E620B"/>
    <w:rsid w:val="55B62C1D"/>
    <w:rsid w:val="55D50038"/>
    <w:rsid w:val="55E9467F"/>
    <w:rsid w:val="560069AF"/>
    <w:rsid w:val="56254392"/>
    <w:rsid w:val="566040EB"/>
    <w:rsid w:val="568850AA"/>
    <w:rsid w:val="56A50E90"/>
    <w:rsid w:val="56B82EAF"/>
    <w:rsid w:val="56CE4A87"/>
    <w:rsid w:val="56E12A0D"/>
    <w:rsid w:val="56F37DE4"/>
    <w:rsid w:val="56FD2433"/>
    <w:rsid w:val="570C5CDB"/>
    <w:rsid w:val="571A0BBB"/>
    <w:rsid w:val="57705B05"/>
    <w:rsid w:val="57826FBD"/>
    <w:rsid w:val="579B0E0D"/>
    <w:rsid w:val="57AC301B"/>
    <w:rsid w:val="57BE4AFC"/>
    <w:rsid w:val="57BF5855"/>
    <w:rsid w:val="57D22764"/>
    <w:rsid w:val="580746F5"/>
    <w:rsid w:val="580764A3"/>
    <w:rsid w:val="580A1AEF"/>
    <w:rsid w:val="58467252"/>
    <w:rsid w:val="58562F86"/>
    <w:rsid w:val="58937E93"/>
    <w:rsid w:val="58B25D9D"/>
    <w:rsid w:val="58C06A9A"/>
    <w:rsid w:val="592756B9"/>
    <w:rsid w:val="593908DE"/>
    <w:rsid w:val="593C3F2A"/>
    <w:rsid w:val="5966544B"/>
    <w:rsid w:val="59834D46"/>
    <w:rsid w:val="598A3D34"/>
    <w:rsid w:val="598B3EF7"/>
    <w:rsid w:val="59EA1E50"/>
    <w:rsid w:val="59FA62BF"/>
    <w:rsid w:val="5A2E4597"/>
    <w:rsid w:val="5A340E9F"/>
    <w:rsid w:val="5A5560E5"/>
    <w:rsid w:val="5A8F6584"/>
    <w:rsid w:val="5A971D60"/>
    <w:rsid w:val="5AAB580B"/>
    <w:rsid w:val="5ADA7E9F"/>
    <w:rsid w:val="5AE60A85"/>
    <w:rsid w:val="5AE8076E"/>
    <w:rsid w:val="5AEB5C08"/>
    <w:rsid w:val="5B152C85"/>
    <w:rsid w:val="5B490B80"/>
    <w:rsid w:val="5B5873D3"/>
    <w:rsid w:val="5B8322E4"/>
    <w:rsid w:val="5BAA0449"/>
    <w:rsid w:val="5BC76675"/>
    <w:rsid w:val="5C157813"/>
    <w:rsid w:val="5C18100D"/>
    <w:rsid w:val="5C1C5B60"/>
    <w:rsid w:val="5C1C6C2B"/>
    <w:rsid w:val="5C221AFD"/>
    <w:rsid w:val="5C2F5FC8"/>
    <w:rsid w:val="5C3B671B"/>
    <w:rsid w:val="5C4001D5"/>
    <w:rsid w:val="5C5E7A60"/>
    <w:rsid w:val="5C632317"/>
    <w:rsid w:val="5C877BB2"/>
    <w:rsid w:val="5CB67C6A"/>
    <w:rsid w:val="5CCE3A33"/>
    <w:rsid w:val="5CF36FF6"/>
    <w:rsid w:val="5D3322E7"/>
    <w:rsid w:val="5D342320"/>
    <w:rsid w:val="5D6116DA"/>
    <w:rsid w:val="5D6879E4"/>
    <w:rsid w:val="5D762E2E"/>
    <w:rsid w:val="5D835CF0"/>
    <w:rsid w:val="5DB06C95"/>
    <w:rsid w:val="5DC15346"/>
    <w:rsid w:val="5DE750DA"/>
    <w:rsid w:val="5DF110BE"/>
    <w:rsid w:val="5E0B036F"/>
    <w:rsid w:val="5E162A47"/>
    <w:rsid w:val="5E532442"/>
    <w:rsid w:val="5E69369F"/>
    <w:rsid w:val="5E960581"/>
    <w:rsid w:val="5EA9117B"/>
    <w:rsid w:val="5ED35EF2"/>
    <w:rsid w:val="5ED56A95"/>
    <w:rsid w:val="5F1720EB"/>
    <w:rsid w:val="5F413E3D"/>
    <w:rsid w:val="5F585162"/>
    <w:rsid w:val="5F5875E4"/>
    <w:rsid w:val="5F5A335C"/>
    <w:rsid w:val="5F5C0E82"/>
    <w:rsid w:val="5F64066E"/>
    <w:rsid w:val="5F74364D"/>
    <w:rsid w:val="5F820FCF"/>
    <w:rsid w:val="5FA3265E"/>
    <w:rsid w:val="5FB61A73"/>
    <w:rsid w:val="5FBA204D"/>
    <w:rsid w:val="5FBA4AB4"/>
    <w:rsid w:val="5FC82C9D"/>
    <w:rsid w:val="5FD44EBD"/>
    <w:rsid w:val="5FEA20BE"/>
    <w:rsid w:val="5FF92C44"/>
    <w:rsid w:val="60395667"/>
    <w:rsid w:val="60461C77"/>
    <w:rsid w:val="60934D78"/>
    <w:rsid w:val="609C38F3"/>
    <w:rsid w:val="60E0295D"/>
    <w:rsid w:val="6109328C"/>
    <w:rsid w:val="61283D68"/>
    <w:rsid w:val="61493688"/>
    <w:rsid w:val="61581B1D"/>
    <w:rsid w:val="61A84056"/>
    <w:rsid w:val="61B01959"/>
    <w:rsid w:val="61C54741"/>
    <w:rsid w:val="61D5316E"/>
    <w:rsid w:val="61DE2022"/>
    <w:rsid w:val="61E17D65"/>
    <w:rsid w:val="61F77588"/>
    <w:rsid w:val="61FC694D"/>
    <w:rsid w:val="62025954"/>
    <w:rsid w:val="62083543"/>
    <w:rsid w:val="6213375F"/>
    <w:rsid w:val="6220088D"/>
    <w:rsid w:val="62373E29"/>
    <w:rsid w:val="62402CDD"/>
    <w:rsid w:val="625C563D"/>
    <w:rsid w:val="628F657E"/>
    <w:rsid w:val="62944DD7"/>
    <w:rsid w:val="62992D43"/>
    <w:rsid w:val="62AE3137"/>
    <w:rsid w:val="62B965EC"/>
    <w:rsid w:val="62CA07F9"/>
    <w:rsid w:val="62DF7DC0"/>
    <w:rsid w:val="62E66672"/>
    <w:rsid w:val="630F3C89"/>
    <w:rsid w:val="632C670F"/>
    <w:rsid w:val="63324C79"/>
    <w:rsid w:val="633839B4"/>
    <w:rsid w:val="63494739"/>
    <w:rsid w:val="63760D7C"/>
    <w:rsid w:val="638B442C"/>
    <w:rsid w:val="63950E07"/>
    <w:rsid w:val="639A372B"/>
    <w:rsid w:val="63B83A45"/>
    <w:rsid w:val="63BC635B"/>
    <w:rsid w:val="63CB65D6"/>
    <w:rsid w:val="63D63F11"/>
    <w:rsid w:val="63F006F8"/>
    <w:rsid w:val="64377FAF"/>
    <w:rsid w:val="64424768"/>
    <w:rsid w:val="644C4B55"/>
    <w:rsid w:val="645646BE"/>
    <w:rsid w:val="646C7030"/>
    <w:rsid w:val="6487484E"/>
    <w:rsid w:val="64A62BA0"/>
    <w:rsid w:val="64BB1158"/>
    <w:rsid w:val="64E75692"/>
    <w:rsid w:val="64ED10BC"/>
    <w:rsid w:val="64F2054A"/>
    <w:rsid w:val="64F32289"/>
    <w:rsid w:val="64F8164D"/>
    <w:rsid w:val="65102E3B"/>
    <w:rsid w:val="65135FD8"/>
    <w:rsid w:val="65176E22"/>
    <w:rsid w:val="653D52B2"/>
    <w:rsid w:val="654D798E"/>
    <w:rsid w:val="655C5391"/>
    <w:rsid w:val="656B62C3"/>
    <w:rsid w:val="65757142"/>
    <w:rsid w:val="658E5B0E"/>
    <w:rsid w:val="658F0953"/>
    <w:rsid w:val="659133F7"/>
    <w:rsid w:val="659E443B"/>
    <w:rsid w:val="65D35334"/>
    <w:rsid w:val="65FD4059"/>
    <w:rsid w:val="664A237C"/>
    <w:rsid w:val="665651F7"/>
    <w:rsid w:val="66653D14"/>
    <w:rsid w:val="668C7B5F"/>
    <w:rsid w:val="66976C44"/>
    <w:rsid w:val="66B27F22"/>
    <w:rsid w:val="66CD35F5"/>
    <w:rsid w:val="66F269FA"/>
    <w:rsid w:val="66FE3167"/>
    <w:rsid w:val="671B5AC7"/>
    <w:rsid w:val="67205012"/>
    <w:rsid w:val="674548F2"/>
    <w:rsid w:val="67890C82"/>
    <w:rsid w:val="678D65EE"/>
    <w:rsid w:val="67911492"/>
    <w:rsid w:val="67A930D3"/>
    <w:rsid w:val="67F500C6"/>
    <w:rsid w:val="68085DEA"/>
    <w:rsid w:val="68196B74"/>
    <w:rsid w:val="681B3E07"/>
    <w:rsid w:val="681E22AA"/>
    <w:rsid w:val="68324E76"/>
    <w:rsid w:val="684E2429"/>
    <w:rsid w:val="6850601E"/>
    <w:rsid w:val="68541290"/>
    <w:rsid w:val="68594AF9"/>
    <w:rsid w:val="685968A7"/>
    <w:rsid w:val="685A5C5E"/>
    <w:rsid w:val="68787F8E"/>
    <w:rsid w:val="689D63E4"/>
    <w:rsid w:val="68AB177D"/>
    <w:rsid w:val="68B17806"/>
    <w:rsid w:val="68BC6E36"/>
    <w:rsid w:val="68BF14F3"/>
    <w:rsid w:val="691602F4"/>
    <w:rsid w:val="69180510"/>
    <w:rsid w:val="691C78D4"/>
    <w:rsid w:val="69250E15"/>
    <w:rsid w:val="695E50C6"/>
    <w:rsid w:val="69692B1A"/>
    <w:rsid w:val="697A2F79"/>
    <w:rsid w:val="69A43B52"/>
    <w:rsid w:val="69C0583A"/>
    <w:rsid w:val="69F64ED0"/>
    <w:rsid w:val="6A195D31"/>
    <w:rsid w:val="6A197828"/>
    <w:rsid w:val="6A45597E"/>
    <w:rsid w:val="6A4D41E9"/>
    <w:rsid w:val="6A58493C"/>
    <w:rsid w:val="6AAA163C"/>
    <w:rsid w:val="6AED777A"/>
    <w:rsid w:val="6AF91C7B"/>
    <w:rsid w:val="6B2E1E6C"/>
    <w:rsid w:val="6B405AFC"/>
    <w:rsid w:val="6B902CAD"/>
    <w:rsid w:val="6B9E11A7"/>
    <w:rsid w:val="6BB40298"/>
    <w:rsid w:val="6BBD50B2"/>
    <w:rsid w:val="6BBE4C73"/>
    <w:rsid w:val="6BDB3A77"/>
    <w:rsid w:val="6BE12048"/>
    <w:rsid w:val="6C031950"/>
    <w:rsid w:val="6C1825D5"/>
    <w:rsid w:val="6C3A4645"/>
    <w:rsid w:val="6C3F3A93"/>
    <w:rsid w:val="6C445178"/>
    <w:rsid w:val="6C564F9A"/>
    <w:rsid w:val="6C632793"/>
    <w:rsid w:val="6C6E48EB"/>
    <w:rsid w:val="6C762C76"/>
    <w:rsid w:val="6C844C00"/>
    <w:rsid w:val="6CAF118B"/>
    <w:rsid w:val="6CB16AD5"/>
    <w:rsid w:val="6D6C09C8"/>
    <w:rsid w:val="6D6C6BB7"/>
    <w:rsid w:val="6DB83C32"/>
    <w:rsid w:val="6DDD6EC1"/>
    <w:rsid w:val="6E072901"/>
    <w:rsid w:val="6E1B079F"/>
    <w:rsid w:val="6E3F653F"/>
    <w:rsid w:val="6E5422C4"/>
    <w:rsid w:val="6E7837FF"/>
    <w:rsid w:val="6E7D7067"/>
    <w:rsid w:val="6E95615F"/>
    <w:rsid w:val="6E9E6C81"/>
    <w:rsid w:val="6EBE3F4E"/>
    <w:rsid w:val="6EE45C9F"/>
    <w:rsid w:val="6F107CF3"/>
    <w:rsid w:val="6F215C44"/>
    <w:rsid w:val="6F392F8E"/>
    <w:rsid w:val="6F4A3D42"/>
    <w:rsid w:val="6F531186"/>
    <w:rsid w:val="6F6B6EC0"/>
    <w:rsid w:val="6F977CB5"/>
    <w:rsid w:val="6FA04DBB"/>
    <w:rsid w:val="6FB1792E"/>
    <w:rsid w:val="6FB22C84"/>
    <w:rsid w:val="6FBE7937"/>
    <w:rsid w:val="70063C83"/>
    <w:rsid w:val="7017033C"/>
    <w:rsid w:val="701E5ABC"/>
    <w:rsid w:val="70217BD0"/>
    <w:rsid w:val="706B78FF"/>
    <w:rsid w:val="70A72179"/>
    <w:rsid w:val="70C170B2"/>
    <w:rsid w:val="710366B1"/>
    <w:rsid w:val="710E21F8"/>
    <w:rsid w:val="713C2FB3"/>
    <w:rsid w:val="718720E0"/>
    <w:rsid w:val="71A80A1B"/>
    <w:rsid w:val="71A92BE5"/>
    <w:rsid w:val="71B55AB1"/>
    <w:rsid w:val="71D90DF1"/>
    <w:rsid w:val="72541E8D"/>
    <w:rsid w:val="727E5F13"/>
    <w:rsid w:val="72B866DB"/>
    <w:rsid w:val="72B868C0"/>
    <w:rsid w:val="72D059B7"/>
    <w:rsid w:val="72D16CD6"/>
    <w:rsid w:val="72DB435C"/>
    <w:rsid w:val="73007857"/>
    <w:rsid w:val="730E7D97"/>
    <w:rsid w:val="730F145B"/>
    <w:rsid w:val="73175E30"/>
    <w:rsid w:val="731F693F"/>
    <w:rsid w:val="7348106F"/>
    <w:rsid w:val="734E4B2E"/>
    <w:rsid w:val="735A10FB"/>
    <w:rsid w:val="7360363B"/>
    <w:rsid w:val="73875427"/>
    <w:rsid w:val="738C5E78"/>
    <w:rsid w:val="738D1CED"/>
    <w:rsid w:val="739D16DC"/>
    <w:rsid w:val="73A11102"/>
    <w:rsid w:val="73A33B75"/>
    <w:rsid w:val="73B872E5"/>
    <w:rsid w:val="73C1457F"/>
    <w:rsid w:val="740A4EF9"/>
    <w:rsid w:val="741A7DE5"/>
    <w:rsid w:val="742F617E"/>
    <w:rsid w:val="74312B30"/>
    <w:rsid w:val="74526697"/>
    <w:rsid w:val="748A428C"/>
    <w:rsid w:val="748C590E"/>
    <w:rsid w:val="74A04D8A"/>
    <w:rsid w:val="74C32607"/>
    <w:rsid w:val="7538008B"/>
    <w:rsid w:val="7542508F"/>
    <w:rsid w:val="75516E7C"/>
    <w:rsid w:val="7552048D"/>
    <w:rsid w:val="75550A8D"/>
    <w:rsid w:val="755C79D6"/>
    <w:rsid w:val="75635FA7"/>
    <w:rsid w:val="75C779C2"/>
    <w:rsid w:val="75C8506C"/>
    <w:rsid w:val="75E66A20"/>
    <w:rsid w:val="75F0011F"/>
    <w:rsid w:val="764E6BCF"/>
    <w:rsid w:val="76676633"/>
    <w:rsid w:val="766E24B6"/>
    <w:rsid w:val="768014A2"/>
    <w:rsid w:val="76D628DA"/>
    <w:rsid w:val="76E732D0"/>
    <w:rsid w:val="76EE58B6"/>
    <w:rsid w:val="76EF32A9"/>
    <w:rsid w:val="77822900"/>
    <w:rsid w:val="77A8722D"/>
    <w:rsid w:val="77EB3293"/>
    <w:rsid w:val="77F250B7"/>
    <w:rsid w:val="783B1B25"/>
    <w:rsid w:val="784101FF"/>
    <w:rsid w:val="788A6608"/>
    <w:rsid w:val="78967744"/>
    <w:rsid w:val="789842C8"/>
    <w:rsid w:val="78B96EEE"/>
    <w:rsid w:val="78BB41AB"/>
    <w:rsid w:val="78BC253A"/>
    <w:rsid w:val="78C80AE9"/>
    <w:rsid w:val="78DE2FC4"/>
    <w:rsid w:val="792266C0"/>
    <w:rsid w:val="792A6310"/>
    <w:rsid w:val="793A669D"/>
    <w:rsid w:val="79566A28"/>
    <w:rsid w:val="795D2923"/>
    <w:rsid w:val="79870D9A"/>
    <w:rsid w:val="798D054B"/>
    <w:rsid w:val="798E3ED6"/>
    <w:rsid w:val="7990032E"/>
    <w:rsid w:val="7995798E"/>
    <w:rsid w:val="79B8032F"/>
    <w:rsid w:val="79D7587D"/>
    <w:rsid w:val="7A015F81"/>
    <w:rsid w:val="7A41363F"/>
    <w:rsid w:val="7A4B25B2"/>
    <w:rsid w:val="7A737E8D"/>
    <w:rsid w:val="7AA1599C"/>
    <w:rsid w:val="7AE72525"/>
    <w:rsid w:val="7AF5153E"/>
    <w:rsid w:val="7B42766E"/>
    <w:rsid w:val="7B566C76"/>
    <w:rsid w:val="7B7942D0"/>
    <w:rsid w:val="7B84456E"/>
    <w:rsid w:val="7B9D2AF7"/>
    <w:rsid w:val="7BAF07CF"/>
    <w:rsid w:val="7BB76155"/>
    <w:rsid w:val="7BC92D04"/>
    <w:rsid w:val="7BDD45AB"/>
    <w:rsid w:val="7BE2731E"/>
    <w:rsid w:val="7C2B1EB0"/>
    <w:rsid w:val="7C6209F2"/>
    <w:rsid w:val="7C667FF7"/>
    <w:rsid w:val="7CA46A76"/>
    <w:rsid w:val="7CA67789"/>
    <w:rsid w:val="7CAA1FFA"/>
    <w:rsid w:val="7CCB71F0"/>
    <w:rsid w:val="7CCD11BA"/>
    <w:rsid w:val="7CF200F5"/>
    <w:rsid w:val="7CF43269"/>
    <w:rsid w:val="7CF60710"/>
    <w:rsid w:val="7CF90201"/>
    <w:rsid w:val="7D0C7F34"/>
    <w:rsid w:val="7D3A47AA"/>
    <w:rsid w:val="7D442589"/>
    <w:rsid w:val="7D4D555D"/>
    <w:rsid w:val="7D586412"/>
    <w:rsid w:val="7D6417AF"/>
    <w:rsid w:val="7D850A26"/>
    <w:rsid w:val="7DB87774"/>
    <w:rsid w:val="7E066731"/>
    <w:rsid w:val="7E0D60C6"/>
    <w:rsid w:val="7E307C52"/>
    <w:rsid w:val="7E3E3C12"/>
    <w:rsid w:val="7E445BDB"/>
    <w:rsid w:val="7E5A4CCF"/>
    <w:rsid w:val="7E5C6689"/>
    <w:rsid w:val="7E634CF5"/>
    <w:rsid w:val="7E8C3AAC"/>
    <w:rsid w:val="7E8D33F5"/>
    <w:rsid w:val="7EAB2B16"/>
    <w:rsid w:val="7F032C71"/>
    <w:rsid w:val="7F080287"/>
    <w:rsid w:val="7F565586"/>
    <w:rsid w:val="7F6F0306"/>
    <w:rsid w:val="7F7E30AB"/>
    <w:rsid w:val="7F8164A7"/>
    <w:rsid w:val="7FC93EBA"/>
    <w:rsid w:val="7FE011AB"/>
    <w:rsid w:val="7FEC2FCE"/>
    <w:rsid w:val="7FFA408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iPriority="99" w:name="Body Text First Indent"/>
    <w:lsdException w:qFormat="1" w:unhideWhenUsed="0" w:uiPriority="0" w:semiHidden="0" w:name="Body Text First Indent 2"/>
    <w:lsdException w:qFormat="1" w:uiPriority="99" w:semiHidden="0" w:name="Note Heading"/>
    <w:lsdException w:uiPriority="99" w:name="Body Text 2"/>
    <w:lsdException w:uiPriority="99" w:name="Body Text 3"/>
    <w:lsdException w:qFormat="1" w:unhideWhenUsed="0" w:uiPriority="0" w:semiHidden="0" w:name="Body Text Indent 2"/>
    <w:lsdException w:qFormat="1"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0"/>
    <w:pPr>
      <w:keepNext/>
      <w:overflowPunct w:val="0"/>
      <w:snapToGrid w:val="0"/>
      <w:spacing w:before="120" w:after="160" w:line="259" w:lineRule="auto"/>
      <w:ind w:left="432" w:hanging="432"/>
      <w:outlineLvl w:val="0"/>
    </w:pPr>
    <w:rPr>
      <w:rFonts w:ascii="Times New Roman" w:hAnsi="Times New Roman" w:eastAsia="黑体" w:cs="Times New Roman"/>
      <w:b/>
      <w:bCs/>
      <w:color w:val="000000"/>
      <w:kern w:val="44"/>
      <w:sz w:val="30"/>
      <w:szCs w:val="30"/>
    </w:rPr>
  </w:style>
  <w:style w:type="paragraph" w:styleId="3">
    <w:name w:val="heading 2"/>
    <w:basedOn w:val="1"/>
    <w:next w:val="1"/>
    <w:qFormat/>
    <w:uiPriority w:val="9"/>
    <w:pPr>
      <w:spacing w:before="200" w:after="200" w:line="360" w:lineRule="exact"/>
      <w:ind w:firstLine="0" w:firstLineChars="0"/>
      <w:jc w:val="left"/>
      <w:outlineLvl w:val="1"/>
    </w:pPr>
    <w:rPr>
      <w:rFonts w:ascii="Times New Roman" w:hAnsi="Times New Roman" w:eastAsia="黑体"/>
      <w:b/>
      <w:bCs/>
      <w:sz w:val="30"/>
      <w:szCs w:val="32"/>
    </w:rPr>
  </w:style>
  <w:style w:type="paragraph" w:styleId="4">
    <w:name w:val="heading 3"/>
    <w:basedOn w:val="1"/>
    <w:next w:val="1"/>
    <w:link w:val="37"/>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38"/>
    <w:unhideWhenUsed/>
    <w:qFormat/>
    <w:uiPriority w:val="1"/>
    <w:pPr>
      <w:keepNext/>
      <w:keepLines/>
      <w:spacing w:before="280" w:after="290" w:line="376" w:lineRule="auto"/>
      <w:outlineLvl w:val="3"/>
    </w:pPr>
    <w:rPr>
      <w:rFonts w:ascii="Cambria" w:hAnsi="Cambria" w:eastAsia="宋体" w:cs="Times New Roman"/>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link w:val="86"/>
    <w:unhideWhenUsed/>
    <w:qFormat/>
    <w:uiPriority w:val="99"/>
    <w:pPr>
      <w:jc w:val="center"/>
    </w:pPr>
    <w:rPr>
      <w:rFonts w:ascii="Times New Roman" w:hAnsi="Times New Roman" w:eastAsia="宋体" w:cs="Times New Roman"/>
      <w:szCs w:val="24"/>
    </w:rPr>
  </w:style>
  <w:style w:type="paragraph" w:styleId="7">
    <w:name w:val="Normal Indent"/>
    <w:basedOn w:val="1"/>
    <w:next w:val="5"/>
    <w:link w:val="78"/>
    <w:qFormat/>
    <w:uiPriority w:val="0"/>
    <w:pPr>
      <w:ind w:firstLine="200" w:firstLineChars="200"/>
    </w:pPr>
    <w:rPr>
      <w:rFonts w:ascii="Times New Roman" w:hAnsi="Times New Roman" w:eastAsia="宋体" w:cs="Times New Roman"/>
      <w:sz w:val="28"/>
      <w:szCs w:val="24"/>
    </w:rPr>
  </w:style>
  <w:style w:type="paragraph" w:styleId="8">
    <w:name w:val="annotation text"/>
    <w:basedOn w:val="1"/>
    <w:link w:val="41"/>
    <w:unhideWhenUsed/>
    <w:qFormat/>
    <w:uiPriority w:val="99"/>
    <w:pPr>
      <w:jc w:val="left"/>
    </w:pPr>
  </w:style>
  <w:style w:type="paragraph" w:styleId="9">
    <w:name w:val="Salutation"/>
    <w:basedOn w:val="1"/>
    <w:next w:val="1"/>
    <w:link w:val="84"/>
    <w:qFormat/>
    <w:uiPriority w:val="0"/>
    <w:rPr>
      <w:rFonts w:ascii="Times New Roman" w:hAnsi="Times New Roman" w:eastAsia="宋体" w:cs="Times New Roman"/>
      <w:szCs w:val="24"/>
    </w:rPr>
  </w:style>
  <w:style w:type="paragraph" w:styleId="10">
    <w:name w:val="Body Text"/>
    <w:basedOn w:val="1"/>
    <w:next w:val="1"/>
    <w:link w:val="45"/>
    <w:unhideWhenUsed/>
    <w:qFormat/>
    <w:uiPriority w:val="0"/>
    <w:pPr>
      <w:spacing w:after="120"/>
    </w:pPr>
  </w:style>
  <w:style w:type="paragraph" w:styleId="11">
    <w:name w:val="Body Text Indent"/>
    <w:basedOn w:val="1"/>
    <w:next w:val="12"/>
    <w:link w:val="43"/>
    <w:unhideWhenUsed/>
    <w:qFormat/>
    <w:uiPriority w:val="0"/>
    <w:pPr>
      <w:spacing w:after="120"/>
      <w:ind w:left="420" w:leftChars="200"/>
    </w:pPr>
    <w:rPr>
      <w:rFonts w:ascii="Times New Roman" w:hAnsi="Times New Roman" w:eastAsia="宋体" w:cs="Times New Roman"/>
      <w:kern w:val="0"/>
      <w:sz w:val="20"/>
      <w:szCs w:val="24"/>
    </w:rPr>
  </w:style>
  <w:style w:type="paragraph" w:styleId="12">
    <w:name w:val="Body Text Indent 2"/>
    <w:basedOn w:val="1"/>
    <w:next w:val="1"/>
    <w:qFormat/>
    <w:uiPriority w:val="0"/>
    <w:pPr>
      <w:spacing w:after="120" w:line="480" w:lineRule="auto"/>
      <w:ind w:left="420" w:leftChars="200"/>
    </w:pPr>
  </w:style>
  <w:style w:type="paragraph" w:styleId="13">
    <w:name w:val="Block Text"/>
    <w:basedOn w:val="1"/>
    <w:next w:val="1"/>
    <w:qFormat/>
    <w:uiPriority w:val="0"/>
    <w:pPr>
      <w:snapToGrid w:val="0"/>
      <w:spacing w:line="408" w:lineRule="auto"/>
      <w:ind w:left="-113" w:right="-510" w:firstLine="510"/>
    </w:pPr>
    <w:rPr>
      <w:sz w:val="24"/>
      <w:szCs w:val="20"/>
    </w:rPr>
  </w:style>
  <w:style w:type="paragraph" w:styleId="14">
    <w:name w:val="Plain Text"/>
    <w:basedOn w:val="1"/>
    <w:next w:val="9"/>
    <w:link w:val="79"/>
    <w:qFormat/>
    <w:uiPriority w:val="0"/>
    <w:pPr>
      <w:snapToGrid w:val="0"/>
      <w:spacing w:line="324" w:lineRule="auto"/>
    </w:pPr>
    <w:rPr>
      <w:rFonts w:ascii="宋体" w:hAnsi="Courier New" w:eastAsia="宋体" w:cs="Times New Roman"/>
      <w:szCs w:val="24"/>
    </w:rPr>
  </w:style>
  <w:style w:type="paragraph" w:styleId="15">
    <w:name w:val="Date"/>
    <w:basedOn w:val="1"/>
    <w:next w:val="1"/>
    <w:link w:val="72"/>
    <w:qFormat/>
    <w:uiPriority w:val="0"/>
    <w:pPr>
      <w:ind w:left="100" w:leftChars="2500"/>
    </w:pPr>
    <w:rPr>
      <w:rFonts w:ascii="Times New Roman" w:hAnsi="Times New Roman" w:eastAsia="宋体" w:cs="Times New Roman"/>
      <w:kern w:val="0"/>
      <w:sz w:val="24"/>
      <w:szCs w:val="20"/>
    </w:rPr>
  </w:style>
  <w:style w:type="paragraph" w:styleId="16">
    <w:name w:val="Balloon Text"/>
    <w:basedOn w:val="1"/>
    <w:link w:val="39"/>
    <w:semiHidden/>
    <w:unhideWhenUsed/>
    <w:qFormat/>
    <w:uiPriority w:val="0"/>
    <w:rPr>
      <w:sz w:val="18"/>
      <w:szCs w:val="18"/>
    </w:rPr>
  </w:style>
  <w:style w:type="paragraph" w:styleId="17">
    <w:name w:val="footer"/>
    <w:basedOn w:val="1"/>
    <w:link w:val="35"/>
    <w:unhideWhenUsed/>
    <w:qFormat/>
    <w:uiPriority w:val="99"/>
    <w:pPr>
      <w:tabs>
        <w:tab w:val="center" w:pos="4153"/>
        <w:tab w:val="right" w:pos="8306"/>
      </w:tabs>
      <w:snapToGrid w:val="0"/>
      <w:jc w:val="left"/>
    </w:pPr>
    <w:rPr>
      <w:sz w:val="18"/>
      <w:szCs w:val="18"/>
    </w:rPr>
  </w:style>
  <w:style w:type="paragraph" w:styleId="18">
    <w:name w:val="header"/>
    <w:basedOn w:val="1"/>
    <w:next w:val="10"/>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List"/>
    <w:basedOn w:val="1"/>
    <w:qFormat/>
    <w:uiPriority w:val="0"/>
    <w:pPr>
      <w:jc w:val="center"/>
    </w:pPr>
    <w:rPr>
      <w:rFonts w:ascii="Times New Roman" w:hAnsi="Times New Roman" w:eastAsia="宋体" w:cs="Times New Roman"/>
      <w:kern w:val="21"/>
    </w:rPr>
  </w:style>
  <w:style w:type="paragraph" w:styleId="20">
    <w:name w:val="Body Text Indent 3"/>
    <w:next w:val="21"/>
    <w:link w:val="50"/>
    <w:semi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21">
    <w:name w:val="样式 正文文本缩进 3 + 左侧:  2 字符"/>
    <w:basedOn w:val="1"/>
    <w:qFormat/>
    <w:uiPriority w:val="0"/>
  </w:style>
  <w:style w:type="paragraph" w:styleId="22">
    <w:name w:val="Normal (Web)"/>
    <w:basedOn w:val="1"/>
    <w:link w:val="40"/>
    <w:qFormat/>
    <w:uiPriority w:val="99"/>
    <w:pPr>
      <w:widowControl/>
      <w:spacing w:before="100" w:beforeAutospacing="1" w:after="100" w:afterAutospacing="1"/>
      <w:jc w:val="left"/>
    </w:pPr>
    <w:rPr>
      <w:rFonts w:ascii="宋体" w:hAnsi="宋体" w:eastAsia="宋体"/>
      <w:sz w:val="24"/>
    </w:rPr>
  </w:style>
  <w:style w:type="paragraph" w:styleId="23">
    <w:name w:val="annotation subject"/>
    <w:basedOn w:val="8"/>
    <w:next w:val="8"/>
    <w:link w:val="42"/>
    <w:semiHidden/>
    <w:unhideWhenUsed/>
    <w:qFormat/>
    <w:uiPriority w:val="0"/>
    <w:rPr>
      <w:b/>
      <w:bCs/>
    </w:rPr>
  </w:style>
  <w:style w:type="paragraph" w:styleId="24">
    <w:name w:val="Body Text First Indent"/>
    <w:basedOn w:val="10"/>
    <w:link w:val="46"/>
    <w:semiHidden/>
    <w:unhideWhenUsed/>
    <w:qFormat/>
    <w:uiPriority w:val="99"/>
    <w:pPr>
      <w:ind w:firstLine="420" w:firstLineChars="100"/>
    </w:pPr>
  </w:style>
  <w:style w:type="paragraph" w:styleId="25">
    <w:name w:val="Body Text First Indent 2"/>
    <w:basedOn w:val="11"/>
    <w:next w:val="1"/>
    <w:link w:val="85"/>
    <w:qFormat/>
    <w:uiPriority w:val="0"/>
    <w:pPr>
      <w:ind w:firstLine="420" w:firstLineChars="200"/>
    </w:pPr>
    <w:rPr>
      <w:kern w:val="2"/>
      <w:sz w:val="21"/>
    </w:rPr>
  </w:style>
  <w:style w:type="table" w:styleId="27">
    <w:name w:val="Table Grid"/>
    <w:basedOn w:val="2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page number"/>
    <w:basedOn w:val="28"/>
    <w:qFormat/>
    <w:uiPriority w:val="0"/>
  </w:style>
  <w:style w:type="character" w:styleId="31">
    <w:name w:val="Emphasis"/>
    <w:basedOn w:val="28"/>
    <w:qFormat/>
    <w:uiPriority w:val="20"/>
    <w:rPr>
      <w:i/>
    </w:rPr>
  </w:style>
  <w:style w:type="character" w:styleId="32">
    <w:name w:val="Hyperlink"/>
    <w:basedOn w:val="28"/>
    <w:unhideWhenUsed/>
    <w:qFormat/>
    <w:uiPriority w:val="99"/>
    <w:rPr>
      <w:color w:val="0000FF" w:themeColor="hyperlink"/>
      <w:u w:val="single"/>
    </w:rPr>
  </w:style>
  <w:style w:type="character" w:styleId="33">
    <w:name w:val="annotation reference"/>
    <w:basedOn w:val="28"/>
    <w:unhideWhenUsed/>
    <w:qFormat/>
    <w:uiPriority w:val="0"/>
    <w:rPr>
      <w:sz w:val="21"/>
      <w:szCs w:val="21"/>
    </w:rPr>
  </w:style>
  <w:style w:type="character" w:customStyle="1" w:styleId="34">
    <w:name w:val="页眉 Char"/>
    <w:basedOn w:val="28"/>
    <w:link w:val="18"/>
    <w:qFormat/>
    <w:uiPriority w:val="0"/>
    <w:rPr>
      <w:sz w:val="18"/>
      <w:szCs w:val="18"/>
    </w:rPr>
  </w:style>
  <w:style w:type="character" w:customStyle="1" w:styleId="35">
    <w:name w:val="页脚 Char"/>
    <w:basedOn w:val="28"/>
    <w:link w:val="17"/>
    <w:qFormat/>
    <w:uiPriority w:val="99"/>
    <w:rPr>
      <w:sz w:val="18"/>
      <w:szCs w:val="18"/>
    </w:rPr>
  </w:style>
  <w:style w:type="character" w:customStyle="1" w:styleId="36">
    <w:name w:val="标题 1 Char"/>
    <w:basedOn w:val="28"/>
    <w:link w:val="2"/>
    <w:qFormat/>
    <w:uiPriority w:val="0"/>
    <w:rPr>
      <w:rFonts w:ascii="Times New Roman" w:hAnsi="Times New Roman" w:eastAsia="黑体" w:cs="Times New Roman"/>
      <w:b/>
      <w:bCs/>
      <w:color w:val="000000"/>
      <w:kern w:val="44"/>
      <w:sz w:val="30"/>
      <w:szCs w:val="30"/>
    </w:rPr>
  </w:style>
  <w:style w:type="character" w:customStyle="1" w:styleId="37">
    <w:name w:val="标题 3 Char"/>
    <w:basedOn w:val="28"/>
    <w:link w:val="4"/>
    <w:qFormat/>
    <w:uiPriority w:val="9"/>
    <w:rPr>
      <w:rFonts w:ascii="Times New Roman" w:hAnsi="Times New Roman" w:eastAsia="宋体" w:cs="Times New Roman"/>
      <w:b/>
      <w:bCs/>
      <w:sz w:val="32"/>
      <w:szCs w:val="32"/>
    </w:rPr>
  </w:style>
  <w:style w:type="character" w:customStyle="1" w:styleId="38">
    <w:name w:val="标题 4 Char"/>
    <w:basedOn w:val="28"/>
    <w:link w:val="5"/>
    <w:qFormat/>
    <w:uiPriority w:val="1"/>
    <w:rPr>
      <w:rFonts w:ascii="Cambria" w:hAnsi="Cambria" w:eastAsia="宋体" w:cs="Times New Roman"/>
      <w:b/>
      <w:bCs/>
      <w:sz w:val="28"/>
      <w:szCs w:val="28"/>
    </w:rPr>
  </w:style>
  <w:style w:type="character" w:customStyle="1" w:styleId="39">
    <w:name w:val="批注框文本 Char"/>
    <w:basedOn w:val="28"/>
    <w:link w:val="16"/>
    <w:semiHidden/>
    <w:qFormat/>
    <w:uiPriority w:val="0"/>
    <w:rPr>
      <w:sz w:val="18"/>
      <w:szCs w:val="18"/>
    </w:rPr>
  </w:style>
  <w:style w:type="character" w:customStyle="1" w:styleId="40">
    <w:name w:val="普通(网站) Char"/>
    <w:link w:val="22"/>
    <w:qFormat/>
    <w:locked/>
    <w:uiPriority w:val="0"/>
    <w:rPr>
      <w:rFonts w:ascii="宋体" w:hAnsi="宋体" w:eastAsia="宋体"/>
      <w:sz w:val="24"/>
    </w:rPr>
  </w:style>
  <w:style w:type="character" w:customStyle="1" w:styleId="41">
    <w:name w:val="批注文字 Char"/>
    <w:basedOn w:val="28"/>
    <w:link w:val="8"/>
    <w:qFormat/>
    <w:uiPriority w:val="99"/>
  </w:style>
  <w:style w:type="character" w:customStyle="1" w:styleId="42">
    <w:name w:val="批注主题 Char"/>
    <w:basedOn w:val="41"/>
    <w:link w:val="23"/>
    <w:semiHidden/>
    <w:qFormat/>
    <w:uiPriority w:val="0"/>
    <w:rPr>
      <w:b/>
      <w:bCs/>
    </w:rPr>
  </w:style>
  <w:style w:type="character" w:customStyle="1" w:styleId="43">
    <w:name w:val="正文文本缩进 Char"/>
    <w:basedOn w:val="28"/>
    <w:link w:val="11"/>
    <w:qFormat/>
    <w:uiPriority w:val="0"/>
    <w:rPr>
      <w:rFonts w:ascii="Times New Roman" w:hAnsi="Times New Roman" w:eastAsia="宋体" w:cs="Times New Roman"/>
      <w:kern w:val="0"/>
      <w:sz w:val="20"/>
      <w:szCs w:val="24"/>
    </w:rPr>
  </w:style>
  <w:style w:type="paragraph" w:customStyle="1" w:styleId="44">
    <w:name w:val="MFS正文 Char"/>
    <w:basedOn w:val="24"/>
    <w:qFormat/>
    <w:uiPriority w:val="0"/>
  </w:style>
  <w:style w:type="character" w:customStyle="1" w:styleId="45">
    <w:name w:val="正文文本 Char"/>
    <w:basedOn w:val="28"/>
    <w:link w:val="10"/>
    <w:qFormat/>
    <w:uiPriority w:val="0"/>
  </w:style>
  <w:style w:type="character" w:customStyle="1" w:styleId="46">
    <w:name w:val="正文首行缩进 Char"/>
    <w:basedOn w:val="45"/>
    <w:link w:val="24"/>
    <w:semiHidden/>
    <w:qFormat/>
    <w:uiPriority w:val="99"/>
  </w:style>
  <w:style w:type="character" w:customStyle="1" w:styleId="47">
    <w:name w:val="表格正文 Char"/>
    <w:link w:val="48"/>
    <w:qFormat/>
    <w:locked/>
    <w:uiPriority w:val="0"/>
    <w:rPr>
      <w:szCs w:val="24"/>
    </w:rPr>
  </w:style>
  <w:style w:type="paragraph" w:customStyle="1" w:styleId="48">
    <w:name w:val="表格正文"/>
    <w:basedOn w:val="1"/>
    <w:next w:val="1"/>
    <w:link w:val="47"/>
    <w:qFormat/>
    <w:uiPriority w:val="0"/>
    <w:pPr>
      <w:spacing w:line="360" w:lineRule="exact"/>
      <w:jc w:val="center"/>
    </w:pPr>
    <w:rPr>
      <w:szCs w:val="24"/>
    </w:rPr>
  </w:style>
  <w:style w:type="paragraph" w:customStyle="1" w:styleId="49">
    <w:name w:val="表内容"/>
    <w:basedOn w:val="1"/>
    <w:next w:val="1"/>
    <w:qFormat/>
    <w:uiPriority w:val="99"/>
    <w:pPr>
      <w:spacing w:line="320" w:lineRule="exact"/>
      <w:jc w:val="center"/>
    </w:pPr>
    <w:rPr>
      <w:rFonts w:ascii="Times New Roman" w:hAnsi="Times New Roman" w:eastAsia="宋体" w:cs="Times New Roman"/>
      <w:szCs w:val="20"/>
    </w:rPr>
  </w:style>
  <w:style w:type="character" w:customStyle="1" w:styleId="50">
    <w:name w:val="正文文本缩进 3 Char"/>
    <w:basedOn w:val="28"/>
    <w:link w:val="20"/>
    <w:semiHidden/>
    <w:qFormat/>
    <w:uiPriority w:val="99"/>
  </w:style>
  <w:style w:type="paragraph" w:customStyle="1" w:styleId="51">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2">
    <w:name w:val="中文报告书样式"/>
    <w:basedOn w:val="1"/>
    <w:qFormat/>
    <w:uiPriority w:val="0"/>
    <w:pPr>
      <w:widowControl/>
      <w:adjustRightInd w:val="0"/>
      <w:spacing w:line="480" w:lineRule="atLeast"/>
      <w:ind w:firstLine="482"/>
      <w:jc w:val="left"/>
    </w:pPr>
    <w:rPr>
      <w:rFonts w:ascii="黑体" w:hAnsi="黑体" w:eastAsia="宋体" w:cs="黑体"/>
      <w:kern w:val="24"/>
      <w:sz w:val="24"/>
      <w:szCs w:val="20"/>
    </w:rPr>
  </w:style>
  <w:style w:type="paragraph" w:customStyle="1" w:styleId="53">
    <w:name w:val="表格内格式"/>
    <w:basedOn w:val="1"/>
    <w:link w:val="54"/>
    <w:qFormat/>
    <w:uiPriority w:val="0"/>
    <w:pPr>
      <w:adjustRightInd w:val="0"/>
      <w:snapToGrid w:val="0"/>
      <w:spacing w:before="60"/>
      <w:jc w:val="center"/>
    </w:pPr>
    <w:rPr>
      <w:rFonts w:ascii="Times New Roman" w:hAnsi="Times New Roman" w:eastAsia="宋体" w:cs="宋体"/>
      <w:snapToGrid w:val="0"/>
      <w:kern w:val="0"/>
      <w:sz w:val="18"/>
      <w:szCs w:val="20"/>
    </w:rPr>
  </w:style>
  <w:style w:type="character" w:customStyle="1" w:styleId="54">
    <w:name w:val="表格内格式 Char"/>
    <w:link w:val="53"/>
    <w:qFormat/>
    <w:uiPriority w:val="0"/>
    <w:rPr>
      <w:rFonts w:ascii="Times New Roman" w:hAnsi="Times New Roman" w:eastAsia="宋体" w:cs="宋体"/>
      <w:snapToGrid w:val="0"/>
      <w:kern w:val="0"/>
      <w:sz w:val="18"/>
      <w:szCs w:val="20"/>
    </w:rPr>
  </w:style>
  <w:style w:type="character" w:customStyle="1" w:styleId="55">
    <w:name w:val="表格 Char"/>
    <w:link w:val="56"/>
    <w:qFormat/>
    <w:locked/>
    <w:uiPriority w:val="0"/>
    <w:rPr>
      <w:rFonts w:ascii="宋体"/>
    </w:rPr>
  </w:style>
  <w:style w:type="paragraph" w:customStyle="1" w:styleId="56">
    <w:name w:val="表格"/>
    <w:basedOn w:val="1"/>
    <w:next w:val="1"/>
    <w:link w:val="55"/>
    <w:qFormat/>
    <w:uiPriority w:val="0"/>
    <w:pPr>
      <w:adjustRightInd w:val="0"/>
      <w:snapToGrid w:val="0"/>
      <w:spacing w:beforeLines="10" w:afterLines="10" w:line="259" w:lineRule="auto"/>
      <w:jc w:val="center"/>
    </w:pPr>
    <w:rPr>
      <w:rFonts w:ascii="宋体"/>
    </w:rPr>
  </w:style>
  <w:style w:type="character" w:customStyle="1" w:styleId="57">
    <w:name w:val="2 表格内容 Char"/>
    <w:link w:val="58"/>
    <w:qFormat/>
    <w:uiPriority w:val="0"/>
    <w:rPr>
      <w:szCs w:val="21"/>
    </w:rPr>
  </w:style>
  <w:style w:type="paragraph" w:customStyle="1" w:styleId="58">
    <w:name w:val="2 表格内容"/>
    <w:basedOn w:val="1"/>
    <w:link w:val="57"/>
    <w:qFormat/>
    <w:uiPriority w:val="0"/>
    <w:pPr>
      <w:adjustRightInd w:val="0"/>
      <w:snapToGrid w:val="0"/>
      <w:spacing w:line="320" w:lineRule="exact"/>
      <w:jc w:val="center"/>
    </w:pPr>
    <w:rPr>
      <w:szCs w:val="21"/>
    </w:rPr>
  </w:style>
  <w:style w:type="character" w:customStyle="1" w:styleId="59">
    <w:name w:val="图表标注 Char"/>
    <w:link w:val="60"/>
    <w:qFormat/>
    <w:uiPriority w:val="0"/>
    <w:rPr>
      <w:rFonts w:eastAsia="黑体"/>
      <w:sz w:val="24"/>
    </w:rPr>
  </w:style>
  <w:style w:type="paragraph" w:customStyle="1" w:styleId="60">
    <w:name w:val="图表标注"/>
    <w:basedOn w:val="1"/>
    <w:link w:val="59"/>
    <w:qFormat/>
    <w:uiPriority w:val="0"/>
    <w:pPr>
      <w:spacing w:line="480" w:lineRule="exact"/>
      <w:jc w:val="center"/>
    </w:pPr>
    <w:rPr>
      <w:rFonts w:eastAsia="黑体"/>
      <w:sz w:val="24"/>
    </w:rPr>
  </w:style>
  <w:style w:type="character" w:customStyle="1" w:styleId="61">
    <w:name w:val="fontstyle01"/>
    <w:qFormat/>
    <w:uiPriority w:val="0"/>
    <w:rPr>
      <w:rFonts w:hint="eastAsia" w:ascii="宋体" w:hAnsi="宋体" w:eastAsia="宋体"/>
      <w:color w:val="000000"/>
      <w:sz w:val="24"/>
      <w:szCs w:val="24"/>
    </w:rPr>
  </w:style>
  <w:style w:type="paragraph" w:customStyle="1" w:styleId="62">
    <w:name w:val="Default"/>
    <w:basedOn w:val="63"/>
    <w:next w:val="12"/>
    <w:link w:val="65"/>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3">
    <w:name w:val="文本"/>
    <w:basedOn w:val="1"/>
    <w:next w:val="1"/>
    <w:qFormat/>
    <w:uiPriority w:val="0"/>
    <w:pPr>
      <w:adjustRightInd w:val="0"/>
      <w:snapToGrid w:val="0"/>
      <w:ind w:firstLine="960"/>
    </w:pPr>
  </w:style>
  <w:style w:type="paragraph" w:customStyle="1" w:styleId="64">
    <w:name w:val="标题2"/>
    <w:basedOn w:val="3"/>
    <w:qFormat/>
    <w:uiPriority w:val="0"/>
    <w:pPr>
      <w:numPr>
        <w:ilvl w:val="1"/>
        <w:numId w:val="1"/>
      </w:numPr>
      <w:spacing w:before="0" w:after="0" w:line="440" w:lineRule="exact"/>
    </w:pPr>
    <w:rPr>
      <w:kern w:val="0"/>
      <w:sz w:val="28"/>
    </w:rPr>
  </w:style>
  <w:style w:type="character" w:customStyle="1" w:styleId="65">
    <w:name w:val="Default Char Char"/>
    <w:link w:val="62"/>
    <w:qFormat/>
    <w:uiPriority w:val="0"/>
    <w:rPr>
      <w:rFonts w:ascii="宋体" w:hAnsi="Times New Roman" w:eastAsia="宋体" w:cs="宋体"/>
      <w:color w:val="000000"/>
      <w:kern w:val="0"/>
      <w:sz w:val="24"/>
      <w:szCs w:val="24"/>
    </w:rPr>
  </w:style>
  <w:style w:type="paragraph" w:customStyle="1" w:styleId="66">
    <w:name w:val="无间隔1"/>
    <w:qFormat/>
    <w:uiPriority w:val="1"/>
    <w:pPr>
      <w:widowControl w:val="0"/>
      <w:jc w:val="center"/>
    </w:pPr>
    <w:rPr>
      <w:rFonts w:ascii="Times New Roman" w:hAnsi="Times New Roman" w:eastAsia="宋体" w:cs="Times New Roman"/>
      <w:kern w:val="2"/>
      <w:sz w:val="21"/>
      <w:szCs w:val="24"/>
      <w:lang w:val="en-US" w:eastAsia="zh-CN" w:bidi="ar-SA"/>
    </w:rPr>
  </w:style>
  <w:style w:type="paragraph" w:styleId="67">
    <w:name w:val="List Paragraph"/>
    <w:basedOn w:val="1"/>
    <w:qFormat/>
    <w:uiPriority w:val="34"/>
    <w:pPr>
      <w:ind w:firstLine="420" w:firstLineChars="200"/>
    </w:pPr>
    <w:rPr>
      <w:rFonts w:ascii="Times New Roman" w:hAnsi="Times New Roman" w:eastAsia="宋体" w:cs="Times New Roman"/>
    </w:rPr>
  </w:style>
  <w:style w:type="character" w:customStyle="1" w:styleId="68">
    <w:name w:val="报告表正文 Char Char"/>
    <w:link w:val="69"/>
    <w:qFormat/>
    <w:uiPriority w:val="0"/>
    <w:rPr>
      <w:rFonts w:eastAsia="宋体"/>
      <w:sz w:val="24"/>
    </w:rPr>
  </w:style>
  <w:style w:type="paragraph" w:customStyle="1" w:styleId="69">
    <w:name w:val="报告表正文"/>
    <w:basedOn w:val="1"/>
    <w:link w:val="68"/>
    <w:qFormat/>
    <w:uiPriority w:val="0"/>
    <w:pPr>
      <w:adjustRightInd w:val="0"/>
      <w:spacing w:line="312" w:lineRule="auto"/>
      <w:ind w:left="113" w:right="113" w:firstLine="482"/>
      <w:jc w:val="left"/>
      <w:textAlignment w:val="baseline"/>
    </w:pPr>
    <w:rPr>
      <w:rFonts w:eastAsia="宋体"/>
      <w:sz w:val="24"/>
    </w:rPr>
  </w:style>
  <w:style w:type="paragraph" w:customStyle="1" w:styleId="70">
    <w:name w:val="表格内容"/>
    <w:basedOn w:val="1"/>
    <w:link w:val="71"/>
    <w:qFormat/>
    <w:uiPriority w:val="0"/>
    <w:pPr>
      <w:overflowPunct w:val="0"/>
      <w:adjustRightInd w:val="0"/>
      <w:spacing w:before="40" w:after="60" w:line="200" w:lineRule="atLeast"/>
      <w:textAlignment w:val="baseline"/>
    </w:pPr>
    <w:rPr>
      <w:rFonts w:ascii="Arial" w:hAnsi="Arial" w:eastAsia="仿宋_GB2312" w:cs="Times New Roman"/>
      <w:kern w:val="0"/>
      <w:sz w:val="24"/>
      <w:szCs w:val="20"/>
    </w:rPr>
  </w:style>
  <w:style w:type="character" w:customStyle="1" w:styleId="71">
    <w:name w:val="表格内容 Char Char"/>
    <w:link w:val="70"/>
    <w:qFormat/>
    <w:uiPriority w:val="0"/>
    <w:rPr>
      <w:rFonts w:ascii="Arial" w:hAnsi="Arial" w:eastAsia="仿宋_GB2312" w:cs="Times New Roman"/>
      <w:kern w:val="0"/>
      <w:sz w:val="24"/>
      <w:szCs w:val="20"/>
    </w:rPr>
  </w:style>
  <w:style w:type="character" w:customStyle="1" w:styleId="72">
    <w:name w:val="日期 Char"/>
    <w:basedOn w:val="28"/>
    <w:link w:val="15"/>
    <w:qFormat/>
    <w:uiPriority w:val="0"/>
    <w:rPr>
      <w:rFonts w:ascii="Times New Roman" w:hAnsi="Times New Roman" w:eastAsia="宋体" w:cs="Times New Roman"/>
      <w:kern w:val="0"/>
      <w:sz w:val="24"/>
      <w:szCs w:val="20"/>
    </w:rPr>
  </w:style>
  <w:style w:type="character" w:customStyle="1" w:styleId="73">
    <w:name w:val="普通(网站) Char1"/>
    <w:qFormat/>
    <w:locked/>
    <w:uiPriority w:val="0"/>
    <w:rPr>
      <w:rFonts w:ascii="宋体" w:hAnsi="宋体" w:eastAsia="宋体" w:cs="Times New Roman"/>
      <w:kern w:val="0"/>
      <w:sz w:val="24"/>
      <w:szCs w:val="20"/>
    </w:rPr>
  </w:style>
  <w:style w:type="character" w:customStyle="1" w:styleId="74">
    <w:name w:val="日期 字符"/>
    <w:basedOn w:val="28"/>
    <w:semiHidden/>
    <w:qFormat/>
    <w:uiPriority w:val="0"/>
    <w:rPr>
      <w:rFonts w:ascii="Times New Roman" w:hAnsi="Times New Roman" w:eastAsia="宋体" w:cs="Times New Roman"/>
      <w:sz w:val="24"/>
      <w:szCs w:val="24"/>
    </w:rPr>
  </w:style>
  <w:style w:type="character" w:customStyle="1" w:styleId="75">
    <w:name w:val="正文文本 字符1"/>
    <w:basedOn w:val="28"/>
    <w:semiHidden/>
    <w:qFormat/>
    <w:uiPriority w:val="0"/>
    <w:rPr>
      <w:rFonts w:ascii="Times New Roman" w:hAnsi="Times New Roman" w:eastAsia="宋体" w:cs="Times New Roman"/>
      <w:sz w:val="24"/>
      <w:szCs w:val="24"/>
    </w:rPr>
  </w:style>
  <w:style w:type="paragraph" w:customStyle="1" w:styleId="76">
    <w:name w:val="普通(网站)2"/>
    <w:basedOn w:val="1"/>
    <w:qFormat/>
    <w:uiPriority w:val="0"/>
    <w:pPr>
      <w:widowControl/>
      <w:spacing w:before="100" w:beforeAutospacing="1" w:after="100" w:afterAutospacing="1"/>
      <w:jc w:val="left"/>
    </w:pPr>
    <w:rPr>
      <w:rFonts w:ascii="宋体" w:hAnsi="宋体" w:eastAsia="宋体" w:cs="Times New Roman"/>
      <w:sz w:val="24"/>
      <w:szCs w:val="20"/>
    </w:rPr>
  </w:style>
  <w:style w:type="character" w:customStyle="1" w:styleId="77">
    <w:name w:val="批注文字 字符1"/>
    <w:basedOn w:val="28"/>
    <w:semiHidden/>
    <w:qFormat/>
    <w:uiPriority w:val="0"/>
    <w:rPr>
      <w:rFonts w:ascii="Times New Roman" w:hAnsi="Times New Roman" w:eastAsia="宋体" w:cs="Times New Roman"/>
      <w:sz w:val="24"/>
      <w:szCs w:val="24"/>
    </w:rPr>
  </w:style>
  <w:style w:type="character" w:customStyle="1" w:styleId="78">
    <w:name w:val="正文缩进 Char"/>
    <w:link w:val="7"/>
    <w:qFormat/>
    <w:uiPriority w:val="0"/>
    <w:rPr>
      <w:rFonts w:ascii="Times New Roman" w:hAnsi="Times New Roman" w:eastAsia="宋体" w:cs="Times New Roman"/>
      <w:sz w:val="28"/>
      <w:szCs w:val="24"/>
    </w:rPr>
  </w:style>
  <w:style w:type="character" w:customStyle="1" w:styleId="79">
    <w:name w:val="纯文本 Char"/>
    <w:basedOn w:val="28"/>
    <w:link w:val="14"/>
    <w:qFormat/>
    <w:uiPriority w:val="0"/>
    <w:rPr>
      <w:rFonts w:ascii="宋体" w:hAnsi="Courier New" w:eastAsia="宋体" w:cs="Times New Roman"/>
      <w:szCs w:val="24"/>
    </w:rPr>
  </w:style>
  <w:style w:type="character" w:customStyle="1" w:styleId="80">
    <w:name w:val="eia正文 Char"/>
    <w:link w:val="81"/>
    <w:unhideWhenUsed/>
    <w:qFormat/>
    <w:locked/>
    <w:uiPriority w:val="99"/>
    <w:rPr>
      <w:rFonts w:ascii="Calibri" w:hAnsi="Calibri"/>
      <w:color w:val="000000"/>
      <w:sz w:val="22"/>
      <w:lang w:val="sq-AL" w:eastAsia="en-US"/>
    </w:rPr>
  </w:style>
  <w:style w:type="paragraph" w:customStyle="1" w:styleId="81">
    <w:name w:val="eia正文"/>
    <w:basedOn w:val="1"/>
    <w:next w:val="1"/>
    <w:link w:val="80"/>
    <w:unhideWhenUsed/>
    <w:qFormat/>
    <w:uiPriority w:val="99"/>
    <w:pPr>
      <w:spacing w:line="360" w:lineRule="auto"/>
      <w:ind w:firstLine="200" w:firstLineChars="200"/>
      <w:jc w:val="left"/>
    </w:pPr>
    <w:rPr>
      <w:rFonts w:ascii="Calibri" w:hAnsi="Calibri"/>
      <w:color w:val="000000"/>
      <w:sz w:val="22"/>
      <w:lang w:val="sq-AL" w:eastAsia="en-US"/>
    </w:rPr>
  </w:style>
  <w:style w:type="paragraph" w:customStyle="1" w:styleId="82">
    <w:name w:val="正文部分"/>
    <w:basedOn w:val="1"/>
    <w:qFormat/>
    <w:uiPriority w:val="0"/>
    <w:pPr>
      <w:topLinePunct/>
      <w:adjustRightInd w:val="0"/>
      <w:snapToGrid w:val="0"/>
      <w:spacing w:line="360" w:lineRule="auto"/>
      <w:ind w:firstLine="480" w:firstLineChars="200"/>
    </w:pPr>
    <w:rPr>
      <w:rFonts w:ascii="Times New Roman" w:hAnsi="Times New Roman" w:eastAsia="宋体" w:cs="Times New Roman"/>
      <w:kern w:val="0"/>
      <w:sz w:val="24"/>
      <w:szCs w:val="24"/>
      <w:shd w:val="clear" w:color="auto" w:fill="FFFFFF"/>
      <w:lang w:val="zh-CN"/>
    </w:rPr>
  </w:style>
  <w:style w:type="paragraph" w:customStyle="1" w:styleId="83">
    <w:name w:val="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4">
    <w:name w:val="称呼 Char"/>
    <w:basedOn w:val="28"/>
    <w:link w:val="9"/>
    <w:qFormat/>
    <w:uiPriority w:val="0"/>
    <w:rPr>
      <w:rFonts w:ascii="Times New Roman" w:hAnsi="Times New Roman" w:eastAsia="宋体" w:cs="Times New Roman"/>
      <w:szCs w:val="24"/>
    </w:rPr>
  </w:style>
  <w:style w:type="character" w:customStyle="1" w:styleId="85">
    <w:name w:val="正文首行缩进 2 Char"/>
    <w:basedOn w:val="43"/>
    <w:link w:val="25"/>
    <w:qFormat/>
    <w:uiPriority w:val="0"/>
  </w:style>
  <w:style w:type="character" w:customStyle="1" w:styleId="86">
    <w:name w:val="注释标题 Char"/>
    <w:basedOn w:val="28"/>
    <w:link w:val="6"/>
    <w:qFormat/>
    <w:uiPriority w:val="99"/>
    <w:rPr>
      <w:rFonts w:ascii="Times New Roman" w:hAnsi="Times New Roman" w:eastAsia="宋体" w:cs="Times New Roman"/>
      <w:szCs w:val="24"/>
    </w:rPr>
  </w:style>
  <w:style w:type="character" w:customStyle="1" w:styleId="87">
    <w:name w:val="样式41 Char"/>
    <w:link w:val="88"/>
    <w:qFormat/>
    <w:uiPriority w:val="0"/>
    <w:rPr>
      <w:rFonts w:ascii="黑体" w:eastAsia="黑体"/>
      <w:sz w:val="24"/>
      <w:szCs w:val="24"/>
    </w:rPr>
  </w:style>
  <w:style w:type="paragraph" w:customStyle="1" w:styleId="88">
    <w:name w:val="样式41"/>
    <w:basedOn w:val="1"/>
    <w:link w:val="87"/>
    <w:qFormat/>
    <w:uiPriority w:val="0"/>
    <w:pPr>
      <w:spacing w:beforeLines="50" w:afterLines="50" w:line="400" w:lineRule="exact"/>
      <w:jc w:val="center"/>
    </w:pPr>
    <w:rPr>
      <w:rFonts w:ascii="黑体" w:eastAsia="黑体"/>
      <w:sz w:val="24"/>
      <w:szCs w:val="24"/>
    </w:rPr>
  </w:style>
  <w:style w:type="paragraph" w:customStyle="1" w:styleId="89">
    <w:name w:val="表头文字"/>
    <w:basedOn w:val="1"/>
    <w:qFormat/>
    <w:uiPriority w:val="0"/>
    <w:pPr>
      <w:spacing w:line="240" w:lineRule="atLeast"/>
      <w:jc w:val="center"/>
    </w:pPr>
    <w:rPr>
      <w:rFonts w:ascii="Times New Roman" w:hAnsi="Times New Roman" w:eastAsia="宋体" w:cs="Times New Roman"/>
      <w:position w:val="-10"/>
      <w:sz w:val="24"/>
    </w:rPr>
  </w:style>
  <w:style w:type="paragraph" w:customStyle="1" w:styleId="90">
    <w:name w:val="表格文字"/>
    <w:basedOn w:val="91"/>
    <w:next w:val="1"/>
    <w:qFormat/>
    <w:uiPriority w:val="0"/>
    <w:pPr>
      <w:widowControl/>
      <w:snapToGrid w:val="0"/>
      <w:spacing w:before="60" w:after="160" w:line="259" w:lineRule="auto"/>
      <w:ind w:right="113"/>
      <w:jc w:val="center"/>
    </w:pPr>
    <w:rPr>
      <w:rFonts w:ascii="仿宋_GB2312" w:hAnsi="Arial Black" w:eastAsia="仿宋_GB2312" w:cs="Times New Roman"/>
      <w:kern w:val="44"/>
      <w:sz w:val="24"/>
      <w:szCs w:val="20"/>
    </w:rPr>
  </w:style>
  <w:style w:type="paragraph" w:customStyle="1" w:styleId="91">
    <w:name w:val="图标"/>
    <w:basedOn w:val="1"/>
    <w:qFormat/>
    <w:uiPriority w:val="0"/>
    <w:pPr>
      <w:widowControl/>
      <w:spacing w:line="240" w:lineRule="auto"/>
      <w:ind w:firstLine="0" w:firstLineChars="0"/>
      <w:jc w:val="center"/>
    </w:pPr>
    <w:rPr>
      <w:rFonts w:ascii="Calibri" w:hAnsi="Calibri" w:eastAsia="仿宋" w:cs="宋体"/>
      <w:color w:val="000000"/>
      <w:kern w:val="0"/>
      <w:sz w:val="20"/>
      <w:szCs w:val="20"/>
    </w:rPr>
  </w:style>
  <w:style w:type="paragraph" w:customStyle="1" w:styleId="92">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93">
    <w:name w:val="批注文字 Char2"/>
    <w:qFormat/>
    <w:uiPriority w:val="99"/>
    <w:rPr>
      <w:szCs w:val="24"/>
    </w:rPr>
  </w:style>
  <w:style w:type="paragraph" w:customStyle="1" w:styleId="94">
    <w:name w:val="标准文本 首行缩进:2 字符 行距1倍"/>
    <w:basedOn w:val="1"/>
    <w:qFormat/>
    <w:uiPriority w:val="0"/>
    <w:pPr>
      <w:adjustRightInd w:val="0"/>
      <w:snapToGrid w:val="0"/>
      <w:spacing w:beforeLines="50" w:afterLines="50" w:line="400" w:lineRule="exact"/>
      <w:ind w:firstLine="482" w:firstLineChars="200"/>
      <w:jc w:val="center"/>
      <w:textAlignment w:val="center"/>
    </w:pPr>
    <w:rPr>
      <w:rFonts w:ascii="Times New Roman" w:hAnsi="Times New Roman" w:eastAsia="宋体" w:cs="宋体"/>
      <w:b/>
      <w:sz w:val="24"/>
      <w:szCs w:val="20"/>
    </w:rPr>
  </w:style>
  <w:style w:type="paragraph" w:customStyle="1" w:styleId="95">
    <w:name w:val="！正文"/>
    <w:basedOn w:val="1"/>
    <w:autoRedefine/>
    <w:qFormat/>
    <w:uiPriority w:val="0"/>
    <w:pPr>
      <w:spacing w:line="360" w:lineRule="auto"/>
      <w:ind w:firstLine="480" w:firstLineChars="200"/>
    </w:pPr>
    <w:rPr>
      <w:rFonts w:ascii="Times New Roman" w:hAnsi="Times New Roman" w:eastAsia="宋体" w:cs="Times New Roman"/>
      <w:color w:val="FF0000"/>
      <w:sz w:val="24"/>
      <w:szCs w:val="24"/>
    </w:rPr>
  </w:style>
  <w:style w:type="table" w:customStyle="1" w:styleId="96">
    <w:name w:val="三线表1"/>
    <w:basedOn w:val="26"/>
    <w:qFormat/>
    <w:uiPriority w:val="0"/>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97">
    <w:name w:val="表头"/>
    <w:basedOn w:val="63"/>
    <w:qFormat/>
    <w:uiPriority w:val="99"/>
    <w:pPr>
      <w:spacing w:line="420" w:lineRule="exact"/>
      <w:jc w:val="center"/>
    </w:pPr>
    <w:rPr>
      <w:rFonts w:hAnsi="宋体"/>
      <w:b/>
      <w:color w:val="000000"/>
      <w:position w:val="2"/>
      <w:sz w:val="24"/>
    </w:rPr>
  </w:style>
  <w:style w:type="paragraph" w:customStyle="1" w:styleId="98">
    <w:name w:val="4-正文"/>
    <w:basedOn w:val="1"/>
    <w:qFormat/>
    <w:uiPriority w:val="0"/>
    <w:pPr>
      <w:adjustRightInd w:val="0"/>
      <w:snapToGrid w:val="0"/>
      <w:spacing w:line="360" w:lineRule="auto"/>
      <w:ind w:firstLine="200" w:firstLineChars="200"/>
    </w:pPr>
    <w:rPr>
      <w:rFonts w:ascii="仿宋_GB2312" w:hAnsi="仿宋_GB2312"/>
      <w:kern w:val="2"/>
      <w:sz w:val="30"/>
      <w:szCs w:val="32"/>
    </w:rPr>
  </w:style>
  <w:style w:type="paragraph" w:customStyle="1" w:styleId="99">
    <w:name w:val="5-图表文字"/>
    <w:basedOn w:val="1"/>
    <w:qFormat/>
    <w:uiPriority w:val="0"/>
    <w:pPr>
      <w:adjustRightInd w:val="0"/>
      <w:snapToGrid w:val="0"/>
      <w:jc w:val="center"/>
    </w:pPr>
    <w:rPr>
      <w:rFonts w:ascii="仿宋_GB2312" w:hAnsi="仿宋_GB2312"/>
      <w:szCs w:val="32"/>
    </w:rPr>
  </w:style>
  <w:style w:type="paragraph" w:customStyle="1" w:styleId="100">
    <w:name w:val="2-三级标题"/>
    <w:basedOn w:val="1"/>
    <w:qFormat/>
    <w:uiPriority w:val="0"/>
    <w:pPr>
      <w:adjustRightInd w:val="0"/>
      <w:snapToGrid w:val="0"/>
      <w:spacing w:line="360" w:lineRule="auto"/>
      <w:ind w:firstLine="602" w:firstLineChars="200"/>
      <w:outlineLvl w:val="2"/>
    </w:pPr>
    <w:rPr>
      <w:rFonts w:ascii="楷体_GB2312" w:hAnsi="宋体" w:eastAsia="楷体_GB2312"/>
      <w:b/>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png"/><Relationship Id="rId17" Type="http://schemas.openxmlformats.org/officeDocument/2006/relationships/image" Target="media/image7.wmf"/><Relationship Id="rId16" Type="http://schemas.openxmlformats.org/officeDocument/2006/relationships/image" Target="media/image6.wmf"/><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65</Pages>
  <Words>110</Words>
  <Characters>113</Characters>
  <Lines>512</Lines>
  <Paragraphs>144</Paragraphs>
  <TotalTime>2</TotalTime>
  <ScaleCrop>false</ScaleCrop>
  <LinksUpToDate>false</LinksUpToDate>
  <CharactersWithSpaces>200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2024-07-15T07:04:00Z</dcterms:created>
  <dc:creator>c</dc:creator>
  <cp:lastModifiedBy>在水一方</cp:lastModifiedBy>
  <cp:lastPrinted>2023-01-30T01:16:00Z</cp:lastPrinted>
  <dcterms:modified xsi:type="dcterms:W3CDTF">2025-04-28T14:29:01Z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C72124FBB5244E038C620A25C58D9007_13</vt:lpwstr>
  </property>
  <property fmtid="{D5CDD505-2E9C-101B-9397-08002B2CF9AE}" pid="4" name="KSOTemplateDocerSaveRecord">
    <vt:lpwstr>eyJoZGlkIjoiNThkY2UxYmYxYmM2YjgyNmE1NDg3MWU5YTM2NWQzZTIiLCJ1c2VySWQiOiI2MDkwOTIzMDQifQ==</vt:lpwstr>
  </property>
</Properties>
</file>