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83AA39">
      <w:pPr>
        <w:rPr>
          <w:rFonts w:ascii="仿宋_GB2312" w:hAnsi="仿宋_GB2312" w:eastAsia="仿宋_GB2312" w:cs="仿宋_GB2312"/>
          <w:color w:val="auto"/>
          <w:sz w:val="36"/>
          <w:szCs w:val="36"/>
        </w:rPr>
      </w:pPr>
    </w:p>
    <w:p w14:paraId="0D34B25D">
      <w:pPr>
        <w:rPr>
          <w:rFonts w:ascii="仿宋_GB2312" w:hAnsi="仿宋_GB2312" w:eastAsia="仿宋_GB2312" w:cs="仿宋_GB2312"/>
          <w:color w:val="auto"/>
          <w:sz w:val="36"/>
          <w:szCs w:val="36"/>
        </w:rPr>
      </w:pPr>
    </w:p>
    <w:p w14:paraId="7AF8C850">
      <w:pPr>
        <w:rPr>
          <w:rFonts w:ascii="仿宋_GB2312" w:hAnsi="仿宋_GB2312" w:eastAsia="仿宋_GB2312" w:cs="仿宋_GB2312"/>
          <w:color w:val="auto"/>
          <w:sz w:val="36"/>
          <w:szCs w:val="36"/>
        </w:rPr>
      </w:pPr>
    </w:p>
    <w:p w14:paraId="07114934">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7E674F7D">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（生态影响类）</w:t>
      </w:r>
    </w:p>
    <w:p w14:paraId="3A8E7575">
      <w:pPr>
        <w:adjustRightInd w:val="0"/>
        <w:snapToGrid w:val="0"/>
        <w:spacing w:line="288" w:lineRule="auto"/>
        <w:jc w:val="center"/>
        <w:outlineLvl w:val="0"/>
        <w:rPr>
          <w:rFonts w:ascii="华文仿宋" w:hAnsi="华文仿宋" w:eastAsia="华文仿宋" w:cs="华文仿宋"/>
          <w:color w:val="auto"/>
          <w:kern w:val="44"/>
          <w:sz w:val="44"/>
          <w:szCs w:val="44"/>
        </w:rPr>
      </w:pPr>
      <w:bookmarkStart w:id="0" w:name="_Hlk57883728"/>
    </w:p>
    <w:p w14:paraId="033895A3">
      <w:pPr>
        <w:jc w:val="center"/>
        <w:rPr>
          <w:rFonts w:eastAsia="仿宋"/>
          <w:color w:val="auto"/>
          <w:sz w:val="52"/>
          <w:szCs w:val="52"/>
        </w:rPr>
      </w:pPr>
    </w:p>
    <w:p w14:paraId="28CDD09C">
      <w:pPr>
        <w:ind w:firstLine="1040"/>
        <w:rPr>
          <w:rFonts w:eastAsia="仿宋"/>
          <w:color w:val="auto"/>
          <w:sz w:val="44"/>
          <w:szCs w:val="44"/>
        </w:rPr>
      </w:pPr>
    </w:p>
    <w:p w14:paraId="0E394BDA">
      <w:pPr>
        <w:ind w:firstLine="1040"/>
        <w:rPr>
          <w:rFonts w:eastAsia="仿宋"/>
          <w:color w:val="auto"/>
          <w:sz w:val="44"/>
          <w:szCs w:val="44"/>
        </w:rPr>
      </w:pPr>
    </w:p>
    <w:p w14:paraId="0B323549">
      <w:pPr>
        <w:ind w:firstLine="1040"/>
        <w:rPr>
          <w:rFonts w:eastAsia="仿宋"/>
          <w:color w:val="auto"/>
          <w:sz w:val="44"/>
          <w:szCs w:val="44"/>
        </w:rPr>
      </w:pPr>
    </w:p>
    <w:p w14:paraId="436802B8">
      <w:pPr>
        <w:ind w:firstLine="1040"/>
        <w:rPr>
          <w:rFonts w:eastAsia="仿宋"/>
          <w:color w:val="auto"/>
          <w:sz w:val="44"/>
          <w:szCs w:val="44"/>
        </w:rPr>
      </w:pPr>
    </w:p>
    <w:bookmarkEnd w:id="0"/>
    <w:p w14:paraId="21FE7893">
      <w:pPr>
        <w:adjustRightInd w:val="0"/>
        <w:snapToGrid w:val="0"/>
        <w:spacing w:line="360" w:lineRule="auto"/>
        <w:ind w:left="2519" w:leftChars="495" w:hanging="1480"/>
        <w:rPr>
          <w:rFonts w:hint="eastAsia" w:ascii="宋体" w:hAnsi="宋体" w:cs="宋体"/>
          <w:color w:val="auto"/>
          <w:sz w:val="28"/>
          <w:szCs w:val="28"/>
          <w:u w:val="single"/>
        </w:rPr>
      </w:pPr>
      <w:r>
        <w:rPr>
          <w:rFonts w:hint="eastAsia" w:ascii="宋体" w:hAnsi="宋体" w:cs="宋体"/>
          <w:color w:val="auto"/>
          <w:sz w:val="28"/>
          <w:szCs w:val="28"/>
        </w:rPr>
        <w:t>项目名称：</w:t>
      </w:r>
      <w:r>
        <w:rPr>
          <w:rFonts w:hint="eastAsia" w:ascii="宋体" w:hAnsi="宋体" w:cs="宋体"/>
          <w:color w:val="auto"/>
          <w:sz w:val="28"/>
          <w:szCs w:val="28"/>
          <w:u w:val="single"/>
          <w:lang w:eastAsia="zh-CN"/>
        </w:rPr>
        <w:t xml:space="preserve"> 淮南矿区深部松软低透煤层高瓦斯压力治理工程潘一煤矿21324工作面地面预抽井项目</w:t>
      </w:r>
      <w:r>
        <w:rPr>
          <w:rFonts w:hint="eastAsia" w:ascii="宋体" w:hAnsi="宋体" w:cs="宋体"/>
          <w:color w:val="auto"/>
          <w:sz w:val="28"/>
          <w:szCs w:val="28"/>
          <w:u w:val="single"/>
        </w:rPr>
        <w:t xml:space="preserve">                       </w:t>
      </w:r>
    </w:p>
    <w:p w14:paraId="3DE91426">
      <w:pPr>
        <w:adjustRightInd w:val="0"/>
        <w:snapToGrid w:val="0"/>
        <w:spacing w:line="360" w:lineRule="auto"/>
        <w:ind w:firstLine="1040"/>
        <w:rPr>
          <w:rFonts w:hint="eastAsia" w:ascii="宋体" w:hAnsi="宋体" w:cs="宋体"/>
          <w:color w:val="auto"/>
          <w:sz w:val="28"/>
          <w:szCs w:val="28"/>
          <w:u w:val="single"/>
        </w:rPr>
      </w:pPr>
      <w:r>
        <w:rPr>
          <w:rFonts w:hint="eastAsia" w:ascii="宋体" w:hAnsi="宋体" w:cs="宋体"/>
          <w:color w:val="auto"/>
          <w:sz w:val="28"/>
          <w:szCs w:val="28"/>
        </w:rPr>
        <w:t>建设单位（盖章）：</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eastAsia="zh-CN"/>
        </w:rPr>
        <w:t>淮南矿业集团煤层气开发利用有限公司</w:t>
      </w:r>
      <w:r>
        <w:rPr>
          <w:rFonts w:hint="eastAsia" w:ascii="宋体" w:hAnsi="宋体" w:cs="宋体"/>
          <w:color w:val="auto"/>
          <w:sz w:val="28"/>
          <w:szCs w:val="28"/>
          <w:u w:val="single"/>
        </w:rPr>
        <w:t xml:space="preserve">                 </w:t>
      </w:r>
    </w:p>
    <w:p w14:paraId="62221430">
      <w:pPr>
        <w:adjustRightInd w:val="0"/>
        <w:snapToGrid w:val="0"/>
        <w:spacing w:line="360" w:lineRule="auto"/>
        <w:ind w:firstLine="1040"/>
        <w:rPr>
          <w:rFonts w:hint="eastAsia" w:ascii="宋体" w:hAnsi="宋体" w:cs="宋体"/>
          <w:color w:val="auto"/>
          <w:sz w:val="28"/>
          <w:szCs w:val="28"/>
          <w:u w:val="single"/>
        </w:rPr>
      </w:pPr>
      <w:r>
        <w:rPr>
          <w:rFonts w:hint="eastAsia" w:ascii="宋体" w:hAnsi="宋体" w:cs="宋体"/>
          <w:color w:val="auto"/>
          <w:sz w:val="28"/>
          <w:szCs w:val="28"/>
        </w:rPr>
        <w:t xml:space="preserve">编制日期： </w:t>
      </w:r>
      <w:r>
        <w:rPr>
          <w:rFonts w:hint="eastAsia" w:ascii="宋体" w:hAnsi="宋体" w:cs="宋体"/>
          <w:color w:val="auto"/>
          <w:sz w:val="28"/>
          <w:szCs w:val="28"/>
          <w:u w:val="single"/>
        </w:rPr>
        <w:t xml:space="preserve">            二零二</w:t>
      </w:r>
      <w:r>
        <w:rPr>
          <w:rFonts w:hint="eastAsia" w:ascii="宋体" w:hAnsi="宋体" w:cs="宋体"/>
          <w:color w:val="auto"/>
          <w:sz w:val="28"/>
          <w:szCs w:val="28"/>
          <w:u w:val="single"/>
          <w:lang w:eastAsia="zh-CN"/>
        </w:rPr>
        <w:t>五</w:t>
      </w:r>
      <w:r>
        <w:rPr>
          <w:rFonts w:hint="eastAsia" w:ascii="宋体" w:hAnsi="宋体" w:cs="宋体"/>
          <w:color w:val="auto"/>
          <w:sz w:val="28"/>
          <w:szCs w:val="28"/>
          <w:u w:val="single"/>
        </w:rPr>
        <w:t>年</w:t>
      </w:r>
      <w:r>
        <w:rPr>
          <w:rFonts w:hint="eastAsia" w:ascii="宋体" w:hAnsi="宋体" w:cs="宋体"/>
          <w:color w:val="auto"/>
          <w:sz w:val="28"/>
          <w:szCs w:val="28"/>
          <w:u w:val="single"/>
          <w:lang w:eastAsia="zh-CN"/>
        </w:rPr>
        <w:t>四</w:t>
      </w:r>
      <w:r>
        <w:rPr>
          <w:rFonts w:hint="eastAsia" w:ascii="宋体" w:hAnsi="宋体" w:cs="宋体"/>
          <w:color w:val="auto"/>
          <w:sz w:val="28"/>
          <w:szCs w:val="28"/>
          <w:u w:val="single"/>
        </w:rPr>
        <w:t xml:space="preserve">月                                 </w:t>
      </w:r>
    </w:p>
    <w:p w14:paraId="02FC6F1B">
      <w:pPr>
        <w:adjustRightInd w:val="0"/>
        <w:snapToGrid w:val="0"/>
        <w:spacing w:line="288" w:lineRule="auto"/>
        <w:ind w:firstLine="1040"/>
        <w:rPr>
          <w:rFonts w:ascii="仿宋_GB2312" w:eastAsia="仿宋_GB2312"/>
          <w:color w:val="auto"/>
          <w:sz w:val="36"/>
          <w:szCs w:val="36"/>
          <w:u w:val="single"/>
        </w:rPr>
      </w:pPr>
    </w:p>
    <w:p w14:paraId="51548D0E">
      <w:pPr>
        <w:adjustRightInd w:val="0"/>
        <w:snapToGrid w:val="0"/>
        <w:spacing w:line="288" w:lineRule="auto"/>
        <w:ind w:firstLine="1040"/>
        <w:rPr>
          <w:rFonts w:ascii="仿宋_GB2312" w:eastAsia="仿宋_GB2312"/>
          <w:color w:val="auto"/>
          <w:sz w:val="36"/>
          <w:szCs w:val="36"/>
        </w:rPr>
      </w:pPr>
    </w:p>
    <w:p w14:paraId="75A4C3C1">
      <w:pPr>
        <w:adjustRightInd w:val="0"/>
        <w:snapToGrid w:val="0"/>
        <w:spacing w:line="288" w:lineRule="auto"/>
        <w:ind w:firstLine="1040"/>
        <w:rPr>
          <w:rFonts w:ascii="仿宋_GB2312" w:eastAsia="仿宋_GB2312"/>
          <w:color w:val="auto"/>
          <w:sz w:val="36"/>
          <w:szCs w:val="36"/>
        </w:rPr>
      </w:pPr>
    </w:p>
    <w:p w14:paraId="1EED1784">
      <w:pPr>
        <w:adjustRightInd w:val="0"/>
        <w:snapToGrid w:val="0"/>
        <w:spacing w:line="288" w:lineRule="auto"/>
        <w:ind w:firstLine="1040"/>
        <w:rPr>
          <w:rFonts w:hint="eastAsia" w:ascii="仿宋_GB2312" w:eastAsia="仿宋_GB2312"/>
          <w:color w:val="auto"/>
          <w:sz w:val="36"/>
          <w:szCs w:val="36"/>
        </w:rPr>
      </w:pPr>
    </w:p>
    <w:p w14:paraId="1019E046">
      <w:pPr>
        <w:adjustRightInd w:val="0"/>
        <w:snapToGrid w:val="0"/>
        <w:spacing w:line="288" w:lineRule="auto"/>
        <w:ind w:firstLine="1040"/>
        <w:rPr>
          <w:rFonts w:hint="eastAsia" w:ascii="仿宋_GB2312" w:eastAsia="仿宋_GB2312"/>
          <w:color w:val="auto"/>
          <w:sz w:val="36"/>
          <w:szCs w:val="36"/>
        </w:rPr>
      </w:pPr>
    </w:p>
    <w:p w14:paraId="2F8F22E6">
      <w:pPr>
        <w:adjustRightInd w:val="0"/>
        <w:snapToGrid w:val="0"/>
        <w:spacing w:line="288" w:lineRule="auto"/>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14:paraId="4D8FD30B">
      <w:pPr>
        <w:adjustRightInd w:val="0"/>
        <w:snapToGrid w:val="0"/>
        <w:spacing w:line="288" w:lineRule="auto"/>
        <w:ind w:firstLine="1040"/>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14:paraId="1CF95ADC">
      <w:pPr>
        <w:widowControl/>
        <w:spacing w:before="100" w:beforeAutospacing="1" w:after="100" w:afterAutospacing="1"/>
        <w:jc w:val="center"/>
        <w:outlineLvl w:val="0"/>
        <w:rPr>
          <w:rFonts w:ascii="黑体" w:hAnsi="黑体" w:eastAsia="黑体" w:cs="Times New Roman"/>
          <w:snapToGrid w:val="0"/>
          <w:color w:val="000000" w:themeColor="text1"/>
          <w:kern w:val="0"/>
          <w:sz w:val="30"/>
          <w:szCs w:val="30"/>
          <w14:textFill>
            <w14:solidFill>
              <w14:schemeClr w14:val="tx1"/>
            </w14:solidFill>
          </w14:textFill>
        </w:rPr>
      </w:pPr>
      <w:r>
        <w:rPr>
          <w:rFonts w:hint="eastAsia" w:ascii="黑体" w:hAnsi="黑体" w:eastAsia="黑体" w:cs="Times New Roman"/>
          <w:snapToGrid w:val="0"/>
          <w:color w:val="000000" w:themeColor="text1"/>
          <w:kern w:val="0"/>
          <w:sz w:val="30"/>
          <w:szCs w:val="30"/>
          <w14:textFill>
            <w14:solidFill>
              <w14:schemeClr w14:val="tx1"/>
            </w14:solidFill>
          </w14:textFill>
        </w:rPr>
        <w:t>一、建设项目基本情况</w:t>
      </w:r>
    </w:p>
    <w:tbl>
      <w:tblPr>
        <w:tblStyle w:val="25"/>
        <w:tblW w:w="498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12"/>
        <w:gridCol w:w="3020"/>
        <w:gridCol w:w="2185"/>
        <w:gridCol w:w="2718"/>
      </w:tblGrid>
      <w:tr w14:paraId="37D8A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6" w:hRule="atLeast"/>
        </w:trPr>
        <w:tc>
          <w:tcPr>
            <w:tcW w:w="579" w:type="pct"/>
            <w:tcMar>
              <w:top w:w="16" w:type="dxa"/>
              <w:left w:w="16" w:type="dxa"/>
              <w:right w:w="16" w:type="dxa"/>
            </w:tcMar>
            <w:vAlign w:val="center"/>
          </w:tcPr>
          <w:p w14:paraId="33D28603">
            <w:pPr>
              <w:spacing w:line="360" w:lineRule="auto"/>
              <w:jc w:val="center"/>
              <w:rPr>
                <w:rFonts w:ascii="Times New Roman" w:hAnsi="宋体"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建设项目名称</w:t>
            </w:r>
          </w:p>
        </w:tc>
        <w:tc>
          <w:tcPr>
            <w:tcW w:w="4420" w:type="pct"/>
            <w:gridSpan w:val="3"/>
            <w:vAlign w:val="center"/>
          </w:tcPr>
          <w:p w14:paraId="3CA6A5F4">
            <w:pPr>
              <w:spacing w:line="360" w:lineRule="auto"/>
              <w:jc w:val="center"/>
              <w:rPr>
                <w:rFonts w:hint="eastAsia" w:ascii="Times New Roman" w:hAnsi="宋体" w:eastAsia="宋体" w:cs="Times New Roman"/>
                <w:color w:val="000000" w:themeColor="text1"/>
                <w:sz w:val="24"/>
                <w:szCs w:val="24"/>
                <w:lang w:eastAsia="zh-CN"/>
                <w14:textFill>
                  <w14:solidFill>
                    <w14:schemeClr w14:val="tx1"/>
                  </w14:solidFill>
                </w14:textFill>
              </w:rPr>
            </w:pPr>
            <w:r>
              <w:rPr>
                <w:rFonts w:hint="eastAsia" w:ascii="Times New Roman" w:hAnsi="宋体" w:eastAsia="宋体" w:cs="Times New Roman"/>
                <w:color w:val="000000" w:themeColor="text1"/>
                <w:sz w:val="24"/>
                <w:szCs w:val="24"/>
                <w:lang w:eastAsia="zh-CN"/>
                <w14:textFill>
                  <w14:solidFill>
                    <w14:schemeClr w14:val="tx1"/>
                  </w14:solidFill>
                </w14:textFill>
              </w:rPr>
              <w:t xml:space="preserve"> 淮南矿区深部松软低透煤层高瓦斯压力治理工程潘一煤矿21324工作面地面预抽井项目</w:t>
            </w:r>
          </w:p>
        </w:tc>
      </w:tr>
      <w:tr w14:paraId="6ADB8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79" w:type="pct"/>
            <w:tcMar>
              <w:top w:w="16" w:type="dxa"/>
              <w:left w:w="16" w:type="dxa"/>
              <w:right w:w="16" w:type="dxa"/>
            </w:tcMar>
            <w:vAlign w:val="center"/>
          </w:tcPr>
          <w:p w14:paraId="27C7C423">
            <w:pPr>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项目代码</w:t>
            </w:r>
          </w:p>
        </w:tc>
        <w:tc>
          <w:tcPr>
            <w:tcW w:w="4420" w:type="pct"/>
            <w:gridSpan w:val="3"/>
            <w:vAlign w:val="center"/>
          </w:tcPr>
          <w:p w14:paraId="209A22A4">
            <w:pPr>
              <w:spacing w:line="360" w:lineRule="auto"/>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2502</w:t>
            </w:r>
            <w:r>
              <w:rPr>
                <w:rFonts w:hint="eastAsia" w:ascii="Times New Roman" w:hAnsi="Times New Roman" w:eastAsia="宋体" w:cs="Times New Roman"/>
                <w:color w:val="000000" w:themeColor="text1"/>
                <w:sz w:val="24"/>
                <w:szCs w:val="24"/>
                <w:lang w:eastAsia="zh-CN"/>
                <w14:textFill>
                  <w14:solidFill>
                    <w14:schemeClr w14:val="tx1"/>
                  </w14:solidFill>
                </w14:textFill>
              </w:rPr>
              <w:t>-3404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06</w:t>
            </w:r>
            <w:r>
              <w:rPr>
                <w:rFonts w:hint="eastAsia" w:ascii="Times New Roman" w:hAnsi="Times New Roman" w:eastAsia="宋体" w:cs="Times New Roman"/>
                <w:color w:val="000000" w:themeColor="text1"/>
                <w:sz w:val="24"/>
                <w:szCs w:val="24"/>
                <w:lang w:eastAsia="zh-CN"/>
                <w14:textFill>
                  <w14:solidFill>
                    <w14:schemeClr w14:val="tx1"/>
                  </w14:solidFill>
                </w14:textFill>
              </w:rPr>
              <w:t>-04-0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454467</w:t>
            </w:r>
          </w:p>
        </w:tc>
      </w:tr>
      <w:tr w14:paraId="6F37C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579" w:type="pct"/>
            <w:tcMar>
              <w:top w:w="16" w:type="dxa"/>
              <w:left w:w="16" w:type="dxa"/>
              <w:right w:w="16" w:type="dxa"/>
            </w:tcMar>
            <w:vAlign w:val="center"/>
          </w:tcPr>
          <w:p w14:paraId="77E46832">
            <w:pPr>
              <w:spacing w:line="360" w:lineRule="auto"/>
              <w:jc w:val="center"/>
              <w:rPr>
                <w:rFonts w:ascii="Times New Roman" w:hAnsi="宋体"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建设单位联系人</w:t>
            </w:r>
          </w:p>
        </w:tc>
        <w:tc>
          <w:tcPr>
            <w:tcW w:w="1685" w:type="pct"/>
            <w:vAlign w:val="center"/>
          </w:tcPr>
          <w:p w14:paraId="0B1761C4">
            <w:pPr>
              <w:spacing w:line="360" w:lineRule="auto"/>
              <w:jc w:val="center"/>
              <w:rPr>
                <w:rFonts w:hint="default" w:ascii="Times New Roman" w:hAnsi="宋体" w:eastAsia="宋体" w:cs="Times New Roman"/>
                <w:color w:val="000000" w:themeColor="text1"/>
                <w:sz w:val="24"/>
                <w:szCs w:val="24"/>
                <w:lang w:val="en-US" w:eastAsia="zh-CN"/>
                <w14:textFill>
                  <w14:solidFill>
                    <w14:schemeClr w14:val="tx1"/>
                  </w14:solidFill>
                </w14:textFill>
              </w:rPr>
            </w:pPr>
            <w:r>
              <w:rPr>
                <w:rFonts w:hint="eastAsia" w:ascii="Times New Roman" w:hAnsi="宋体" w:eastAsia="宋体" w:cs="Times New Roman"/>
                <w:color w:val="000000" w:themeColor="text1"/>
                <w:sz w:val="24"/>
                <w:szCs w:val="24"/>
                <w:lang w:val="en-US" w:eastAsia="zh-CN"/>
                <w14:textFill>
                  <w14:solidFill>
                    <w14:schemeClr w14:val="tx1"/>
                  </w14:solidFill>
                </w14:textFill>
              </w:rPr>
              <w:t>***</w:t>
            </w:r>
          </w:p>
        </w:tc>
        <w:tc>
          <w:tcPr>
            <w:tcW w:w="1219" w:type="pct"/>
            <w:vAlign w:val="center"/>
          </w:tcPr>
          <w:p w14:paraId="00145B62">
            <w:pPr>
              <w:spacing w:line="360" w:lineRule="auto"/>
              <w:jc w:val="center"/>
              <w:rPr>
                <w:rFonts w:ascii="Times New Roman" w:hAnsi="宋体"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联系方式</w:t>
            </w:r>
          </w:p>
        </w:tc>
        <w:tc>
          <w:tcPr>
            <w:tcW w:w="1516" w:type="pct"/>
            <w:vAlign w:val="center"/>
          </w:tcPr>
          <w:p w14:paraId="1517CEE6">
            <w:pPr>
              <w:spacing w:line="360" w:lineRule="auto"/>
              <w:jc w:val="center"/>
              <w:rPr>
                <w:rFonts w:hint="default" w:ascii="Times New Roman" w:hAnsi="宋体" w:eastAsia="宋体" w:cs="Times New Roman"/>
                <w:color w:val="000000" w:themeColor="text1"/>
                <w:sz w:val="24"/>
                <w:szCs w:val="24"/>
                <w:lang w:val="en-US" w:eastAsia="zh-CN"/>
                <w14:textFill>
                  <w14:solidFill>
                    <w14:schemeClr w14:val="tx1"/>
                  </w14:solidFill>
                </w14:textFill>
              </w:rPr>
            </w:pPr>
            <w:r>
              <w:rPr>
                <w:rFonts w:hint="eastAsia" w:ascii="Times New Roman" w:hAnsi="宋体" w:eastAsia="宋体" w:cs="Times New Roman"/>
                <w:color w:val="000000" w:themeColor="text1"/>
                <w:sz w:val="24"/>
                <w:szCs w:val="24"/>
                <w:lang w:val="en-US" w:eastAsia="zh-CN"/>
                <w14:textFill>
                  <w14:solidFill>
                    <w14:schemeClr w14:val="tx1"/>
                  </w14:solidFill>
                </w14:textFill>
              </w:rPr>
              <w:t>****</w:t>
            </w:r>
          </w:p>
        </w:tc>
      </w:tr>
      <w:tr w14:paraId="2E032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579" w:type="pct"/>
            <w:tcMar>
              <w:top w:w="16" w:type="dxa"/>
              <w:left w:w="16" w:type="dxa"/>
              <w:right w:w="16" w:type="dxa"/>
            </w:tcMar>
            <w:vAlign w:val="center"/>
          </w:tcPr>
          <w:p w14:paraId="080D0640">
            <w:pPr>
              <w:spacing w:line="360" w:lineRule="auto"/>
              <w:jc w:val="center"/>
              <w:rPr>
                <w:rFonts w:ascii="Times New Roman" w:hAnsi="宋体"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建设地点</w:t>
            </w:r>
          </w:p>
        </w:tc>
        <w:tc>
          <w:tcPr>
            <w:tcW w:w="4420" w:type="pct"/>
            <w:gridSpan w:val="3"/>
            <w:vAlign w:val="center"/>
          </w:tcPr>
          <w:p w14:paraId="28C50F4C">
            <w:pPr>
              <w:spacing w:line="360" w:lineRule="auto"/>
              <w:jc w:val="center"/>
              <w:rPr>
                <w:rFonts w:hint="eastAsia" w:ascii="Times New Roman" w:hAnsi="宋体" w:eastAsia="宋体" w:cs="Times New Roman"/>
                <w:color w:val="000000" w:themeColor="text1"/>
                <w:sz w:val="24"/>
                <w:szCs w:val="24"/>
                <w:lang w:eastAsia="zh-CN"/>
                <w14:textFill>
                  <w14:solidFill>
                    <w14:schemeClr w14:val="tx1"/>
                  </w14:solidFill>
                </w14:textFill>
              </w:rPr>
            </w:pPr>
            <w:r>
              <w:rPr>
                <w:rFonts w:hint="eastAsia" w:ascii="Times New Roman" w:hAnsi="宋体" w:eastAsia="宋体" w:cs="Times New Roman"/>
                <w:color w:val="000000"/>
                <w:sz w:val="24"/>
                <w:szCs w:val="24"/>
              </w:rPr>
              <w:t>安徽省</w:t>
            </w:r>
            <w:r>
              <w:rPr>
                <w:rFonts w:hint="eastAsia" w:ascii="Times New Roman" w:hAnsi="宋体" w:eastAsia="宋体" w:cs="Times New Roman"/>
                <w:color w:val="000000"/>
                <w:sz w:val="24"/>
                <w:szCs w:val="24"/>
                <w:lang w:eastAsia="zh-CN"/>
              </w:rPr>
              <w:t>淮南市潘集区夹沟镇新集村附近</w:t>
            </w:r>
          </w:p>
        </w:tc>
      </w:tr>
      <w:tr w14:paraId="084EDB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579" w:type="pct"/>
            <w:tcMar>
              <w:top w:w="16" w:type="dxa"/>
              <w:left w:w="16" w:type="dxa"/>
              <w:right w:w="16" w:type="dxa"/>
            </w:tcMar>
            <w:vAlign w:val="center"/>
          </w:tcPr>
          <w:p w14:paraId="668666CC">
            <w:pPr>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地理坐标</w:t>
            </w:r>
          </w:p>
        </w:tc>
        <w:tc>
          <w:tcPr>
            <w:tcW w:w="4420" w:type="pct"/>
            <w:gridSpan w:val="3"/>
            <w:vAlign w:val="center"/>
          </w:tcPr>
          <w:p w14:paraId="449AE062">
            <w:pPr>
              <w:spacing w:line="360" w:lineRule="auto"/>
              <w:jc w:val="center"/>
            </w:pPr>
            <w:r>
              <w:rPr>
                <w:rFonts w:hint="eastAsia" w:ascii="Times New Roman" w:hAnsi="宋体" w:eastAsia="宋体" w:cs="Times New Roman"/>
                <w:color w:val="auto"/>
                <w:sz w:val="24"/>
                <w:szCs w:val="24"/>
                <w:highlight w:val="none"/>
              </w:rPr>
              <w:t xml:space="preserve">中心坐标E </w:t>
            </w:r>
            <w:r>
              <w:rPr>
                <w:rFonts w:hint="eastAsia" w:ascii="Times New Roman" w:hAnsi="Times New Roman" w:eastAsia="宋体" w:cs="Times New Roman"/>
                <w:color w:val="auto"/>
                <w:sz w:val="24"/>
                <w:szCs w:val="24"/>
                <w:highlight w:val="none"/>
                <w:u w:val="single"/>
              </w:rPr>
              <w:t>116</w:t>
            </w:r>
            <w:r>
              <w:rPr>
                <w:rFonts w:ascii="Times New Roman" w:hAnsi="宋体" w:eastAsia="宋体" w:cs="Times New Roman"/>
                <w:color w:val="auto"/>
                <w:sz w:val="24"/>
                <w:szCs w:val="24"/>
                <w:highlight w:val="none"/>
              </w:rPr>
              <w:t>度</w:t>
            </w:r>
            <w:r>
              <w:rPr>
                <w:rFonts w:hint="eastAsia" w:ascii="Times New Roman" w:hAnsi="Times New Roman" w:eastAsia="宋体" w:cs="Times New Roman"/>
                <w:color w:val="auto"/>
                <w:sz w:val="24"/>
                <w:szCs w:val="24"/>
                <w:highlight w:val="none"/>
                <w:u w:val="single"/>
                <w:lang w:val="en-US" w:eastAsia="zh-CN"/>
              </w:rPr>
              <w:t>55</w:t>
            </w:r>
            <w:r>
              <w:rPr>
                <w:rFonts w:ascii="Times New Roman" w:hAnsi="宋体" w:eastAsia="宋体" w:cs="Times New Roman"/>
                <w:color w:val="auto"/>
                <w:sz w:val="24"/>
                <w:szCs w:val="24"/>
                <w:highlight w:val="none"/>
              </w:rPr>
              <w:t>分</w:t>
            </w:r>
            <w:r>
              <w:rPr>
                <w:rFonts w:hint="eastAsia" w:ascii="Times New Roman" w:hAnsi="Times New Roman" w:eastAsia="宋体" w:cs="Times New Roman"/>
                <w:color w:val="auto"/>
                <w:sz w:val="24"/>
                <w:szCs w:val="24"/>
                <w:highlight w:val="none"/>
                <w:u w:val="single"/>
                <w:lang w:val="en-US" w:eastAsia="zh-CN"/>
              </w:rPr>
              <w:t>9.149</w:t>
            </w:r>
            <w:r>
              <w:rPr>
                <w:rFonts w:ascii="Times New Roman" w:hAnsi="宋体" w:eastAsia="宋体" w:cs="Times New Roman"/>
                <w:color w:val="auto"/>
                <w:sz w:val="24"/>
                <w:szCs w:val="24"/>
                <w:highlight w:val="none"/>
              </w:rPr>
              <w:t>秒，</w:t>
            </w:r>
            <w:r>
              <w:rPr>
                <w:rFonts w:hint="eastAsia" w:ascii="Times New Roman" w:hAnsi="宋体" w:eastAsia="宋体" w:cs="Times New Roman"/>
                <w:color w:val="auto"/>
                <w:sz w:val="24"/>
                <w:szCs w:val="24"/>
                <w:highlight w:val="none"/>
              </w:rPr>
              <w:t xml:space="preserve">N </w:t>
            </w:r>
            <w:r>
              <w:rPr>
                <w:rFonts w:hint="eastAsia" w:ascii="Times New Roman" w:hAnsi="Times New Roman" w:eastAsia="宋体" w:cs="Times New Roman"/>
                <w:color w:val="auto"/>
                <w:sz w:val="24"/>
                <w:szCs w:val="24"/>
                <w:highlight w:val="none"/>
                <w:u w:val="single"/>
              </w:rPr>
              <w:t>3</w:t>
            </w:r>
            <w:r>
              <w:rPr>
                <w:rFonts w:hint="eastAsia" w:ascii="Times New Roman" w:hAnsi="Times New Roman" w:eastAsia="宋体" w:cs="Times New Roman"/>
                <w:color w:val="auto"/>
                <w:sz w:val="24"/>
                <w:szCs w:val="24"/>
                <w:highlight w:val="none"/>
                <w:u w:val="single"/>
                <w:lang w:val="en-US" w:eastAsia="zh-CN"/>
              </w:rPr>
              <w:t>2</w:t>
            </w:r>
            <w:r>
              <w:rPr>
                <w:rFonts w:ascii="Times New Roman" w:hAnsi="宋体" w:eastAsia="宋体" w:cs="Times New Roman"/>
                <w:color w:val="auto"/>
                <w:sz w:val="24"/>
                <w:szCs w:val="24"/>
                <w:highlight w:val="none"/>
              </w:rPr>
              <w:t>度</w:t>
            </w:r>
            <w:r>
              <w:rPr>
                <w:rFonts w:hint="eastAsia" w:ascii="Times New Roman" w:hAnsi="Times New Roman" w:eastAsia="宋体" w:cs="Times New Roman"/>
                <w:color w:val="auto"/>
                <w:sz w:val="24"/>
                <w:szCs w:val="24"/>
                <w:highlight w:val="none"/>
                <w:u w:val="single"/>
                <w:lang w:val="en-US" w:eastAsia="zh-CN"/>
              </w:rPr>
              <w:t>46</w:t>
            </w:r>
            <w:r>
              <w:rPr>
                <w:rFonts w:ascii="Times New Roman" w:hAnsi="宋体" w:eastAsia="宋体" w:cs="Times New Roman"/>
                <w:color w:val="auto"/>
                <w:sz w:val="24"/>
                <w:szCs w:val="24"/>
                <w:highlight w:val="none"/>
              </w:rPr>
              <w:t>分</w:t>
            </w:r>
            <w:r>
              <w:rPr>
                <w:rFonts w:hint="eastAsia" w:ascii="Times New Roman" w:hAnsi="Times New Roman" w:eastAsia="宋体" w:cs="Times New Roman"/>
                <w:color w:val="auto"/>
                <w:sz w:val="24"/>
                <w:szCs w:val="24"/>
                <w:highlight w:val="none"/>
                <w:u w:val="single"/>
                <w:lang w:val="en-US" w:eastAsia="zh-CN"/>
              </w:rPr>
              <w:t>20.196</w:t>
            </w:r>
            <w:r>
              <w:rPr>
                <w:rFonts w:ascii="Times New Roman" w:hAnsi="宋体" w:eastAsia="宋体" w:cs="Times New Roman"/>
                <w:color w:val="auto"/>
                <w:sz w:val="24"/>
                <w:szCs w:val="24"/>
                <w:highlight w:val="none"/>
              </w:rPr>
              <w:t>秒</w:t>
            </w:r>
          </w:p>
        </w:tc>
      </w:tr>
      <w:tr w14:paraId="7D3983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579" w:type="pct"/>
            <w:tcMar>
              <w:top w:w="16" w:type="dxa"/>
              <w:left w:w="16" w:type="dxa"/>
              <w:right w:w="16" w:type="dxa"/>
            </w:tcMar>
            <w:vAlign w:val="center"/>
          </w:tcPr>
          <w:p w14:paraId="31A364D3">
            <w:pPr>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建设项目</w:t>
            </w:r>
          </w:p>
          <w:p w14:paraId="68019126">
            <w:pPr>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行业类别</w:t>
            </w:r>
          </w:p>
        </w:tc>
        <w:tc>
          <w:tcPr>
            <w:tcW w:w="1685" w:type="pct"/>
            <w:vAlign w:val="center"/>
          </w:tcPr>
          <w:p w14:paraId="20394BC2">
            <w:pPr>
              <w:keepNext w:val="0"/>
              <w:keepLines w:val="0"/>
              <w:widowControl/>
              <w:suppressLineNumbers w:val="0"/>
              <w:jc w:val="left"/>
              <w:rPr>
                <w:rFonts w:ascii="Times New Roman" w:hAnsi="Times New Roman" w:eastAsia="宋体" w:cs="Times New Roman"/>
                <w:color w:val="000000" w:themeColor="text1"/>
                <w:sz w:val="24"/>
                <w:szCs w:val="24"/>
                <w:highlight w:val="yellow"/>
                <w14:textFill>
                  <w14:solidFill>
                    <w14:schemeClr w14:val="tx1"/>
                  </w14:solidFill>
                </w14:textFill>
              </w:rPr>
            </w:pPr>
            <w:r>
              <w:rPr>
                <w:rFonts w:hint="eastAsia" w:ascii="宋体" w:hAnsi="宋体" w:eastAsia="宋体" w:cs="宋体"/>
                <w:color w:val="000000"/>
                <w:kern w:val="0"/>
                <w:sz w:val="24"/>
                <w:szCs w:val="24"/>
                <w:lang w:val="en-US" w:eastAsia="zh-CN" w:bidi="ar"/>
              </w:rPr>
              <w:t>四、煤炭开采和洗选业</w:t>
            </w:r>
            <w:r>
              <w:rPr>
                <w:rFonts w:hint="default" w:ascii="Times New Roman" w:hAnsi="Times New Roman" w:eastAsia="宋体" w:cs="Times New Roman"/>
                <w:color w:val="000000"/>
                <w:kern w:val="0"/>
                <w:sz w:val="24"/>
                <w:szCs w:val="24"/>
                <w:lang w:val="en-US" w:eastAsia="zh-CN" w:bidi="ar"/>
              </w:rPr>
              <w:t>06</w:t>
            </w:r>
            <w:r>
              <w:rPr>
                <w:rFonts w:hint="eastAsia" w:ascii="宋体" w:hAnsi="宋体" w:eastAsia="宋体" w:cs="宋体"/>
                <w:color w:val="000000"/>
                <w:kern w:val="0"/>
                <w:sz w:val="24"/>
                <w:szCs w:val="24"/>
                <w:lang w:val="en-US" w:eastAsia="zh-CN" w:bidi="ar"/>
              </w:rPr>
              <w:t>中“</w:t>
            </w:r>
            <w:r>
              <w:rPr>
                <w:rFonts w:hint="default" w:ascii="Times New Roman" w:hAnsi="Times New Roman" w:eastAsia="宋体" w:cs="Times New Roman"/>
                <w:color w:val="000000"/>
                <w:kern w:val="0"/>
                <w:sz w:val="24"/>
                <w:szCs w:val="24"/>
                <w:lang w:val="en-US" w:eastAsia="zh-CN" w:bidi="ar"/>
              </w:rPr>
              <w:t xml:space="preserve">6 </w:t>
            </w:r>
            <w:r>
              <w:rPr>
                <w:rFonts w:hint="eastAsia" w:ascii="宋体" w:hAnsi="宋体" w:eastAsia="宋体" w:cs="宋体"/>
                <w:color w:val="000000"/>
                <w:kern w:val="0"/>
                <w:sz w:val="24"/>
                <w:szCs w:val="24"/>
                <w:lang w:val="en-US" w:eastAsia="zh-CN" w:bidi="ar"/>
              </w:rPr>
              <w:t xml:space="preserve">烟煤和无烟煤开采选洗 </w:t>
            </w:r>
            <w:r>
              <w:rPr>
                <w:rFonts w:hint="default" w:ascii="Times New Roman" w:hAnsi="Times New Roman" w:eastAsia="宋体" w:cs="Times New Roman"/>
                <w:color w:val="000000"/>
                <w:kern w:val="0"/>
                <w:sz w:val="24"/>
                <w:szCs w:val="24"/>
                <w:lang w:val="en-US" w:eastAsia="zh-CN" w:bidi="ar"/>
              </w:rPr>
              <w:t>061</w:t>
            </w:r>
            <w:r>
              <w:rPr>
                <w:rFonts w:hint="eastAsia" w:ascii="宋体" w:hAnsi="宋体" w:eastAsia="宋体" w:cs="宋体"/>
                <w:color w:val="000000"/>
                <w:kern w:val="0"/>
                <w:sz w:val="24"/>
                <w:szCs w:val="24"/>
                <w:lang w:val="en-US" w:eastAsia="zh-CN" w:bidi="ar"/>
              </w:rPr>
              <w:t>”中 “风井场地、瓦斯抽放站”</w:t>
            </w:r>
          </w:p>
        </w:tc>
        <w:tc>
          <w:tcPr>
            <w:tcW w:w="1219" w:type="pct"/>
            <w:vAlign w:val="center"/>
          </w:tcPr>
          <w:p w14:paraId="62914F36">
            <w:pPr>
              <w:spacing w:line="360" w:lineRule="auto"/>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宋体" w:eastAsia="宋体" w:cs="Times New Roman"/>
                <w:color w:val="000000" w:themeColor="text1"/>
                <w:sz w:val="24"/>
                <w:szCs w:val="24"/>
                <w:highlight w:val="none"/>
                <w14:textFill>
                  <w14:solidFill>
                    <w14:schemeClr w14:val="tx1"/>
                  </w14:solidFill>
                </w14:textFill>
              </w:rPr>
              <w:t>用地（用海）面积（</w:t>
            </w:r>
            <w:r>
              <w:rPr>
                <w:rFonts w:ascii="Times New Roman" w:hAnsi="Times New Roman" w:eastAsia="宋体" w:cs="Times New Roman"/>
                <w:color w:val="000000" w:themeColor="text1"/>
                <w:sz w:val="24"/>
                <w:szCs w:val="24"/>
                <w:highlight w:val="none"/>
                <w14:textFill>
                  <w14:solidFill>
                    <w14:schemeClr w14:val="tx1"/>
                  </w14:solidFill>
                </w14:textFill>
              </w:rPr>
              <w:t>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ascii="Times New Roman" w:hAnsi="宋体"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宋体" w:eastAsia="宋体" w:cs="Times New Roman"/>
                <w:color w:val="000000" w:themeColor="text1"/>
                <w:sz w:val="24"/>
                <w:szCs w:val="24"/>
                <w:highlight w:val="none"/>
                <w14:textFill>
                  <w14:solidFill>
                    <w14:schemeClr w14:val="tx1"/>
                  </w14:solidFill>
                </w14:textFill>
              </w:rPr>
              <w:t>长度（</w:t>
            </w:r>
            <w:r>
              <w:rPr>
                <w:rFonts w:ascii="Times New Roman" w:hAnsi="Times New Roman" w:eastAsia="宋体" w:cs="Times New Roman"/>
                <w:color w:val="000000" w:themeColor="text1"/>
                <w:sz w:val="24"/>
                <w:szCs w:val="24"/>
                <w:highlight w:val="none"/>
                <w14:textFill>
                  <w14:solidFill>
                    <w14:schemeClr w14:val="tx1"/>
                  </w14:solidFill>
                </w14:textFill>
              </w:rPr>
              <w:t>km</w:t>
            </w:r>
            <w:r>
              <w:rPr>
                <w:rFonts w:ascii="Times New Roman" w:hAnsi="宋体" w:eastAsia="宋体" w:cs="Times New Roman"/>
                <w:color w:val="000000" w:themeColor="text1"/>
                <w:sz w:val="24"/>
                <w:szCs w:val="24"/>
                <w:highlight w:val="none"/>
                <w14:textFill>
                  <w14:solidFill>
                    <w14:schemeClr w14:val="tx1"/>
                  </w14:solidFill>
                </w14:textFill>
              </w:rPr>
              <w:t>）</w:t>
            </w:r>
          </w:p>
        </w:tc>
        <w:tc>
          <w:tcPr>
            <w:tcW w:w="1516" w:type="pct"/>
            <w:vAlign w:val="center"/>
          </w:tcPr>
          <w:p w14:paraId="3EEBE719">
            <w:pPr>
              <w:spacing w:line="360" w:lineRule="auto"/>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宋体" w:eastAsia="宋体" w:cs="Times New Roman"/>
                <w:color w:val="000000" w:themeColor="text1"/>
                <w:sz w:val="24"/>
                <w:szCs w:val="24"/>
                <w:highlight w:val="none"/>
                <w:lang w:val="en-US" w:eastAsia="zh-CN"/>
                <w14:textFill>
                  <w14:solidFill>
                    <w14:schemeClr w14:val="tx1"/>
                  </w14:solidFill>
                </w14:textFill>
              </w:rPr>
              <w:t>8265m</w:t>
            </w:r>
            <w:r>
              <w:rPr>
                <w:rFonts w:hint="eastAsia" w:ascii="Times New Roman" w:hAnsi="宋体"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（临时用地）</w:t>
            </w:r>
          </w:p>
        </w:tc>
      </w:tr>
      <w:tr w14:paraId="193EC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579" w:type="pct"/>
            <w:tcMar>
              <w:top w:w="16" w:type="dxa"/>
              <w:left w:w="16" w:type="dxa"/>
              <w:right w:w="16" w:type="dxa"/>
            </w:tcMar>
            <w:vAlign w:val="center"/>
          </w:tcPr>
          <w:p w14:paraId="2CEB8AAB">
            <w:pPr>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建设性质</w:t>
            </w:r>
          </w:p>
        </w:tc>
        <w:tc>
          <w:tcPr>
            <w:tcW w:w="1685" w:type="pct"/>
            <w:vAlign w:val="center"/>
          </w:tcPr>
          <w:p w14:paraId="3DB138D0">
            <w:pPr>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sym w:font="Wingdings 2" w:char="F052"/>
            </w:r>
            <w:r>
              <w:rPr>
                <w:rFonts w:ascii="Times New Roman" w:hAnsi="Times New Roman" w:eastAsia="宋体" w:cs="Times New Roman"/>
                <w:color w:val="000000" w:themeColor="text1"/>
                <w:sz w:val="24"/>
                <w:szCs w:val="24"/>
                <w14:textFill>
                  <w14:solidFill>
                    <w14:schemeClr w14:val="tx1"/>
                  </w14:solidFill>
                </w14:textFill>
              </w:rPr>
              <w:t>新建（迁建）</w:t>
            </w:r>
          </w:p>
          <w:p w14:paraId="594BA5AD">
            <w:pPr>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sym w:font="Wingdings 2" w:char="F0A3"/>
            </w:r>
            <w:r>
              <w:rPr>
                <w:rFonts w:ascii="Times New Roman" w:hAnsi="宋体" w:eastAsia="宋体" w:cs="Times New Roman"/>
                <w:color w:val="000000" w:themeColor="text1"/>
                <w:sz w:val="24"/>
                <w:szCs w:val="24"/>
                <w14:textFill>
                  <w14:solidFill>
                    <w14:schemeClr w14:val="tx1"/>
                  </w14:solidFill>
                </w14:textFill>
              </w:rPr>
              <w:t>改建</w:t>
            </w:r>
            <w:r>
              <w:rPr>
                <w:rFonts w:hint="eastAsia" w:ascii="Times New Roman" w:hAnsi="宋体" w:eastAsia="宋体" w:cs="Times New Roman"/>
                <w:color w:val="000000" w:themeColor="text1"/>
                <w:sz w:val="24"/>
                <w:szCs w:val="24"/>
                <w14:textFill>
                  <w14:solidFill>
                    <w14:schemeClr w14:val="tx1"/>
                  </w14:solidFill>
                </w14:textFill>
              </w:rPr>
              <w:t xml:space="preserve"> </w:t>
            </w:r>
          </w:p>
          <w:p w14:paraId="080DBAA8">
            <w:pPr>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w:t>
            </w:r>
            <w:r>
              <w:rPr>
                <w:rFonts w:ascii="Times New Roman" w:hAnsi="宋体" w:eastAsia="宋体" w:cs="Times New Roman"/>
                <w:color w:val="000000" w:themeColor="text1"/>
                <w:sz w:val="24"/>
                <w:szCs w:val="24"/>
                <w14:textFill>
                  <w14:solidFill>
                    <w14:schemeClr w14:val="tx1"/>
                  </w14:solidFill>
                </w14:textFill>
              </w:rPr>
              <w:t>扩建</w:t>
            </w:r>
          </w:p>
          <w:p w14:paraId="371FFA4B">
            <w:pPr>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w:t>
            </w:r>
            <w:r>
              <w:rPr>
                <w:rFonts w:ascii="Times New Roman" w:hAnsi="宋体" w:eastAsia="宋体" w:cs="Times New Roman"/>
                <w:color w:val="000000" w:themeColor="text1"/>
                <w:sz w:val="24"/>
                <w:szCs w:val="24"/>
                <w14:textFill>
                  <w14:solidFill>
                    <w14:schemeClr w14:val="tx1"/>
                  </w14:solidFill>
                </w14:textFill>
              </w:rPr>
              <w:t>技术改造</w:t>
            </w:r>
          </w:p>
        </w:tc>
        <w:tc>
          <w:tcPr>
            <w:tcW w:w="1219" w:type="pct"/>
            <w:vAlign w:val="center"/>
          </w:tcPr>
          <w:p w14:paraId="78B32C54">
            <w:pPr>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建设项目</w:t>
            </w:r>
          </w:p>
          <w:p w14:paraId="768C61FC">
            <w:pPr>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申报情形</w:t>
            </w:r>
          </w:p>
        </w:tc>
        <w:tc>
          <w:tcPr>
            <w:tcW w:w="1516" w:type="pct"/>
            <w:vAlign w:val="center"/>
          </w:tcPr>
          <w:p w14:paraId="75AF6124">
            <w:pPr>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sym w:font="Wingdings 2" w:char="F052"/>
            </w:r>
            <w:r>
              <w:rPr>
                <w:rFonts w:ascii="Times New Roman" w:hAnsi="Times New Roman" w:eastAsia="宋体" w:cs="Times New Roman"/>
                <w:color w:val="000000" w:themeColor="text1"/>
                <w:sz w:val="24"/>
                <w:szCs w:val="24"/>
                <w14:textFill>
                  <w14:solidFill>
                    <w14:schemeClr w14:val="tx1"/>
                  </w14:solidFill>
                </w14:textFill>
              </w:rPr>
              <w:t>首次申报项目</w:t>
            </w:r>
          </w:p>
          <w:p w14:paraId="36050E0A">
            <w:pPr>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w:t>
            </w:r>
            <w:r>
              <w:rPr>
                <w:rFonts w:ascii="Times New Roman" w:hAnsi="宋体" w:eastAsia="宋体" w:cs="Times New Roman"/>
                <w:color w:val="000000" w:themeColor="text1"/>
                <w:sz w:val="24"/>
                <w:szCs w:val="24"/>
                <w14:textFill>
                  <w14:solidFill>
                    <w14:schemeClr w14:val="tx1"/>
                  </w14:solidFill>
                </w14:textFill>
              </w:rPr>
              <w:t>不予批准后再次申报项目</w:t>
            </w:r>
          </w:p>
          <w:p w14:paraId="7EC2562B">
            <w:pPr>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w:t>
            </w:r>
            <w:r>
              <w:rPr>
                <w:rFonts w:ascii="Times New Roman" w:hAnsi="宋体" w:eastAsia="宋体" w:cs="Times New Roman"/>
                <w:color w:val="000000" w:themeColor="text1"/>
                <w:sz w:val="24"/>
                <w:szCs w:val="24"/>
                <w14:textFill>
                  <w14:solidFill>
                    <w14:schemeClr w14:val="tx1"/>
                  </w14:solidFill>
                </w14:textFill>
              </w:rPr>
              <w:t>超五年重新审核项目</w:t>
            </w:r>
          </w:p>
          <w:p w14:paraId="13771E20">
            <w:pPr>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w:t>
            </w:r>
            <w:r>
              <w:rPr>
                <w:rFonts w:ascii="Times New Roman" w:hAnsi="宋体" w:eastAsia="宋体" w:cs="Times New Roman"/>
                <w:color w:val="000000" w:themeColor="text1"/>
                <w:sz w:val="24"/>
                <w:szCs w:val="24"/>
                <w14:textFill>
                  <w14:solidFill>
                    <w14:schemeClr w14:val="tx1"/>
                  </w14:solidFill>
                </w14:textFill>
              </w:rPr>
              <w:t>重大变动重新报批项目</w:t>
            </w:r>
          </w:p>
        </w:tc>
      </w:tr>
      <w:tr w14:paraId="6C6692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579" w:type="pct"/>
            <w:tcMar>
              <w:top w:w="16" w:type="dxa"/>
              <w:left w:w="16" w:type="dxa"/>
              <w:right w:w="16" w:type="dxa"/>
            </w:tcMar>
            <w:vAlign w:val="center"/>
          </w:tcPr>
          <w:p w14:paraId="31CBE7A8">
            <w:pPr>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项目审批（核准</w:t>
            </w:r>
            <w:r>
              <w:rPr>
                <w:rFonts w:ascii="Times New Roman" w:hAnsi="Times New Roman" w:eastAsia="宋体" w:cs="Times New Roman"/>
                <w:color w:val="000000" w:themeColor="text1"/>
                <w:sz w:val="24"/>
                <w:szCs w:val="24"/>
                <w14:textFill>
                  <w14:solidFill>
                    <w14:schemeClr w14:val="tx1"/>
                  </w14:solidFill>
                </w14:textFill>
              </w:rPr>
              <w:t>/</w:t>
            </w:r>
          </w:p>
          <w:p w14:paraId="3F18DEF7">
            <w:pPr>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备案）部门（选填）</w:t>
            </w:r>
          </w:p>
        </w:tc>
        <w:tc>
          <w:tcPr>
            <w:tcW w:w="1685" w:type="pct"/>
            <w:vAlign w:val="center"/>
          </w:tcPr>
          <w:p w14:paraId="2E2258B0">
            <w:pPr>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淮南</w:t>
            </w:r>
            <w:r>
              <w:rPr>
                <w:rFonts w:hint="eastAsia" w:ascii="Times New Roman" w:hAnsi="Times New Roman" w:eastAsia="宋体" w:cs="Times New Roman"/>
                <w:color w:val="000000" w:themeColor="text1"/>
                <w:sz w:val="24"/>
                <w:szCs w:val="24"/>
                <w:lang w:eastAsia="zh-CN"/>
                <w14:textFill>
                  <w14:solidFill>
                    <w14:schemeClr w14:val="tx1"/>
                  </w14:solidFill>
                </w14:textFill>
              </w:rPr>
              <w:t>市潘集区</w:t>
            </w:r>
            <w:r>
              <w:rPr>
                <w:rFonts w:ascii="Times New Roman" w:hAnsi="Times New Roman" w:eastAsia="宋体" w:cs="Times New Roman"/>
                <w:color w:val="000000" w:themeColor="text1"/>
                <w:sz w:val="24"/>
                <w:szCs w:val="24"/>
                <w14:textFill>
                  <w14:solidFill>
                    <w14:schemeClr w14:val="tx1"/>
                  </w14:solidFill>
                </w14:textFill>
              </w:rPr>
              <w:t>发展和改革委员会</w:t>
            </w:r>
          </w:p>
        </w:tc>
        <w:tc>
          <w:tcPr>
            <w:tcW w:w="1219" w:type="pct"/>
            <w:vAlign w:val="center"/>
          </w:tcPr>
          <w:p w14:paraId="42CA115E">
            <w:pPr>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项目审批（核准</w:t>
            </w:r>
            <w:r>
              <w:rPr>
                <w:rFonts w:ascii="Times New Roman" w:hAnsi="Times New Roman" w:eastAsia="宋体" w:cs="Times New Roman"/>
                <w:color w:val="000000" w:themeColor="text1"/>
                <w:sz w:val="24"/>
                <w:szCs w:val="24"/>
                <w14:textFill>
                  <w14:solidFill>
                    <w14:schemeClr w14:val="tx1"/>
                  </w14:solidFill>
                </w14:textFill>
              </w:rPr>
              <w:t>/</w:t>
            </w:r>
          </w:p>
          <w:p w14:paraId="6FFECAB6">
            <w:pPr>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备案）文号（选填）</w:t>
            </w:r>
          </w:p>
        </w:tc>
        <w:tc>
          <w:tcPr>
            <w:tcW w:w="1516" w:type="pct"/>
            <w:vAlign w:val="center"/>
          </w:tcPr>
          <w:p w14:paraId="479B2FEA">
            <w:pPr>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w:t>
            </w:r>
          </w:p>
        </w:tc>
      </w:tr>
      <w:tr w14:paraId="7F132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579" w:type="pct"/>
            <w:tcMar>
              <w:top w:w="16" w:type="dxa"/>
              <w:left w:w="16" w:type="dxa"/>
              <w:right w:w="16" w:type="dxa"/>
            </w:tcMar>
            <w:vAlign w:val="center"/>
          </w:tcPr>
          <w:p w14:paraId="40D34827">
            <w:pPr>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总投资（万元）</w:t>
            </w:r>
          </w:p>
        </w:tc>
        <w:tc>
          <w:tcPr>
            <w:tcW w:w="1685" w:type="pct"/>
            <w:vAlign w:val="center"/>
          </w:tcPr>
          <w:p w14:paraId="7531CCC0">
            <w:pPr>
              <w:spacing w:line="36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10036</w:t>
            </w:r>
          </w:p>
        </w:tc>
        <w:tc>
          <w:tcPr>
            <w:tcW w:w="1219" w:type="pct"/>
            <w:tcMar>
              <w:top w:w="16" w:type="dxa"/>
              <w:left w:w="16" w:type="dxa"/>
              <w:right w:w="16" w:type="dxa"/>
            </w:tcMar>
            <w:vAlign w:val="center"/>
          </w:tcPr>
          <w:p w14:paraId="4C3B2564">
            <w:pPr>
              <w:spacing w:line="360" w:lineRule="auto"/>
              <w:jc w:val="center"/>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环保投资（万元）</w:t>
            </w:r>
          </w:p>
        </w:tc>
        <w:tc>
          <w:tcPr>
            <w:tcW w:w="1516" w:type="pct"/>
            <w:vAlign w:val="center"/>
          </w:tcPr>
          <w:p w14:paraId="7FAB05A0">
            <w:pPr>
              <w:spacing w:line="36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61</w:t>
            </w:r>
          </w:p>
        </w:tc>
      </w:tr>
      <w:tr w14:paraId="462AC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579" w:type="pct"/>
            <w:tcMar>
              <w:top w:w="16" w:type="dxa"/>
              <w:left w:w="16" w:type="dxa"/>
              <w:right w:w="16" w:type="dxa"/>
            </w:tcMar>
            <w:vAlign w:val="center"/>
          </w:tcPr>
          <w:p w14:paraId="084D7629">
            <w:pPr>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环保投资占比（</w:t>
            </w:r>
            <w:r>
              <w:rPr>
                <w:rFonts w:ascii="Times New Roman" w:hAnsi="Times New Roman" w:eastAsia="宋体" w:cs="Times New Roman"/>
                <w:color w:val="000000" w:themeColor="text1"/>
                <w:sz w:val="24"/>
                <w:szCs w:val="24"/>
                <w14:textFill>
                  <w14:solidFill>
                    <w14:schemeClr w14:val="tx1"/>
                  </w14:solidFill>
                </w14:textFill>
              </w:rPr>
              <w:t>%</w:t>
            </w:r>
            <w:r>
              <w:rPr>
                <w:rFonts w:ascii="Times New Roman" w:hAnsi="宋体" w:eastAsia="宋体" w:cs="Times New Roman"/>
                <w:color w:val="000000" w:themeColor="text1"/>
                <w:sz w:val="24"/>
                <w:szCs w:val="24"/>
                <w14:textFill>
                  <w14:solidFill>
                    <w14:schemeClr w14:val="tx1"/>
                  </w14:solidFill>
                </w14:textFill>
              </w:rPr>
              <w:t>）</w:t>
            </w:r>
          </w:p>
        </w:tc>
        <w:tc>
          <w:tcPr>
            <w:tcW w:w="1685" w:type="pct"/>
            <w:vAlign w:val="center"/>
          </w:tcPr>
          <w:p w14:paraId="679E3E42">
            <w:pPr>
              <w:spacing w:line="36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0.61</w:t>
            </w:r>
          </w:p>
        </w:tc>
        <w:tc>
          <w:tcPr>
            <w:tcW w:w="1219" w:type="pct"/>
            <w:tcMar>
              <w:top w:w="16" w:type="dxa"/>
              <w:left w:w="16" w:type="dxa"/>
              <w:right w:w="16" w:type="dxa"/>
            </w:tcMar>
            <w:vAlign w:val="center"/>
          </w:tcPr>
          <w:p w14:paraId="4CEB32E5">
            <w:pPr>
              <w:spacing w:line="360" w:lineRule="auto"/>
              <w:jc w:val="center"/>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施工工期</w:t>
            </w:r>
          </w:p>
        </w:tc>
        <w:tc>
          <w:tcPr>
            <w:tcW w:w="1516" w:type="pct"/>
            <w:vAlign w:val="center"/>
          </w:tcPr>
          <w:p w14:paraId="1D12FA67">
            <w:pPr>
              <w:spacing w:line="360" w:lineRule="auto"/>
              <w:jc w:val="center"/>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28</w:t>
            </w:r>
            <w:r>
              <w:rPr>
                <w:rFonts w:hint="eastAsia" w:ascii="Times New Roman" w:hAnsi="Times New Roman" w:eastAsia="宋体" w:cs="Times New Roman"/>
                <w:color w:val="auto"/>
                <w:sz w:val="24"/>
                <w:szCs w:val="24"/>
                <w:highlight w:val="none"/>
              </w:rPr>
              <w:t>个月</w:t>
            </w:r>
          </w:p>
        </w:tc>
      </w:tr>
      <w:tr w14:paraId="28B4FF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579" w:type="pct"/>
            <w:tcMar>
              <w:top w:w="16" w:type="dxa"/>
              <w:left w:w="16" w:type="dxa"/>
              <w:right w:w="16" w:type="dxa"/>
            </w:tcMar>
            <w:vAlign w:val="center"/>
          </w:tcPr>
          <w:p w14:paraId="13AC8CEC">
            <w:pPr>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是否开工建设</w:t>
            </w:r>
          </w:p>
        </w:tc>
        <w:tc>
          <w:tcPr>
            <w:tcW w:w="4420" w:type="pct"/>
            <w:gridSpan w:val="3"/>
            <w:vAlign w:val="center"/>
          </w:tcPr>
          <w:p w14:paraId="40049216">
            <w:pPr>
              <w:spacing w:line="360" w:lineRule="auto"/>
              <w:ind w:firstLine="105"/>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sym w:font="Wingdings 2" w:char="0052"/>
            </w:r>
            <w:r>
              <w:rPr>
                <w:rFonts w:ascii="Times New Roman" w:hAnsi="Times New Roman" w:eastAsia="宋体" w:cs="Times New Roman"/>
                <w:color w:val="000000" w:themeColor="text1"/>
                <w:sz w:val="24"/>
                <w:szCs w:val="24"/>
                <w14:textFill>
                  <w14:solidFill>
                    <w14:schemeClr w14:val="tx1"/>
                  </w14:solidFill>
                </w14:textFill>
              </w:rPr>
              <w:t>否</w:t>
            </w:r>
          </w:p>
          <w:p w14:paraId="06DD6CF6">
            <w:pPr>
              <w:spacing w:line="360" w:lineRule="auto"/>
              <w:ind w:firstLine="92"/>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w:t>
            </w:r>
            <w:r>
              <w:rPr>
                <w:rFonts w:ascii="Times New Roman" w:hAnsi="宋体" w:eastAsia="宋体" w:cs="Times New Roman"/>
                <w:color w:val="000000" w:themeColor="text1"/>
                <w:sz w:val="24"/>
                <w:szCs w:val="24"/>
                <w14:textFill>
                  <w14:solidFill>
                    <w14:schemeClr w14:val="tx1"/>
                  </w14:solidFill>
                </w14:textFill>
              </w:rPr>
              <w:t>是：</w:t>
            </w:r>
          </w:p>
        </w:tc>
      </w:tr>
      <w:tr w14:paraId="1AA43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579" w:type="pct"/>
            <w:tcMar>
              <w:top w:w="16" w:type="dxa"/>
              <w:left w:w="16" w:type="dxa"/>
              <w:right w:w="16" w:type="dxa"/>
            </w:tcMar>
            <w:vAlign w:val="center"/>
          </w:tcPr>
          <w:p w14:paraId="33639501">
            <w:pPr>
              <w:autoSpaceDE w:val="0"/>
              <w:autoSpaceDN w:val="0"/>
              <w:spacing w:line="360" w:lineRule="auto"/>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宋体" w:eastAsia="宋体" w:cs="Times New Roman"/>
                <w:color w:val="000000" w:themeColor="text1"/>
                <w:kern w:val="0"/>
                <w:sz w:val="24"/>
                <w:szCs w:val="24"/>
                <w14:textFill>
                  <w14:solidFill>
                    <w14:schemeClr w14:val="tx1"/>
                  </w14:solidFill>
                </w14:textFill>
              </w:rPr>
              <w:t>专项评价设置情况</w:t>
            </w:r>
          </w:p>
        </w:tc>
        <w:tc>
          <w:tcPr>
            <w:tcW w:w="4420" w:type="pct"/>
            <w:gridSpan w:val="3"/>
            <w:tcMar>
              <w:top w:w="16" w:type="dxa"/>
              <w:left w:w="16" w:type="dxa"/>
              <w:right w:w="16" w:type="dxa"/>
            </w:tcMar>
            <w:vAlign w:val="center"/>
          </w:tcPr>
          <w:p w14:paraId="387EB9B6">
            <w:pPr>
              <w:autoSpaceDE w:val="0"/>
              <w:autoSpaceDN w:val="0"/>
              <w:spacing w:line="360" w:lineRule="auto"/>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本项目无需设置专项评价，判定依据见下表：</w:t>
            </w:r>
          </w:p>
          <w:p w14:paraId="23C264EB">
            <w:pPr>
              <w:spacing w:line="360" w:lineRule="auto"/>
              <w:jc w:val="center"/>
              <w:rPr>
                <w:rFonts w:ascii="Times New Roman" w:hAnsi="Times New Roman" w:eastAsia="黑体" w:cs="Times New Roman"/>
                <w:color w:val="000000" w:themeColor="text1"/>
                <w:sz w:val="24"/>
                <w:szCs w:val="24"/>
                <w14:textFill>
                  <w14:solidFill>
                    <w14:schemeClr w14:val="tx1"/>
                  </w14:solidFill>
                </w14:textFill>
              </w:rPr>
            </w:pPr>
            <w:r>
              <w:rPr>
                <w:rFonts w:ascii="Times New Roman" w:hAnsi="黑体" w:eastAsia="黑体" w:cs="Times New Roman"/>
                <w:color w:val="000000" w:themeColor="text1"/>
                <w:sz w:val="24"/>
                <w:szCs w:val="24"/>
                <w14:textFill>
                  <w14:solidFill>
                    <w14:schemeClr w14:val="tx1"/>
                  </w14:solidFill>
                </w14:textFill>
              </w:rPr>
              <w:t>表</w:t>
            </w:r>
            <w:r>
              <w:rPr>
                <w:rFonts w:ascii="Times New Roman" w:hAnsi="Times New Roman" w:eastAsia="黑体" w:cs="Times New Roman"/>
                <w:color w:val="000000" w:themeColor="text1"/>
                <w:sz w:val="24"/>
                <w:szCs w:val="24"/>
                <w14:textFill>
                  <w14:solidFill>
                    <w14:schemeClr w14:val="tx1"/>
                  </w14:solidFill>
                </w14:textFill>
              </w:rPr>
              <w:t>1-1</w:t>
            </w:r>
            <w:r>
              <w:rPr>
                <w:rFonts w:hint="eastAsia" w:ascii="Times New Roman" w:hAnsi="Times New Roman" w:eastAsia="黑体" w:cs="Times New Roman"/>
                <w:color w:val="000000" w:themeColor="text1"/>
                <w:sz w:val="24"/>
                <w:szCs w:val="24"/>
                <w14:textFill>
                  <w14:solidFill>
                    <w14:schemeClr w14:val="tx1"/>
                  </w14:solidFill>
                </w14:textFill>
              </w:rPr>
              <w:t xml:space="preserve">  </w:t>
            </w:r>
            <w:r>
              <w:rPr>
                <w:rFonts w:ascii="Times New Roman" w:hAnsi="黑体" w:eastAsia="黑体" w:cs="Times New Roman"/>
                <w:color w:val="000000" w:themeColor="text1"/>
                <w:sz w:val="24"/>
                <w:szCs w:val="24"/>
                <w14:textFill>
                  <w14:solidFill>
                    <w14:schemeClr w14:val="tx1"/>
                  </w14:solidFill>
                </w14:textFill>
              </w:rPr>
              <w:t>专项评价设置原则对应一览表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5415"/>
              <w:gridCol w:w="1220"/>
            </w:tblGrid>
            <w:tr w14:paraId="0B413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5F1D5C0B">
                  <w:pPr>
                    <w:spacing w:line="276" w:lineRule="auto"/>
                    <w:jc w:val="center"/>
                    <w:rPr>
                      <w:rFonts w:ascii="Times New Roman" w:hAnsi="Times New Roman" w:eastAsia="宋体" w:cs="Times New Roman"/>
                      <w:b/>
                      <w:color w:val="000000" w:themeColor="text1"/>
                      <w:szCs w:val="24"/>
                      <w14:textFill>
                        <w14:solidFill>
                          <w14:schemeClr w14:val="tx1"/>
                        </w14:solidFill>
                      </w14:textFill>
                    </w:rPr>
                  </w:pPr>
                  <w:r>
                    <w:rPr>
                      <w:rFonts w:ascii="Times New Roman" w:hAnsi="Times New Roman" w:eastAsia="宋体" w:cs="Times New Roman"/>
                      <w:b/>
                      <w:color w:val="000000" w:themeColor="text1"/>
                      <w:szCs w:val="24"/>
                      <w14:textFill>
                        <w14:solidFill>
                          <w14:schemeClr w14:val="tx1"/>
                        </w14:solidFill>
                      </w14:textFill>
                    </w:rPr>
                    <w:t>专项评价的类别</w:t>
                  </w:r>
                </w:p>
              </w:tc>
              <w:tc>
                <w:tcPr>
                  <w:tcW w:w="3431" w:type="pct"/>
                  <w:tcBorders>
                    <w:right w:val="single" w:color="auto" w:sz="4" w:space="0"/>
                  </w:tcBorders>
                  <w:vAlign w:val="center"/>
                </w:tcPr>
                <w:p w14:paraId="19FB25E7">
                  <w:pPr>
                    <w:spacing w:line="276" w:lineRule="auto"/>
                    <w:jc w:val="center"/>
                    <w:rPr>
                      <w:rFonts w:ascii="Times New Roman" w:hAnsi="Times New Roman" w:eastAsia="宋体" w:cs="Times New Roman"/>
                      <w:b/>
                      <w:color w:val="000000" w:themeColor="text1"/>
                      <w:szCs w:val="24"/>
                      <w14:textFill>
                        <w14:solidFill>
                          <w14:schemeClr w14:val="tx1"/>
                        </w14:solidFill>
                      </w14:textFill>
                    </w:rPr>
                  </w:pPr>
                  <w:r>
                    <w:rPr>
                      <w:rFonts w:ascii="Times New Roman" w:hAnsi="Times New Roman" w:eastAsia="宋体" w:cs="Times New Roman"/>
                      <w:b/>
                      <w:color w:val="000000" w:themeColor="text1"/>
                      <w:szCs w:val="24"/>
                      <w14:textFill>
                        <w14:solidFill>
                          <w14:schemeClr w14:val="tx1"/>
                        </w14:solidFill>
                      </w14:textFill>
                    </w:rPr>
                    <w:t>涉及项目类别</w:t>
                  </w:r>
                </w:p>
              </w:tc>
              <w:tc>
                <w:tcPr>
                  <w:tcW w:w="773" w:type="pct"/>
                  <w:vAlign w:val="center"/>
                </w:tcPr>
                <w:p w14:paraId="0B88024A">
                  <w:pPr>
                    <w:spacing w:line="276" w:lineRule="auto"/>
                    <w:jc w:val="center"/>
                    <w:rPr>
                      <w:rFonts w:ascii="Times New Roman" w:hAnsi="Times New Roman" w:eastAsia="宋体" w:cs="Times New Roman"/>
                      <w:b/>
                      <w:color w:val="000000" w:themeColor="text1"/>
                      <w:szCs w:val="24"/>
                      <w14:textFill>
                        <w14:solidFill>
                          <w14:schemeClr w14:val="tx1"/>
                        </w14:solidFill>
                      </w14:textFill>
                    </w:rPr>
                  </w:pPr>
                  <w:r>
                    <w:rPr>
                      <w:rFonts w:ascii="Times New Roman" w:hAnsi="Times New Roman" w:eastAsia="宋体" w:cs="Times New Roman"/>
                      <w:b/>
                      <w:color w:val="000000" w:themeColor="text1"/>
                      <w:szCs w:val="24"/>
                      <w14:textFill>
                        <w14:solidFill>
                          <w14:schemeClr w14:val="tx1"/>
                        </w14:solidFill>
                      </w14:textFill>
                    </w:rPr>
                    <w:t>本项目是否涉及</w:t>
                  </w:r>
                </w:p>
              </w:tc>
            </w:tr>
            <w:tr w14:paraId="6A5BD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7587C758">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地表水</w:t>
                  </w:r>
                </w:p>
              </w:tc>
              <w:tc>
                <w:tcPr>
                  <w:tcW w:w="3431" w:type="pct"/>
                  <w:tcBorders>
                    <w:right w:val="single" w:color="auto" w:sz="4" w:space="0"/>
                  </w:tcBorders>
                  <w:vAlign w:val="center"/>
                </w:tcPr>
                <w:p w14:paraId="234B1547">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水力发电：引水式发电、涉及调峰发电的项目；</w:t>
                  </w:r>
                </w:p>
                <w:p w14:paraId="50FAB423">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人工湖、人工湿地：全部；</w:t>
                  </w:r>
                </w:p>
                <w:p w14:paraId="15028A3F">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水库：全部；</w:t>
                  </w:r>
                </w:p>
                <w:p w14:paraId="07632F5D">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引水工程：全部(配套的管线工程等除外)；</w:t>
                  </w:r>
                </w:p>
                <w:p w14:paraId="10B0BE3D">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防洪除涝工程：包含水库的项目；</w:t>
                  </w:r>
                </w:p>
                <w:p w14:paraId="3AF00E37">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河湖整治：涉及清淤且底泥存在重金属污染的项目</w:t>
                  </w:r>
                </w:p>
              </w:tc>
              <w:tc>
                <w:tcPr>
                  <w:tcW w:w="773" w:type="pct"/>
                  <w:vAlign w:val="center"/>
                </w:tcPr>
                <w:p w14:paraId="23E87143">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不涉及</w:t>
                  </w:r>
                </w:p>
              </w:tc>
            </w:tr>
            <w:tr w14:paraId="3A64E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5407AAFD">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地下水</w:t>
                  </w:r>
                </w:p>
              </w:tc>
              <w:tc>
                <w:tcPr>
                  <w:tcW w:w="3431" w:type="pct"/>
                  <w:tcBorders>
                    <w:right w:val="single" w:color="auto" w:sz="4" w:space="0"/>
                  </w:tcBorders>
                  <w:vAlign w:val="center"/>
                </w:tcPr>
                <w:p w14:paraId="3950D1BC">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陆地石油和天然气开采：全部；</w:t>
                  </w:r>
                </w:p>
                <w:p w14:paraId="319BB551">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地下水（含矿泉水）开采：全部；</w:t>
                  </w:r>
                </w:p>
                <w:p w14:paraId="252414F5">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水利、水电、交通等：含穿越可溶岩地层隧道的项目</w:t>
                  </w:r>
                </w:p>
              </w:tc>
              <w:tc>
                <w:tcPr>
                  <w:tcW w:w="773" w:type="pct"/>
                  <w:vAlign w:val="center"/>
                </w:tcPr>
                <w:p w14:paraId="05617993">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不涉及</w:t>
                  </w:r>
                </w:p>
              </w:tc>
            </w:tr>
            <w:tr w14:paraId="4766B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0D5B889B">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生态</w:t>
                  </w:r>
                </w:p>
              </w:tc>
              <w:tc>
                <w:tcPr>
                  <w:tcW w:w="3431" w:type="pct"/>
                  <w:tcBorders>
                    <w:right w:val="single" w:color="auto" w:sz="4" w:space="0"/>
                  </w:tcBorders>
                  <w:vAlign w:val="center"/>
                </w:tcPr>
                <w:p w14:paraId="2133A3BC">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涉及环境敏感区（不包括饮用水水源保护区，以居住、医疗卫生、文化教育、科研、行政办公为主要功能的区域，以及文物保护单位）的项目</w:t>
                  </w:r>
                </w:p>
              </w:tc>
              <w:tc>
                <w:tcPr>
                  <w:tcW w:w="773" w:type="pct"/>
                  <w:vAlign w:val="center"/>
                </w:tcPr>
                <w:p w14:paraId="37ADA8C3">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不涉及</w:t>
                  </w:r>
                </w:p>
              </w:tc>
            </w:tr>
            <w:tr w14:paraId="1CEE4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7DD1BD87">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大气</w:t>
                  </w:r>
                </w:p>
              </w:tc>
              <w:tc>
                <w:tcPr>
                  <w:tcW w:w="3431" w:type="pct"/>
                  <w:tcBorders>
                    <w:right w:val="single" w:color="auto" w:sz="4" w:space="0"/>
                  </w:tcBorders>
                  <w:vAlign w:val="center"/>
                </w:tcPr>
                <w:p w14:paraId="48C1D8BE">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油气、液体化工码头：全部；</w:t>
                  </w:r>
                </w:p>
                <w:p w14:paraId="7DFECFCB">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干散货（含煤炭、矿石）、件杂、多用途、通用码头：涉及粉尘、挥发性有机物排放的项目</w:t>
                  </w:r>
                </w:p>
              </w:tc>
              <w:tc>
                <w:tcPr>
                  <w:tcW w:w="773" w:type="pct"/>
                  <w:vAlign w:val="center"/>
                </w:tcPr>
                <w:p w14:paraId="71463A76">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不涉及</w:t>
                  </w:r>
                </w:p>
              </w:tc>
            </w:tr>
            <w:tr w14:paraId="21674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1C6D5852">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噪声</w:t>
                  </w:r>
                </w:p>
              </w:tc>
              <w:tc>
                <w:tcPr>
                  <w:tcW w:w="3431" w:type="pct"/>
                  <w:tcBorders>
                    <w:right w:val="single" w:color="auto" w:sz="4" w:space="0"/>
                  </w:tcBorders>
                  <w:vAlign w:val="center"/>
                </w:tcPr>
                <w:p w14:paraId="46AB5551">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公路、铁路、机场等交通运输业涉及环境敏感区（以居住、医疗卫生、文化教育、科研、行政办公为主要功能的区域）的项目；</w:t>
                  </w:r>
                </w:p>
                <w:p w14:paraId="39B9909E">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城市道路（不含维护，不含支路、人行天桥、人行地道）：全部</w:t>
                  </w:r>
                </w:p>
              </w:tc>
              <w:tc>
                <w:tcPr>
                  <w:tcW w:w="773" w:type="pct"/>
                  <w:vAlign w:val="center"/>
                </w:tcPr>
                <w:p w14:paraId="1F1A4305">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不涉及</w:t>
                  </w:r>
                </w:p>
              </w:tc>
            </w:tr>
            <w:tr w14:paraId="02C5E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41BE5BED">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环境风险</w:t>
                  </w:r>
                </w:p>
              </w:tc>
              <w:tc>
                <w:tcPr>
                  <w:tcW w:w="3431" w:type="pct"/>
                  <w:tcBorders>
                    <w:right w:val="single" w:color="auto" w:sz="4" w:space="0"/>
                  </w:tcBorders>
                  <w:vAlign w:val="center"/>
                </w:tcPr>
                <w:p w14:paraId="2D0D3775">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石油和天然气开采：全部；</w:t>
                  </w:r>
                </w:p>
                <w:p w14:paraId="6EA948D2">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油气、液体化工码头：全部；</w:t>
                  </w:r>
                </w:p>
                <w:p w14:paraId="67078656">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原油、成品油、天然气管线（不含城镇天然气管线、企业厂区内管线），危险化学品输送管线（不含企业厂区内管线）：全部</w:t>
                  </w:r>
                </w:p>
              </w:tc>
              <w:tc>
                <w:tcPr>
                  <w:tcW w:w="773" w:type="pct"/>
                  <w:vAlign w:val="center"/>
                </w:tcPr>
                <w:p w14:paraId="11D2135F">
                  <w:pPr>
                    <w:spacing w:line="276"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不涉及</w:t>
                  </w:r>
                </w:p>
              </w:tc>
            </w:tr>
          </w:tbl>
          <w:p w14:paraId="1EF05A52">
            <w:pPr>
              <w:autoSpaceDE w:val="0"/>
              <w:autoSpaceDN w:val="0"/>
              <w:spacing w:line="360" w:lineRule="auto"/>
              <w:rPr>
                <w:rFonts w:ascii="Times New Roman" w:hAnsi="Times New Roman" w:eastAsia="宋体" w:cs="Times New Roman"/>
                <w:color w:val="000000" w:themeColor="text1"/>
                <w:kern w:val="0"/>
                <w:sz w:val="24"/>
                <w:szCs w:val="24"/>
                <w14:textFill>
                  <w14:solidFill>
                    <w14:schemeClr w14:val="tx1"/>
                  </w14:solidFill>
                </w14:textFill>
              </w:rPr>
            </w:pPr>
          </w:p>
        </w:tc>
      </w:tr>
      <w:tr w14:paraId="553650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trPr>
        <w:tc>
          <w:tcPr>
            <w:tcW w:w="579" w:type="pct"/>
            <w:tcMar>
              <w:top w:w="16" w:type="dxa"/>
              <w:left w:w="16" w:type="dxa"/>
              <w:right w:w="16" w:type="dxa"/>
            </w:tcMar>
            <w:vAlign w:val="center"/>
          </w:tcPr>
          <w:p w14:paraId="1A1E4B0A">
            <w:pPr>
              <w:autoSpaceDE w:val="0"/>
              <w:autoSpaceDN w:val="0"/>
              <w:spacing w:line="360" w:lineRule="auto"/>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规划情况</w:t>
            </w:r>
          </w:p>
        </w:tc>
        <w:tc>
          <w:tcPr>
            <w:tcW w:w="4420" w:type="pct"/>
            <w:gridSpan w:val="3"/>
            <w:tcMar>
              <w:top w:w="16" w:type="dxa"/>
              <w:left w:w="16" w:type="dxa"/>
              <w:right w:w="16" w:type="dxa"/>
            </w:tcMar>
            <w:vAlign w:val="center"/>
          </w:tcPr>
          <w:p w14:paraId="173B05C2">
            <w:pPr>
              <w:autoSpaceDE w:val="0"/>
              <w:autoSpaceDN w:val="0"/>
              <w:spacing w:line="360" w:lineRule="auto"/>
              <w:jc w:val="left"/>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规划名称：《淮南潘谢矿区总体开发规划》</w:t>
            </w:r>
          </w:p>
          <w:p w14:paraId="4ED9E719">
            <w:pPr>
              <w:autoSpaceDE w:val="0"/>
              <w:autoSpaceDN w:val="0"/>
              <w:spacing w:line="360" w:lineRule="auto"/>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审批单位：国家发展和改革委员会</w:t>
            </w:r>
          </w:p>
          <w:p w14:paraId="3EE05275">
            <w:pPr>
              <w:autoSpaceDE w:val="0"/>
              <w:autoSpaceDN w:val="0"/>
              <w:spacing w:line="360" w:lineRule="auto"/>
              <w:jc w:val="left"/>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审批文号：发改能源</w:t>
            </w:r>
            <w:r>
              <w:rPr>
                <w:rFonts w:ascii="Times New Roman" w:hAnsi="Times New Roman" w:eastAsia="宋体" w:cs="Times New Roman"/>
                <w:color w:val="000000" w:themeColor="text1"/>
                <w:kern w:val="0"/>
                <w:sz w:val="24"/>
                <w:szCs w:val="24"/>
                <w14:textFill>
                  <w14:solidFill>
                    <w14:schemeClr w14:val="tx1"/>
                  </w14:solidFill>
                </w14:textFill>
              </w:rPr>
              <w:t>[20</w:t>
            </w:r>
            <w:r>
              <w:rPr>
                <w:rFonts w:hint="eastAsia" w:ascii="Times New Roman" w:hAnsi="Times New Roman" w:eastAsia="宋体" w:cs="Times New Roman"/>
                <w:color w:val="000000" w:themeColor="text1"/>
                <w:kern w:val="0"/>
                <w:sz w:val="24"/>
                <w:szCs w:val="24"/>
                <w14:textFill>
                  <w14:solidFill>
                    <w14:schemeClr w14:val="tx1"/>
                  </w14:solidFill>
                </w14:textFill>
              </w:rPr>
              <w:t>04</w:t>
            </w:r>
            <w:r>
              <w:rPr>
                <w:rFonts w:ascii="Times New Roman" w:hAnsi="Times New Roman" w:eastAsia="宋体" w:cs="Times New Roman"/>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2301号文</w:t>
            </w:r>
          </w:p>
        </w:tc>
      </w:tr>
      <w:tr w14:paraId="7DD92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trPr>
        <w:tc>
          <w:tcPr>
            <w:tcW w:w="579" w:type="pct"/>
            <w:tcMar>
              <w:top w:w="16" w:type="dxa"/>
              <w:left w:w="16" w:type="dxa"/>
              <w:right w:w="16" w:type="dxa"/>
            </w:tcMar>
            <w:vAlign w:val="center"/>
          </w:tcPr>
          <w:p w14:paraId="290C0F3A">
            <w:pPr>
              <w:autoSpaceDE w:val="0"/>
              <w:autoSpaceDN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规划环境影响</w:t>
            </w:r>
          </w:p>
          <w:p w14:paraId="0E8C7148">
            <w:pPr>
              <w:autoSpaceDE w:val="0"/>
              <w:autoSpaceDN w:val="0"/>
              <w:spacing w:line="360" w:lineRule="auto"/>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评价情况</w:t>
            </w:r>
          </w:p>
        </w:tc>
        <w:tc>
          <w:tcPr>
            <w:tcW w:w="4420" w:type="pct"/>
            <w:gridSpan w:val="3"/>
            <w:tcMar>
              <w:top w:w="16" w:type="dxa"/>
              <w:left w:w="16" w:type="dxa"/>
              <w:right w:w="16" w:type="dxa"/>
            </w:tcMar>
            <w:vAlign w:val="center"/>
          </w:tcPr>
          <w:p w14:paraId="51CCCB25">
            <w:pPr>
              <w:spacing w:line="360" w:lineRule="auto"/>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规划环评名称：《淮南潘谢矿区</w:t>
            </w:r>
            <w:r>
              <w:rPr>
                <w:rFonts w:hint="eastAsia" w:ascii="Times New Roman" w:hAnsi="Times New Roman" w:eastAsia="宋体" w:cs="Times New Roman"/>
                <w:color w:val="000000" w:themeColor="text1"/>
                <w:kern w:val="0"/>
                <w:sz w:val="24"/>
                <w:szCs w:val="24"/>
                <w14:textFill>
                  <w14:solidFill>
                    <w14:schemeClr w14:val="tx1"/>
                  </w14:solidFill>
                </w14:textFill>
              </w:rPr>
              <w:t>总体</w:t>
            </w:r>
            <w:r>
              <w:rPr>
                <w:rFonts w:ascii="Times New Roman" w:hAnsi="Times New Roman" w:eastAsia="宋体" w:cs="Times New Roman"/>
                <w:color w:val="000000" w:themeColor="text1"/>
                <w:kern w:val="0"/>
                <w:sz w:val="24"/>
                <w:szCs w:val="24"/>
                <w14:textFill>
                  <w14:solidFill>
                    <w14:schemeClr w14:val="tx1"/>
                  </w14:solidFill>
                </w14:textFill>
              </w:rPr>
              <w:t>开发规划环境影响报告书》</w:t>
            </w:r>
          </w:p>
          <w:p w14:paraId="4B61CC2A">
            <w:pPr>
              <w:spacing w:line="360" w:lineRule="auto"/>
              <w:jc w:val="left"/>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审查单位：原国家环境保护总局</w:t>
            </w:r>
          </w:p>
          <w:p w14:paraId="507911DD">
            <w:pPr>
              <w:spacing w:line="360" w:lineRule="auto"/>
              <w:jc w:val="left"/>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审查文件名称：关于印发《淮南潘谢矿区总体开发规划环境影响报告书》审查意见的通知</w:t>
            </w:r>
          </w:p>
          <w:p w14:paraId="0904DFE9">
            <w:pPr>
              <w:spacing w:line="360" w:lineRule="auto"/>
              <w:jc w:val="left"/>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审批文号：环函[2006]86号文</w:t>
            </w:r>
          </w:p>
        </w:tc>
      </w:tr>
      <w:tr w14:paraId="582A6B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trPr>
        <w:tc>
          <w:tcPr>
            <w:tcW w:w="579" w:type="pct"/>
            <w:tcMar>
              <w:top w:w="16" w:type="dxa"/>
              <w:left w:w="16" w:type="dxa"/>
              <w:right w:w="16" w:type="dxa"/>
            </w:tcMar>
            <w:vAlign w:val="center"/>
          </w:tcPr>
          <w:p w14:paraId="496C5C41">
            <w:pPr>
              <w:autoSpaceDE w:val="0"/>
              <w:autoSpaceDN w:val="0"/>
              <w:spacing w:line="360" w:lineRule="auto"/>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宋体" w:eastAsia="宋体" w:cs="Times New Roman"/>
                <w:color w:val="000000" w:themeColor="text1"/>
                <w:kern w:val="0"/>
                <w:sz w:val="24"/>
                <w:szCs w:val="24"/>
                <w14:textFill>
                  <w14:solidFill>
                    <w14:schemeClr w14:val="tx1"/>
                  </w14:solidFill>
                </w14:textFill>
              </w:rPr>
              <w:t>规划及</w:t>
            </w:r>
            <w:r>
              <w:rPr>
                <w:rFonts w:ascii="Times New Roman" w:hAnsi="宋体" w:eastAsia="宋体" w:cs="Times New Roman"/>
                <w:color w:val="000000" w:themeColor="text1"/>
                <w:sz w:val="24"/>
                <w:szCs w:val="24"/>
                <w14:textFill>
                  <w14:solidFill>
                    <w14:schemeClr w14:val="tx1"/>
                  </w14:solidFill>
                </w14:textFill>
              </w:rPr>
              <w:t>规划环境影响评价</w:t>
            </w:r>
            <w:r>
              <w:rPr>
                <w:rFonts w:ascii="Times New Roman" w:hAnsi="宋体" w:eastAsia="宋体" w:cs="Times New Roman"/>
                <w:color w:val="000000" w:themeColor="text1"/>
                <w:kern w:val="0"/>
                <w:sz w:val="24"/>
                <w:szCs w:val="24"/>
                <w14:textFill>
                  <w14:solidFill>
                    <w14:schemeClr w14:val="tx1"/>
                  </w14:solidFill>
                </w14:textFill>
              </w:rPr>
              <w:t>符合性分析</w:t>
            </w:r>
          </w:p>
        </w:tc>
        <w:tc>
          <w:tcPr>
            <w:tcW w:w="4420" w:type="pct"/>
            <w:gridSpan w:val="3"/>
            <w:tcMar>
              <w:top w:w="16" w:type="dxa"/>
              <w:left w:w="16" w:type="dxa"/>
              <w:right w:w="16" w:type="dxa"/>
            </w:tcMar>
            <w:vAlign w:val="center"/>
          </w:tcPr>
          <w:p w14:paraId="6B2E3783">
            <w:pPr>
              <w:spacing w:line="360" w:lineRule="auto"/>
              <w:ind w:firstLine="480" w:firstLineChars="200"/>
              <w:jc w:val="left"/>
              <w:rPr>
                <w:rFonts w:hint="eastAsia" w:ascii="Times New Roman" w:hAnsi="Times New Roman" w:eastAsia="宋体" w:cs="Times New Roman"/>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规划及规划环境影响评价符合性分析</w:t>
            </w:r>
          </w:p>
          <w:p w14:paraId="3CFE02A0">
            <w:pPr>
              <w:spacing w:line="360" w:lineRule="auto"/>
              <w:ind w:firstLine="480" w:firstLineChars="200"/>
              <w:jc w:val="left"/>
              <w:rPr>
                <w:rFonts w:hint="eastAsia" w:ascii="Times New Roman" w:hAnsi="Times New Roman" w:eastAsia="宋体" w:cs="Times New Roman"/>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根据《淮南潘谢矿区总体开发规划》，淮南潘谢矿区位于安徽省中北部，地跨淮南市潘集区、谢家集区、凤台县和阜阳市颍上县，东西长70km，南北宽25km，面积1571km2，资源储量285亿吨，且深部还有可靠的煤炭资源，充分利用该矿区的资源、区位和市场优势依托齐全的基础配套设施，加大煤炭开发力度和就地转化能力，以“发展先进生产力保护生命，保护资源，保护环境”的理念将矿区建设成为华东地区重要的大型煤电基地，对于促进区城经济、社会、环境、资源的协调发展具有重要意义。</w:t>
            </w:r>
          </w:p>
          <w:p w14:paraId="661DDA7C">
            <w:pPr>
              <w:spacing w:line="360" w:lineRule="auto"/>
              <w:ind w:firstLine="480" w:firstLineChars="200"/>
              <w:jc w:val="left"/>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潘一煤矿属于潘谢矿区范围内的矿井，属于瓦斯灾害最严重的矿井，</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2018年10月根据国家政策要求停止生产，并通过了化解过剩产能验收，各井筒均按照要求进行了封闭。目前</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潘一煤矿东区是全重实验室的重要组成部分，在潘一煤矿东区井下开展</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深部松软低透煤层高瓦斯压力治理工程</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不受采掘、运输等生产活动影响，试验条件得天独厚。</w:t>
            </w:r>
          </w:p>
          <w:p w14:paraId="60D11600">
            <w:pPr>
              <w:spacing w:line="360" w:lineRule="auto"/>
              <w:ind w:firstLine="480" w:firstLineChars="200"/>
              <w:jc w:val="left"/>
              <w:rPr>
                <w:rFonts w:hint="eastAsia" w:ascii="Times New Roman" w:hAnsi="Times New Roman" w:eastAsia="宋体" w:cs="Times New Roman"/>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本项目为</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高瓦斯压力治理工程</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试验</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项目，</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为高瓦斯矿井采用地面预抽提供技术经验，保障矿井安全生产，</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属于煤炭产业配套项目，因此项目符合《淮南潘谢矿区总体开发规划》</w:t>
            </w:r>
          </w:p>
          <w:p w14:paraId="54C3B108">
            <w:pPr>
              <w:spacing w:line="360" w:lineRule="auto"/>
              <w:ind w:firstLine="480" w:firstLineChars="200"/>
              <w:jc w:val="left"/>
              <w:rPr>
                <w:rFonts w:ascii="Times New Roman" w:hAnsi="Times New Roman" w:eastAsia="宋体" w:cs="Times New Roman"/>
                <w:color w:val="FF0000"/>
                <w:kern w:val="0"/>
                <w:sz w:val="24"/>
                <w:szCs w:val="24"/>
              </w:rPr>
            </w:pPr>
            <w:r>
              <w:rPr>
                <w:rFonts w:hint="eastAsia" w:ascii="Times New Roman" w:hAnsi="Times New Roman" w:eastAsia="宋体" w:cs="Times New Roman"/>
                <w:color w:val="000000" w:themeColor="text1"/>
                <w:kern w:val="0"/>
                <w:sz w:val="24"/>
                <w:szCs w:val="24"/>
                <w14:textFill>
                  <w14:solidFill>
                    <w14:schemeClr w14:val="tx1"/>
                  </w14:solidFill>
                </w14:textFill>
              </w:rPr>
              <w:t>《淮南潘</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谢矿区总体开发规划环境影响报告书》审查意见（环函〔2006〕86号）要求“充分利用矿区资源优势和就地转化能力，以“发展先进生产生产力，保护生命，保护资源，保护环境”的理念将矿区建设成为华东地区重要的大型煤电基地，对于促进区域经济、社会、环境、资源的协调发展具有重要意义</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。本项目实施</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试用新装备，使用深穿透饱和体积压裂技术及快速放喷策略，以提高瓦斯地面预抽效率，为高瓦斯矿井采用地面预抽提供技术经验，保障矿井安全生产</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，因此项目实施符合《淮南潘谢矿区总体开发规划环境影响报告书》审查意见。</w:t>
            </w:r>
          </w:p>
        </w:tc>
      </w:tr>
      <w:tr w14:paraId="4BE0A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005" w:hRule="atLeast"/>
        </w:trPr>
        <w:tc>
          <w:tcPr>
            <w:tcW w:w="579" w:type="pct"/>
            <w:tcMar>
              <w:top w:w="16" w:type="dxa"/>
              <w:left w:w="16" w:type="dxa"/>
              <w:right w:w="16" w:type="dxa"/>
            </w:tcMar>
            <w:vAlign w:val="center"/>
          </w:tcPr>
          <w:p w14:paraId="54F58E40">
            <w:pPr>
              <w:autoSpaceDE w:val="0"/>
              <w:autoSpaceDN w:val="0"/>
              <w:spacing w:line="360" w:lineRule="auto"/>
              <w:jc w:val="center"/>
              <w:rPr>
                <w:rFonts w:ascii="Times New Roman" w:hAnsi="Times New Roman" w:eastAsia="宋体" w:cs="Times New Roman"/>
                <w:color w:val="000000" w:themeColor="text1"/>
                <w:kern w:val="0"/>
                <w:sz w:val="24"/>
                <w:szCs w:val="24"/>
                <w14:textFill>
                  <w14:solidFill>
                    <w14:schemeClr w14:val="tx1"/>
                  </w14:solidFill>
                </w14:textFill>
              </w:rPr>
            </w:pPr>
            <w:bookmarkStart w:id="1" w:name="_Hlk56690880"/>
            <w:r>
              <w:rPr>
                <w:rFonts w:ascii="Times New Roman" w:hAnsi="宋体" w:eastAsia="宋体" w:cs="Times New Roman"/>
                <w:color w:val="000000" w:themeColor="text1"/>
                <w:kern w:val="0"/>
                <w:sz w:val="24"/>
                <w:szCs w:val="24"/>
                <w14:textFill>
                  <w14:solidFill>
                    <w14:schemeClr w14:val="tx1"/>
                  </w14:solidFill>
                </w14:textFill>
              </w:rPr>
              <w:t>其他符合性分析</w:t>
            </w:r>
            <w:bookmarkEnd w:id="1"/>
          </w:p>
        </w:tc>
        <w:tc>
          <w:tcPr>
            <w:tcW w:w="4420" w:type="pct"/>
            <w:gridSpan w:val="3"/>
            <w:tcMar>
              <w:top w:w="16" w:type="dxa"/>
              <w:left w:w="16" w:type="dxa"/>
              <w:right w:w="16" w:type="dxa"/>
            </w:tcMar>
            <w:vAlign w:val="center"/>
          </w:tcPr>
          <w:p w14:paraId="02F7FDFE">
            <w:pPr>
              <w:autoSpaceDE w:val="0"/>
              <w:autoSpaceDN w:val="0"/>
              <w:spacing w:line="360" w:lineRule="auto"/>
              <w:ind w:firstLine="482" w:firstLineChars="200"/>
              <w:rPr>
                <w:rFonts w:ascii="Times New Roman" w:hAnsi="Times New Roman" w:eastAsia="宋体" w:cs="Times New Roman"/>
                <w:b/>
                <w:color w:val="000000" w:themeColor="text1"/>
                <w:kern w:val="0"/>
                <w:sz w:val="24"/>
                <w:szCs w:val="24"/>
                <w14:textFill>
                  <w14:solidFill>
                    <w14:schemeClr w14:val="tx1"/>
                  </w14:solidFill>
                </w14:textFill>
              </w:rPr>
            </w:pPr>
            <w:r>
              <w:rPr>
                <w:rFonts w:ascii="Times New Roman" w:hAnsi="Times New Roman" w:eastAsia="宋体" w:cs="Times New Roman"/>
                <w:b/>
                <w:color w:val="000000" w:themeColor="text1"/>
                <w:kern w:val="0"/>
                <w:sz w:val="24"/>
                <w:szCs w:val="24"/>
                <w14:textFill>
                  <w14:solidFill>
                    <w14:schemeClr w14:val="tx1"/>
                  </w14:solidFill>
                </w14:textFill>
              </w:rPr>
              <w:t>（</w:t>
            </w:r>
            <w:r>
              <w:rPr>
                <w:rFonts w:hint="eastAsia" w:ascii="Times New Roman" w:hAnsi="Times New Roman" w:eastAsia="宋体" w:cs="Times New Roman"/>
                <w:b/>
                <w:color w:val="000000" w:themeColor="text1"/>
                <w:kern w:val="0"/>
                <w:sz w:val="24"/>
                <w:szCs w:val="24"/>
                <w14:textFill>
                  <w14:solidFill>
                    <w14:schemeClr w14:val="tx1"/>
                  </w14:solidFill>
                </w14:textFill>
              </w:rPr>
              <w:t>1</w:t>
            </w:r>
            <w:r>
              <w:rPr>
                <w:rFonts w:ascii="Times New Roman" w:hAnsi="Times New Roman" w:eastAsia="宋体" w:cs="Times New Roman"/>
                <w:b/>
                <w:color w:val="000000" w:themeColor="text1"/>
                <w:kern w:val="0"/>
                <w:sz w:val="24"/>
                <w:szCs w:val="24"/>
                <w14:textFill>
                  <w14:solidFill>
                    <w14:schemeClr w14:val="tx1"/>
                  </w14:solidFill>
                </w14:textFill>
              </w:rPr>
              <w:t>）产业政策符合性分析</w:t>
            </w:r>
          </w:p>
          <w:p w14:paraId="56113D4D">
            <w:pPr>
              <w:spacing w:line="360" w:lineRule="auto"/>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根据《产业结构调整指导目录</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 xml:space="preserve">(2024 </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年本</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》，本项目属于</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第一类鼓励类</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中的</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三、煤炭，</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、煤矿智能化和安全高效技术开发及应用：矿井灾害</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瓦斯煤尘、矿井水、火、 围岩、地温、冲击地压等</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防治；</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、煤炭清洁高效开发利用技术：煤层气勘探、开发、利用和煤矿瓦斯抽采、利用</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。符合国家产业政策要求。</w:t>
            </w:r>
            <w:r>
              <w:rPr>
                <w:rFonts w:hint="eastAsia" w:ascii="Times New Roman" w:hAnsi="Times New Roman" w:eastAsia="宋体" w:cs="Times New Roman"/>
                <w:color w:val="000000" w:themeColor="text1"/>
                <w:sz w:val="24"/>
                <w:szCs w:val="24"/>
                <w:highlight w:val="none"/>
                <w14:textFill>
                  <w14:solidFill>
                    <w14:schemeClr w14:val="tx1"/>
                  </w14:solidFill>
                </w14:textFill>
              </w:rPr>
              <w:t>且本项目已取得</w:t>
            </w:r>
            <w:r>
              <w:rPr>
                <w:rFonts w:ascii="Times New Roman" w:hAnsi="Times New Roman" w:eastAsia="宋体" w:cs="Times New Roman"/>
                <w:color w:val="000000" w:themeColor="text1"/>
                <w:sz w:val="24"/>
                <w:szCs w:val="24"/>
                <w:highlight w:val="none"/>
                <w14:textFill>
                  <w14:solidFill>
                    <w14:schemeClr w14:val="tx1"/>
                  </w14:solidFill>
                </w14:textFill>
              </w:rPr>
              <w:t>淮南市</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潘集区</w:t>
            </w:r>
            <w:r>
              <w:rPr>
                <w:rFonts w:ascii="Times New Roman" w:hAnsi="Times New Roman" w:eastAsia="宋体" w:cs="Times New Roman"/>
                <w:color w:val="000000" w:themeColor="text1"/>
                <w:sz w:val="24"/>
                <w:szCs w:val="24"/>
                <w:highlight w:val="none"/>
                <w14:textFill>
                  <w14:solidFill>
                    <w14:schemeClr w14:val="tx1"/>
                  </w14:solidFill>
                </w14:textFill>
              </w:rPr>
              <w:t>发展和改革委员会备案，项目编码为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2502-340406-04-01-454467</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因此，本项目的建设符合国家和地方产业政策要求。</w:t>
            </w:r>
          </w:p>
          <w:p w14:paraId="0220AB71">
            <w:pPr>
              <w:autoSpaceDE w:val="0"/>
              <w:autoSpaceDN w:val="0"/>
              <w:spacing w:line="360" w:lineRule="auto"/>
              <w:ind w:firstLine="482" w:firstLineChars="200"/>
              <w:rPr>
                <w:rFonts w:ascii="Times New Roman" w:hAnsi="Times New Roman" w:eastAsia="宋体" w:cs="Times New Roman"/>
                <w:b/>
                <w:color w:val="000000" w:themeColor="text1"/>
                <w:kern w:val="0"/>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14:textFill>
                  <w14:solidFill>
                    <w14:schemeClr w14:val="tx1"/>
                  </w14:solidFill>
                </w14:textFill>
              </w:rPr>
              <w:t>（2）选址符合性分析</w:t>
            </w:r>
          </w:p>
          <w:p w14:paraId="59098A18">
            <w:pPr>
              <w:autoSpaceDE w:val="0"/>
              <w:autoSpaceDN w:val="0"/>
              <w:spacing w:line="360" w:lineRule="auto"/>
              <w:ind w:firstLine="480" w:firstLineChars="200"/>
              <w:rPr>
                <w:rFonts w:hint="eastAsia" w:ascii="Times New Roman" w:hAnsi="宋体" w:eastAsia="宋体" w:cs="Times New Roman"/>
                <w:color w:val="000000" w:themeColor="text1"/>
                <w:sz w:val="24"/>
                <w:szCs w:val="24"/>
                <w:lang w:eastAsia="zh-CN"/>
                <w14:textFill>
                  <w14:solidFill>
                    <w14:schemeClr w14:val="tx1"/>
                  </w14:solidFill>
                </w14:textFill>
              </w:rPr>
            </w:pPr>
            <w:r>
              <w:rPr>
                <w:rFonts w:hint="eastAsia" w:ascii="Times New Roman" w:hAnsi="宋体" w:eastAsia="宋体" w:cs="Times New Roman"/>
                <w:color w:val="000000" w:themeColor="text1"/>
                <w:sz w:val="24"/>
                <w:szCs w:val="24"/>
                <w14:textFill>
                  <w14:solidFill>
                    <w14:schemeClr w14:val="tx1"/>
                  </w14:solidFill>
                </w14:textFill>
              </w:rPr>
              <w:t>本项目</w:t>
            </w:r>
            <w:r>
              <w:rPr>
                <w:rFonts w:hint="eastAsia" w:ascii="Times New Roman" w:hAnsi="宋体" w:eastAsia="宋体" w:cs="Times New Roman"/>
                <w:color w:val="000000" w:themeColor="text1"/>
                <w:sz w:val="24"/>
                <w:szCs w:val="24"/>
                <w:lang w:eastAsia="zh-CN"/>
                <w14:textFill>
                  <w14:solidFill>
                    <w14:schemeClr w14:val="tx1"/>
                  </w14:solidFill>
                </w14:textFill>
              </w:rPr>
              <w:t>施工场地位于潘集区夹沟镇</w:t>
            </w:r>
            <w:r>
              <w:rPr>
                <w:rFonts w:hint="eastAsia" w:ascii="Times New Roman" w:hAnsi="宋体" w:eastAsia="宋体" w:cs="Times New Roman"/>
                <w:color w:val="000000"/>
                <w:sz w:val="24"/>
                <w:szCs w:val="24"/>
                <w:lang w:eastAsia="zh-CN"/>
              </w:rPr>
              <w:t>新集村附近</w:t>
            </w:r>
            <w:r>
              <w:rPr>
                <w:rFonts w:hint="eastAsia" w:ascii="Times New Roman" w:hAnsi="宋体" w:eastAsia="宋体" w:cs="Times New Roman"/>
                <w:color w:val="000000" w:themeColor="text1"/>
                <w:sz w:val="24"/>
                <w:szCs w:val="24"/>
                <w:lang w:val="en-US" w:eastAsia="zh-CN"/>
                <w14:textFill>
                  <w14:solidFill>
                    <w14:schemeClr w14:val="tx1"/>
                  </w14:solidFill>
                </w14:textFill>
              </w:rPr>
              <w:t>，施工总</w:t>
            </w:r>
            <w:r>
              <w:rPr>
                <w:rFonts w:hint="eastAsia" w:ascii="Times New Roman" w:hAnsi="宋体" w:eastAsia="宋体" w:cs="Times New Roman"/>
                <w:color w:val="000000" w:themeColor="text1"/>
                <w:sz w:val="24"/>
                <w:szCs w:val="24"/>
                <w:highlight w:val="none"/>
                <w:lang w:eastAsia="zh-CN"/>
                <w14:textFill>
                  <w14:solidFill>
                    <w14:schemeClr w14:val="tx1"/>
                  </w14:solidFill>
                </w14:textFill>
              </w:rPr>
              <w:t>占地面积</w:t>
            </w:r>
            <w:r>
              <w:rPr>
                <w:rFonts w:hint="eastAsia" w:ascii="Times New Roman" w:hAnsi="宋体" w:eastAsia="宋体" w:cs="Times New Roman"/>
                <w:color w:val="000000" w:themeColor="text1"/>
                <w:sz w:val="24"/>
                <w:szCs w:val="24"/>
                <w:highlight w:val="none"/>
                <w:lang w:val="en-US" w:eastAsia="zh-CN"/>
                <w14:textFill>
                  <w14:solidFill>
                    <w14:schemeClr w14:val="tx1"/>
                  </w14:solidFill>
                </w14:textFill>
              </w:rPr>
              <w:t>8265平方</w:t>
            </w:r>
            <w:r>
              <w:rPr>
                <w:rFonts w:hint="eastAsia" w:ascii="Times New Roman" w:hAnsi="宋体" w:eastAsia="宋体" w:cs="Times New Roman"/>
                <w:color w:val="000000" w:themeColor="text1"/>
                <w:sz w:val="24"/>
                <w:szCs w:val="24"/>
                <w:lang w:val="en-US" w:eastAsia="zh-CN"/>
                <w14:textFill>
                  <w14:solidFill>
                    <w14:schemeClr w14:val="tx1"/>
                  </w14:solidFill>
                </w14:textFill>
              </w:rPr>
              <w:t>，为临时占地，临时占地性质为耕地（其中占用</w:t>
            </w:r>
            <w:r>
              <w:rPr>
                <w:rFonts w:hint="eastAsia" w:ascii="Times New Roman" w:hAnsi="Times New Roman" w:eastAsia="宋体" w:cs="Times New Roman"/>
                <w:color w:val="000000" w:themeColor="text1"/>
                <w:kern w:val="21"/>
                <w:sz w:val="24"/>
                <w:szCs w:val="24"/>
                <w:highlight w:val="none"/>
                <w14:textFill>
                  <w14:solidFill>
                    <w14:schemeClr w14:val="tx1"/>
                  </w14:solidFill>
                </w14:textFill>
              </w:rPr>
              <w:t>已划定永久基本农田</w:t>
            </w:r>
            <w:r>
              <w:rPr>
                <w:rFonts w:hint="eastAsia"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8252</w:t>
            </w:r>
            <w:r>
              <w:rPr>
                <w:rFonts w:hint="eastAsia" w:ascii="Times New Roman" w:hAnsi="宋体" w:eastAsia="宋体" w:cs="Times New Roman"/>
                <w:color w:val="000000" w:themeColor="text1"/>
                <w:sz w:val="24"/>
                <w:szCs w:val="24"/>
                <w:highlight w:val="none"/>
                <w:lang w:val="en-US" w:eastAsia="zh-CN"/>
                <w14:textFill>
                  <w14:solidFill>
                    <w14:schemeClr w14:val="tx1"/>
                  </w14:solidFill>
                </w14:textFill>
              </w:rPr>
              <w:t>m</w:t>
            </w:r>
            <w:r>
              <w:rPr>
                <w:rFonts w:hint="eastAsia" w:ascii="Times New Roman" w:hAnsi="宋体" w:eastAsia="宋体" w:cs="Times New Roman"/>
                <w:color w:val="000000" w:themeColor="text1"/>
                <w:sz w:val="24"/>
                <w:szCs w:val="24"/>
                <w:highlight w:val="none"/>
                <w:vertAlign w:val="superscript"/>
                <w:lang w:val="en-US" w:eastAsia="zh-CN"/>
                <w14:textFill>
                  <w14:solidFill>
                    <w14:schemeClr w14:val="tx1"/>
                  </w14:solidFill>
                </w14:textFill>
              </w:rPr>
              <w:t>2</w:t>
            </w:r>
            <w:bookmarkStart w:id="89" w:name="_GoBack"/>
            <w:bookmarkEnd w:id="89"/>
            <w:r>
              <w:rPr>
                <w:rFonts w:hint="eastAsia" w:ascii="Times New Roman" w:hAnsi="宋体" w:eastAsia="宋体" w:cs="Times New Roman"/>
                <w:color w:val="000000" w:themeColor="text1"/>
                <w:sz w:val="24"/>
                <w:szCs w:val="24"/>
                <w:lang w:val="en-US" w:eastAsia="zh-CN"/>
                <w14:textFill>
                  <w14:solidFill>
                    <w14:schemeClr w14:val="tx1"/>
                  </w14:solidFill>
                </w14:textFill>
              </w:rPr>
              <w:t>），根据</w:t>
            </w:r>
            <w:r>
              <w:rPr>
                <w:rFonts w:hint="eastAsia" w:ascii="Times New Roman" w:hAnsi="宋体" w:eastAsia="宋体" w:cs="Times New Roman"/>
                <w:color w:val="000000" w:themeColor="text1"/>
                <w:sz w:val="24"/>
                <w:szCs w:val="24"/>
                <w:lang w:eastAsia="zh-CN"/>
                <w14:textFill>
                  <w14:solidFill>
                    <w14:schemeClr w14:val="tx1"/>
                  </w14:solidFill>
                </w14:textFill>
              </w:rPr>
              <w:t>《安徽省临时用地管理实施办法》等相关政策文件要求，</w:t>
            </w:r>
            <w:r>
              <w:rPr>
                <w:rFonts w:hint="eastAsia" w:ascii="Times New Roman" w:hAnsi="宋体" w:eastAsia="宋体" w:cs="Times New Roman"/>
                <w:color w:val="000000" w:themeColor="text1"/>
                <w:sz w:val="24"/>
                <w:szCs w:val="24"/>
                <w:lang w:val="en-US" w:eastAsia="zh-CN"/>
                <w14:textFill>
                  <w14:solidFill>
                    <w14:schemeClr w14:val="tx1"/>
                  </w14:solidFill>
                </w14:textFill>
              </w:rPr>
              <w:t>建设单位已编制了土地复垦方案，</w:t>
            </w:r>
            <w:r>
              <w:rPr>
                <w:rFonts w:hint="eastAsia" w:ascii="Times New Roman" w:hAnsi="宋体" w:eastAsia="宋体" w:cs="Times New Roman"/>
                <w:color w:val="000000" w:themeColor="text1"/>
                <w:sz w:val="24"/>
                <w:szCs w:val="24"/>
                <w:lang w:eastAsia="zh-CN"/>
                <w14:textFill>
                  <w14:solidFill>
                    <w14:schemeClr w14:val="tx1"/>
                  </w14:solidFill>
                </w14:textFill>
              </w:rPr>
              <w:t>取得了淮南市自然资源和规划局出具的项目临时用地批复，临时用地期限为2年。</w:t>
            </w:r>
          </w:p>
          <w:p w14:paraId="1B332B78">
            <w:pPr>
              <w:autoSpaceDE w:val="0"/>
              <w:autoSpaceDN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eastAsia="zh-CN"/>
              </w:rPr>
              <w:t>经现场调查，项目施工场地及周边主要</w:t>
            </w:r>
            <w:r>
              <w:rPr>
                <w:rFonts w:hint="eastAsia" w:ascii="Times New Roman" w:hAnsi="Times New Roman" w:eastAsia="宋体" w:cs="Times New Roman"/>
                <w:color w:val="auto"/>
                <w:kern w:val="0"/>
                <w:sz w:val="24"/>
              </w:rPr>
              <w:t>为农田</w:t>
            </w:r>
            <w:r>
              <w:rPr>
                <w:rFonts w:hint="eastAsia" w:ascii="Times New Roman" w:hAnsi="Times New Roman" w:eastAsia="宋体" w:cs="Times New Roman"/>
                <w:color w:val="auto"/>
                <w:kern w:val="0"/>
                <w:sz w:val="24"/>
                <w:lang w:eastAsia="zh-CN"/>
              </w:rPr>
              <w:t>和村庄，</w:t>
            </w:r>
            <w:r>
              <w:rPr>
                <w:rFonts w:hint="eastAsia" w:ascii="Times New Roman" w:hAnsi="Times New Roman" w:eastAsia="宋体" w:cs="Times New Roman"/>
                <w:color w:val="auto"/>
                <w:kern w:val="0"/>
                <w:sz w:val="24"/>
              </w:rPr>
              <w:t>项目区范围内无自然保护区、风景名胜区、世界文化和自然遗产、饮用水水源保护区；也没有以医疗卫生、文化教育、科研、行政办公等为主要功能的区域，无文物保护单位，无具有特殊历史、文化、科学、民族意义的保护地等环境敏感区，因此本项目选址合理可行。</w:t>
            </w:r>
          </w:p>
          <w:p w14:paraId="6E84CB74">
            <w:pPr>
              <w:autoSpaceDE w:val="0"/>
              <w:autoSpaceDN w:val="0"/>
              <w:spacing w:line="360" w:lineRule="auto"/>
              <w:ind w:firstLine="482" w:firstLineChars="200"/>
              <w:rPr>
                <w:rFonts w:hint="eastAsia" w:ascii="Times New Roman" w:hAnsi="Times New Roman" w:eastAsia="宋体" w:cs="Times New Roman"/>
                <w:b/>
                <w:color w:val="000000" w:themeColor="text1"/>
                <w:kern w:val="0"/>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14:textFill>
                  <w14:solidFill>
                    <w14:schemeClr w14:val="tx1"/>
                  </w14:solidFill>
                </w14:textFill>
              </w:rPr>
              <w:t>（</w:t>
            </w:r>
            <w:r>
              <w:rPr>
                <w:rFonts w:hint="eastAsia" w:ascii="Times New Roman" w:hAnsi="Times New Roman" w:eastAsia="宋体" w:cs="Times New Roman"/>
                <w:b/>
                <w:color w:val="000000" w:themeColor="text1"/>
                <w:kern w:val="0"/>
                <w:sz w:val="24"/>
                <w:szCs w:val="24"/>
                <w:lang w:val="en-US" w:eastAsia="zh-CN"/>
                <w14:textFill>
                  <w14:solidFill>
                    <w14:schemeClr w14:val="tx1"/>
                  </w14:solidFill>
                </w14:textFill>
              </w:rPr>
              <w:t>3</w:t>
            </w:r>
            <w:r>
              <w:rPr>
                <w:rFonts w:hint="eastAsia" w:ascii="Times New Roman" w:hAnsi="Times New Roman" w:eastAsia="宋体" w:cs="Times New Roman"/>
                <w:b/>
                <w:color w:val="000000" w:themeColor="text1"/>
                <w:kern w:val="0"/>
                <w:sz w:val="24"/>
                <w:szCs w:val="24"/>
                <w14:textFill>
                  <w14:solidFill>
                    <w14:schemeClr w14:val="tx1"/>
                  </w14:solidFill>
                </w14:textFill>
              </w:rPr>
              <w:t>）与《安徽省空气质量持续改善行动方案》（皖政〔2024〕36号）相符性分析</w:t>
            </w:r>
          </w:p>
          <w:p w14:paraId="34FAFEA0">
            <w:pPr>
              <w:pStyle w:val="95"/>
              <w:numPr>
                <w:ilvl w:val="1"/>
                <w:numId w:val="2"/>
              </w:numPr>
              <w:tabs>
                <w:tab w:val="clear" w:pos="1440"/>
              </w:tabs>
              <w:spacing w:line="240" w:lineRule="auto"/>
              <w:ind w:left="3300" w:leftChars="0" w:hanging="2460" w:firstLineChars="0"/>
              <w:jc w:val="both"/>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与《安徽省空气质量持续改善行动方案》相符性分析</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46"/>
              <w:gridCol w:w="3811"/>
              <w:gridCol w:w="431"/>
            </w:tblGrid>
            <w:tr w14:paraId="69018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311" w:type="pct"/>
                  <w:vAlign w:val="center"/>
                </w:tcPr>
                <w:p w14:paraId="10BCC4CC">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宋体" w:eastAsia="宋体" w:cs="Times New Roman"/>
                      <w:b/>
                      <w:color w:val="000000" w:themeColor="text1"/>
                      <w:szCs w:val="21"/>
                      <w14:textFill>
                        <w14:solidFill>
                          <w14:schemeClr w14:val="tx1"/>
                        </w14:solidFill>
                      </w14:textFill>
                    </w:rPr>
                    <w:t>相关规范情况</w:t>
                  </w:r>
                </w:p>
              </w:tc>
              <w:tc>
                <w:tcPr>
                  <w:tcW w:w="2415" w:type="pct"/>
                  <w:vAlign w:val="center"/>
                </w:tcPr>
                <w:p w14:paraId="7ED14560">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宋体" w:eastAsia="宋体" w:cs="Times New Roman"/>
                      <w:b/>
                      <w:color w:val="000000" w:themeColor="text1"/>
                      <w:szCs w:val="21"/>
                      <w14:textFill>
                        <w14:solidFill>
                          <w14:schemeClr w14:val="tx1"/>
                        </w14:solidFill>
                      </w14:textFill>
                    </w:rPr>
                    <w:t>建设项目情况</w:t>
                  </w:r>
                </w:p>
              </w:tc>
              <w:tc>
                <w:tcPr>
                  <w:tcW w:w="273" w:type="pct"/>
                  <w:vAlign w:val="center"/>
                </w:tcPr>
                <w:p w14:paraId="54CD704D">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宋体" w:eastAsia="宋体" w:cs="Times New Roman"/>
                      <w:b/>
                      <w:color w:val="000000" w:themeColor="text1"/>
                      <w:szCs w:val="21"/>
                      <w14:textFill>
                        <w14:solidFill>
                          <w14:schemeClr w14:val="tx1"/>
                        </w14:solidFill>
                      </w14:textFill>
                    </w:rPr>
                    <w:t>是否符合</w:t>
                  </w:r>
                </w:p>
              </w:tc>
            </w:tr>
            <w:tr w14:paraId="67BF5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11" w:type="pct"/>
                  <w:vAlign w:val="center"/>
                </w:tcPr>
                <w:p w14:paraId="403DF8E9">
                  <w:pPr>
                    <w:spacing w:line="276" w:lineRule="auto"/>
                    <w:jc w:val="center"/>
                    <w:rPr>
                      <w:rFonts w:ascii="Times New Roman" w:hAnsi="宋体" w:eastAsia="宋体" w:cs="Times New Roman"/>
                      <w:color w:val="000000" w:themeColor="text1"/>
                      <w:szCs w:val="21"/>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tc>
              <w:tc>
                <w:tcPr>
                  <w:tcW w:w="2415" w:type="pct"/>
                  <w:vAlign w:val="center"/>
                </w:tcPr>
                <w:p w14:paraId="273B329D">
                  <w:pPr>
                    <w:spacing w:line="360" w:lineRule="auto"/>
                    <w:rPr>
                      <w:rFonts w:hint="eastAsia" w:ascii="Times New Roman" w:hAnsi="宋体" w:eastAsia="宋体" w:cs="Times New Roman"/>
                      <w:color w:val="000000" w:themeColor="text1"/>
                      <w:szCs w:val="21"/>
                      <w:lang w:eastAsia="zh-CN"/>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本项目</w:t>
                  </w:r>
                  <w:r>
                    <w:rPr>
                      <w:rFonts w:hint="eastAsia" w:ascii="Times New Roman" w:hAnsi="宋体" w:eastAsia="宋体" w:cs="Times New Roman"/>
                      <w:color w:val="000000" w:themeColor="text1"/>
                      <w:szCs w:val="21"/>
                      <w:lang w:eastAsia="zh-CN"/>
                      <w14:textFill>
                        <w14:solidFill>
                          <w14:schemeClr w14:val="tx1"/>
                        </w14:solidFill>
                      </w14:textFill>
                    </w:rPr>
                    <w:t>国标行业</w:t>
                  </w:r>
                  <w:r>
                    <w:rPr>
                      <w:rFonts w:ascii="Times New Roman" w:hAnsi="宋体" w:eastAsia="宋体" w:cs="Times New Roman"/>
                      <w:color w:val="000000" w:themeColor="text1"/>
                      <w:szCs w:val="21"/>
                      <w14:textFill>
                        <w14:solidFill>
                          <w14:schemeClr w14:val="tx1"/>
                        </w14:solidFill>
                      </w14:textFill>
                    </w:rPr>
                    <w:t>为</w:t>
                  </w:r>
                  <w:r>
                    <w:rPr>
                      <w:rFonts w:hint="eastAsia" w:ascii="Times New Roman" w:hAnsi="宋体" w:eastAsia="宋体" w:cs="Times New Roman"/>
                      <w:color w:val="000000" w:themeColor="text1"/>
                      <w:szCs w:val="21"/>
                      <w:lang w:eastAsia="zh-CN"/>
                      <w14:textFill>
                        <w14:solidFill>
                          <w14:schemeClr w14:val="tx1"/>
                        </w14:solidFill>
                      </w14:textFill>
                    </w:rPr>
                    <w:t>烟煤和无烟煤开采洗选工程</w:t>
                  </w:r>
                  <w:r>
                    <w:rPr>
                      <w:rFonts w:hint="eastAsia" w:ascii="Times New Roman" w:hAnsi="宋体" w:eastAsia="宋体" w:cs="Times New Roman"/>
                      <w:color w:val="000000" w:themeColor="text1"/>
                      <w:szCs w:val="21"/>
                      <w14:textFill>
                        <w14:solidFill>
                          <w14:schemeClr w14:val="tx1"/>
                        </w14:solidFill>
                      </w14:textFill>
                    </w:rPr>
                    <w:t>，</w:t>
                  </w:r>
                  <w:r>
                    <w:rPr>
                      <w:rFonts w:ascii="Times New Roman" w:hAnsi="宋体" w:eastAsia="宋体" w:cs="Times New Roman"/>
                      <w:color w:val="000000" w:themeColor="text1"/>
                      <w:szCs w:val="21"/>
                      <w14:textFill>
                        <w14:solidFill>
                          <w14:schemeClr w14:val="tx1"/>
                        </w14:solidFill>
                      </w14:textFill>
                    </w:rPr>
                    <w:t>根据《产业结构调整指导目录（20</w:t>
                  </w:r>
                  <w:r>
                    <w:rPr>
                      <w:rFonts w:hint="eastAsia" w:ascii="Times New Roman" w:hAnsi="宋体" w:eastAsia="宋体" w:cs="Times New Roman"/>
                      <w:color w:val="000000" w:themeColor="text1"/>
                      <w:szCs w:val="21"/>
                      <w14:textFill>
                        <w14:solidFill>
                          <w14:schemeClr w14:val="tx1"/>
                        </w14:solidFill>
                      </w14:textFill>
                    </w:rPr>
                    <w:t>24</w:t>
                  </w:r>
                  <w:r>
                    <w:rPr>
                      <w:rFonts w:ascii="Times New Roman" w:hAnsi="宋体" w:eastAsia="宋体" w:cs="Times New Roman"/>
                      <w:color w:val="000000" w:themeColor="text1"/>
                      <w:szCs w:val="21"/>
                      <w14:textFill>
                        <w14:solidFill>
                          <w14:schemeClr w14:val="tx1"/>
                        </w14:solidFill>
                      </w14:textFill>
                    </w:rPr>
                    <w:t>年本）》，</w:t>
                  </w:r>
                  <w:r>
                    <w:rPr>
                      <w:rFonts w:hint="eastAsia" w:ascii="Times New Roman" w:hAnsi="宋体" w:eastAsia="宋体" w:cs="Times New Roman"/>
                      <w:color w:val="000000" w:themeColor="text1"/>
                      <w:szCs w:val="21"/>
                      <w14:textFill>
                        <w14:solidFill>
                          <w14:schemeClr w14:val="tx1"/>
                        </w14:solidFill>
                      </w14:textFill>
                    </w:rPr>
                    <w:t>本项目</w:t>
                  </w:r>
                  <w:r>
                    <w:rPr>
                      <w:rFonts w:ascii="Times New Roman" w:hAnsi="宋体" w:eastAsia="宋体" w:cs="Times New Roman"/>
                      <w:color w:val="000000" w:themeColor="text1"/>
                      <w:szCs w:val="21"/>
                      <w14:textFill>
                        <w14:solidFill>
                          <w14:schemeClr w14:val="tx1"/>
                        </w14:solidFill>
                      </w14:textFill>
                    </w:rPr>
                    <w:t>属于</w:t>
                  </w:r>
                  <w:r>
                    <w:rPr>
                      <w:rFonts w:hint="eastAsia" w:ascii="Times New Roman" w:hAnsi="宋体" w:eastAsia="宋体" w:cs="Times New Roman"/>
                      <w:color w:val="000000" w:themeColor="text1"/>
                      <w:szCs w:val="21"/>
                      <w:lang w:val="en-US" w:eastAsia="zh-CN"/>
                      <w14:textFill>
                        <w14:solidFill>
                          <w14:schemeClr w14:val="tx1"/>
                        </w14:solidFill>
                      </w14:textFill>
                    </w:rPr>
                    <w:t>第一类鼓励类中“三、煤炭，</w:t>
                  </w:r>
                  <w:r>
                    <w:rPr>
                      <w:rFonts w:hint="default" w:ascii="Times New Roman" w:hAnsi="宋体" w:eastAsia="宋体" w:cs="Times New Roman"/>
                      <w:color w:val="000000" w:themeColor="text1"/>
                      <w:szCs w:val="21"/>
                      <w:lang w:val="en-US" w:eastAsia="zh-CN"/>
                      <w14:textFill>
                        <w14:solidFill>
                          <w14:schemeClr w14:val="tx1"/>
                        </w14:solidFill>
                      </w14:textFill>
                    </w:rPr>
                    <w:t>2</w:t>
                  </w:r>
                  <w:r>
                    <w:rPr>
                      <w:rFonts w:hint="eastAsia" w:ascii="Times New Roman" w:hAnsi="宋体" w:eastAsia="宋体" w:cs="Times New Roman"/>
                      <w:color w:val="000000" w:themeColor="text1"/>
                      <w:szCs w:val="21"/>
                      <w:lang w:val="en-US" w:eastAsia="zh-CN"/>
                      <w14:textFill>
                        <w14:solidFill>
                          <w14:schemeClr w14:val="tx1"/>
                        </w14:solidFill>
                      </w14:textFill>
                    </w:rPr>
                    <w:t>、煤矿智能化和安全高效技术开发及应用：矿井灾害</w:t>
                  </w:r>
                  <w:r>
                    <w:rPr>
                      <w:rFonts w:hint="default" w:ascii="Times New Roman" w:hAnsi="宋体" w:eastAsia="宋体" w:cs="Times New Roman"/>
                      <w:color w:val="000000" w:themeColor="text1"/>
                      <w:szCs w:val="21"/>
                      <w:lang w:val="en-US" w:eastAsia="zh-CN"/>
                      <w14:textFill>
                        <w14:solidFill>
                          <w14:schemeClr w14:val="tx1"/>
                        </w14:solidFill>
                      </w14:textFill>
                    </w:rPr>
                    <w:t>(</w:t>
                  </w:r>
                  <w:r>
                    <w:rPr>
                      <w:rFonts w:hint="eastAsia" w:ascii="Times New Roman" w:hAnsi="宋体" w:eastAsia="宋体" w:cs="Times New Roman"/>
                      <w:color w:val="000000" w:themeColor="text1"/>
                      <w:szCs w:val="21"/>
                      <w:lang w:val="en-US" w:eastAsia="zh-CN"/>
                      <w14:textFill>
                        <w14:solidFill>
                          <w14:schemeClr w14:val="tx1"/>
                        </w14:solidFill>
                      </w14:textFill>
                    </w:rPr>
                    <w:t>瓦斯煤尘、矿井水、火、 围岩、地温、冲击地压等</w:t>
                  </w:r>
                  <w:r>
                    <w:rPr>
                      <w:rFonts w:hint="default" w:ascii="Times New Roman" w:hAnsi="宋体" w:eastAsia="宋体" w:cs="Times New Roman"/>
                      <w:color w:val="000000" w:themeColor="text1"/>
                      <w:szCs w:val="21"/>
                      <w:lang w:val="en-US" w:eastAsia="zh-CN"/>
                      <w14:textFill>
                        <w14:solidFill>
                          <w14:schemeClr w14:val="tx1"/>
                        </w14:solidFill>
                      </w14:textFill>
                    </w:rPr>
                    <w:t>)</w:t>
                  </w:r>
                  <w:r>
                    <w:rPr>
                      <w:rFonts w:hint="eastAsia" w:ascii="Times New Roman" w:hAnsi="宋体" w:eastAsia="宋体" w:cs="Times New Roman"/>
                      <w:color w:val="000000" w:themeColor="text1"/>
                      <w:szCs w:val="21"/>
                      <w:lang w:val="en-US" w:eastAsia="zh-CN"/>
                      <w14:textFill>
                        <w14:solidFill>
                          <w14:schemeClr w14:val="tx1"/>
                        </w14:solidFill>
                      </w14:textFill>
                    </w:rPr>
                    <w:t>防治；</w:t>
                  </w:r>
                  <w:r>
                    <w:rPr>
                      <w:rFonts w:hint="default" w:ascii="Times New Roman" w:hAnsi="宋体" w:eastAsia="宋体" w:cs="Times New Roman"/>
                      <w:color w:val="000000" w:themeColor="text1"/>
                      <w:szCs w:val="21"/>
                      <w:lang w:val="en-US" w:eastAsia="zh-CN"/>
                      <w14:textFill>
                        <w14:solidFill>
                          <w14:schemeClr w14:val="tx1"/>
                        </w14:solidFill>
                      </w14:textFill>
                    </w:rPr>
                    <w:t>4</w:t>
                  </w:r>
                  <w:r>
                    <w:rPr>
                      <w:rFonts w:hint="eastAsia" w:ascii="Times New Roman" w:hAnsi="宋体" w:eastAsia="宋体" w:cs="Times New Roman"/>
                      <w:color w:val="000000" w:themeColor="text1"/>
                      <w:szCs w:val="21"/>
                      <w:lang w:val="en-US" w:eastAsia="zh-CN"/>
                      <w14:textFill>
                        <w14:solidFill>
                          <w14:schemeClr w14:val="tx1"/>
                        </w14:solidFill>
                      </w14:textFill>
                    </w:rPr>
                    <w:t>、煤炭清洁高效开发利用技术：煤层气勘探、开发、利用和煤矿瓦斯抽采、利用”。</w:t>
                  </w:r>
                  <w:r>
                    <w:rPr>
                      <w:rFonts w:ascii="Times New Roman" w:hAnsi="宋体" w:eastAsia="宋体" w:cs="Times New Roman"/>
                      <w:color w:val="000000" w:themeColor="text1"/>
                      <w:szCs w:val="21"/>
                      <w14:textFill>
                        <w14:solidFill>
                          <w14:schemeClr w14:val="tx1"/>
                        </w14:solidFill>
                      </w14:textFill>
                    </w:rPr>
                    <w:t>本项目的建设符合国家和地方产业政策要求</w:t>
                  </w:r>
                  <w:r>
                    <w:rPr>
                      <w:rFonts w:hint="eastAsia" w:ascii="Times New Roman" w:hAnsi="宋体" w:eastAsia="宋体" w:cs="Times New Roman"/>
                      <w:color w:val="000000" w:themeColor="text1"/>
                      <w:szCs w:val="21"/>
                      <w14:textFill>
                        <w14:solidFill>
                          <w14:schemeClr w14:val="tx1"/>
                        </w14:solidFill>
                      </w14:textFill>
                    </w:rPr>
                    <w:t>；对照</w:t>
                  </w:r>
                  <w:r>
                    <w:rPr>
                      <w:rFonts w:ascii="Times New Roman" w:hAnsi="宋体" w:eastAsia="宋体" w:cs="Times New Roman"/>
                      <w:color w:val="000000" w:themeColor="text1"/>
                      <w:szCs w:val="21"/>
                      <w14:textFill>
                        <w14:solidFill>
                          <w14:schemeClr w14:val="tx1"/>
                        </w14:solidFill>
                      </w14:textFill>
                    </w:rPr>
                    <w:t>《安徽省“两高”项目管理目录（</w:t>
                  </w:r>
                  <w:r>
                    <w:rPr>
                      <w:rFonts w:hint="eastAsia" w:ascii="Times New Roman" w:hAnsi="宋体" w:eastAsia="宋体" w:cs="Times New Roman"/>
                      <w:color w:val="000000" w:themeColor="text1"/>
                      <w:szCs w:val="21"/>
                      <w14:textFill>
                        <w14:solidFill>
                          <w14:schemeClr w14:val="tx1"/>
                        </w14:solidFill>
                      </w14:textFill>
                    </w:rPr>
                    <w:t>试行</w:t>
                  </w:r>
                  <w:r>
                    <w:rPr>
                      <w:rFonts w:ascii="Times New Roman" w:hAnsi="宋体" w:eastAsia="宋体" w:cs="Times New Roman"/>
                      <w:color w:val="000000" w:themeColor="text1"/>
                      <w:szCs w:val="21"/>
                      <w14:textFill>
                        <w14:solidFill>
                          <w14:schemeClr w14:val="tx1"/>
                        </w14:solidFill>
                      </w14:textFill>
                    </w:rPr>
                    <w:t>）》</w:t>
                  </w:r>
                  <w:r>
                    <w:rPr>
                      <w:rFonts w:hint="eastAsia" w:ascii="Times New Roman" w:hAnsi="宋体" w:eastAsia="宋体" w:cs="Times New Roman"/>
                      <w:color w:val="000000" w:themeColor="text1"/>
                      <w:szCs w:val="21"/>
                      <w14:textFill>
                        <w14:solidFill>
                          <w14:schemeClr w14:val="tx1"/>
                        </w14:solidFill>
                      </w14:textFill>
                    </w:rPr>
                    <w:t>，</w:t>
                  </w:r>
                  <w:r>
                    <w:rPr>
                      <w:rFonts w:ascii="Times New Roman" w:hAnsi="宋体" w:eastAsia="宋体" w:cs="Times New Roman"/>
                      <w:color w:val="000000" w:themeColor="text1"/>
                      <w:szCs w:val="21"/>
                      <w14:textFill>
                        <w14:solidFill>
                          <w14:schemeClr w14:val="tx1"/>
                        </w14:solidFill>
                      </w14:textFill>
                    </w:rPr>
                    <w:t>本项目不属于</w:t>
                  </w:r>
                  <w:r>
                    <w:rPr>
                      <w:rFonts w:hint="eastAsia" w:ascii="Times New Roman" w:hAnsi="宋体" w:eastAsia="宋体" w:cs="Times New Roman"/>
                      <w:color w:val="000000" w:themeColor="text1"/>
                      <w:szCs w:val="21"/>
                      <w14:textFill>
                        <w14:solidFill>
                          <w14:schemeClr w14:val="tx1"/>
                        </w14:solidFill>
                      </w14:textFill>
                    </w:rPr>
                    <w:t>高</w:t>
                  </w:r>
                  <w:r>
                    <w:rPr>
                      <w:rFonts w:ascii="Times New Roman" w:hAnsi="宋体" w:eastAsia="宋体" w:cs="Times New Roman"/>
                      <w:color w:val="000000" w:themeColor="text1"/>
                      <w:szCs w:val="21"/>
                      <w14:textFill>
                        <w14:solidFill>
                          <w14:schemeClr w14:val="tx1"/>
                        </w14:solidFill>
                      </w14:textFill>
                    </w:rPr>
                    <w:t>耗能</w:t>
                  </w:r>
                  <w:r>
                    <w:rPr>
                      <w:rFonts w:hint="eastAsia" w:ascii="Times New Roman" w:hAnsi="宋体" w:eastAsia="宋体" w:cs="Times New Roman"/>
                      <w:color w:val="000000" w:themeColor="text1"/>
                      <w:szCs w:val="21"/>
                      <w14:textFill>
                        <w14:solidFill>
                          <w14:schemeClr w14:val="tx1"/>
                        </w14:solidFill>
                      </w14:textFill>
                    </w:rPr>
                    <w:t>、</w:t>
                  </w:r>
                  <w:r>
                    <w:rPr>
                      <w:rFonts w:ascii="Times New Roman" w:hAnsi="宋体" w:eastAsia="宋体" w:cs="Times New Roman"/>
                      <w:color w:val="000000" w:themeColor="text1"/>
                      <w:szCs w:val="21"/>
                      <w14:textFill>
                        <w14:solidFill>
                          <w14:schemeClr w14:val="tx1"/>
                        </w14:solidFill>
                      </w14:textFill>
                    </w:rPr>
                    <w:t>高排放项目</w:t>
                  </w:r>
                  <w:r>
                    <w:rPr>
                      <w:rFonts w:hint="eastAsia" w:ascii="Times New Roman" w:hAnsi="宋体" w:eastAsia="宋体" w:cs="Times New Roman"/>
                      <w:color w:val="000000" w:themeColor="text1"/>
                      <w:szCs w:val="21"/>
                      <w:lang w:eastAsia="zh-CN"/>
                      <w14:textFill>
                        <w14:solidFill>
                          <w14:schemeClr w14:val="tx1"/>
                        </w14:solidFill>
                      </w14:textFill>
                    </w:rPr>
                    <w:t>。本项目仅有施工期，施工结束项目即结束，运营期无污染物排放。</w:t>
                  </w:r>
                </w:p>
              </w:tc>
              <w:tc>
                <w:tcPr>
                  <w:tcW w:w="273" w:type="pct"/>
                  <w:vAlign w:val="center"/>
                </w:tcPr>
                <w:p w14:paraId="2EF49EDA">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符合</w:t>
                  </w:r>
                </w:p>
              </w:tc>
            </w:tr>
            <w:tr w14:paraId="24F7D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11" w:type="pct"/>
                  <w:vAlign w:val="center"/>
                </w:tcPr>
                <w:p w14:paraId="4D76A21C">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cs="Times New Roman"/>
                      <w:color w:val="000000" w:themeColor="text1"/>
                      <w14:textFill>
                        <w14:solidFill>
                          <w14:schemeClr w14:val="tx1"/>
                        </w14:solidFill>
                      </w14:textFill>
                    </w:rPr>
                    <w:t>有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w:t>
                  </w:r>
                  <w:r>
                    <w:rPr>
                      <w:rFonts w:ascii="Times New Roman" w:hAnsi="Times New Roman" w:cs="Times New Roman"/>
                      <w:color w:val="000000" w:themeColor="text1"/>
                      <w14:textFill>
                        <w14:solidFill>
                          <w14:schemeClr w14:val="tx1"/>
                        </w14:solidFill>
                      </w14:textFill>
                    </w:rPr>
                    <w:t>2025</w:t>
                  </w:r>
                  <w:r>
                    <w:rPr>
                      <w:rFonts w:ascii="Times New Roman" w:cs="Times New Roman"/>
                      <w:color w:val="000000" w:themeColor="text1"/>
                      <w14:textFill>
                        <w14:solidFill>
                          <w14:schemeClr w14:val="tx1"/>
                        </w14:solidFill>
                      </w14:textFill>
                    </w:rPr>
                    <w:t>年，短流程炼钢产量占比达</w:t>
                  </w:r>
                  <w:r>
                    <w:rPr>
                      <w:rFonts w:ascii="Times New Roman" w:hAnsi="Times New Roman" w:cs="Times New Roman"/>
                      <w:color w:val="000000" w:themeColor="text1"/>
                      <w14:textFill>
                        <w14:solidFill>
                          <w14:schemeClr w14:val="tx1"/>
                        </w14:solidFill>
                      </w14:textFill>
                    </w:rPr>
                    <w:t>15%</w:t>
                  </w:r>
                </w:p>
              </w:tc>
              <w:tc>
                <w:tcPr>
                  <w:tcW w:w="2415" w:type="pct"/>
                  <w:vAlign w:val="center"/>
                </w:tcPr>
                <w:p w14:paraId="568536C3">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本项</w:t>
                  </w:r>
                  <w:r>
                    <w:rPr>
                      <w:rFonts w:ascii="Times New Roman" w:hAnsi="宋体" w:eastAsia="宋体" w:cs="Times New Roman"/>
                      <w:color w:val="000000" w:themeColor="text1"/>
                      <w:sz w:val="21"/>
                      <w:szCs w:val="21"/>
                      <w14:textFill>
                        <w14:solidFill>
                          <w14:schemeClr w14:val="tx1"/>
                        </w14:solidFill>
                      </w14:textFill>
                    </w:rPr>
                    <w:t>目</w:t>
                  </w:r>
                  <w:r>
                    <w:rPr>
                      <w:rFonts w:hint="eastAsia" w:ascii="Times New Roman" w:hAnsi="宋体" w:eastAsia="宋体" w:cs="Times New Roman"/>
                      <w:color w:val="000000" w:themeColor="text1"/>
                      <w:sz w:val="21"/>
                      <w:szCs w:val="21"/>
                      <w:lang w:eastAsia="zh-CN"/>
                      <w14:textFill>
                        <w14:solidFill>
                          <w14:schemeClr w14:val="tx1"/>
                        </w14:solidFill>
                      </w14:textFill>
                    </w:rPr>
                    <w:t>国标行业</w:t>
                  </w:r>
                  <w:r>
                    <w:rPr>
                      <w:rFonts w:ascii="Times New Roman" w:hAnsi="宋体" w:eastAsia="宋体" w:cs="Times New Roman"/>
                      <w:color w:val="000000" w:themeColor="text1"/>
                      <w:sz w:val="21"/>
                      <w:szCs w:val="21"/>
                      <w14:textFill>
                        <w14:solidFill>
                          <w14:schemeClr w14:val="tx1"/>
                        </w14:solidFill>
                      </w14:textFill>
                    </w:rPr>
                    <w:t>为</w:t>
                  </w:r>
                  <w:r>
                    <w:rPr>
                      <w:rFonts w:hint="eastAsia" w:ascii="Times New Roman" w:hAnsi="宋体" w:eastAsia="宋体" w:cs="Times New Roman"/>
                      <w:color w:val="000000" w:themeColor="text1"/>
                      <w:sz w:val="21"/>
                      <w:szCs w:val="21"/>
                      <w:lang w:eastAsia="zh-CN"/>
                      <w14:textFill>
                        <w14:solidFill>
                          <w14:schemeClr w14:val="tx1"/>
                        </w14:solidFill>
                      </w14:textFill>
                    </w:rPr>
                    <w:t>烟煤和无烟煤开采洗选工程</w:t>
                  </w:r>
                  <w:r>
                    <w:rPr>
                      <w:rFonts w:hint="eastAsia" w:ascii="Times New Roman" w:hAnsi="宋体" w:eastAsia="宋体" w:cs="Times New Roman"/>
                      <w:color w:val="000000" w:themeColor="text1"/>
                      <w:sz w:val="21"/>
                      <w:szCs w:val="21"/>
                      <w14:textFill>
                        <w14:solidFill>
                          <w14:schemeClr w14:val="tx1"/>
                        </w14:solidFill>
                      </w14:textFill>
                    </w:rPr>
                    <w:t>，</w:t>
                  </w:r>
                  <w:r>
                    <w:rPr>
                      <w:rFonts w:ascii="Times New Roman" w:hAnsi="宋体" w:eastAsia="宋体" w:cs="Times New Roman"/>
                      <w:color w:val="000000" w:themeColor="text1"/>
                      <w:sz w:val="21"/>
                      <w:szCs w:val="21"/>
                      <w14:textFill>
                        <w14:solidFill>
                          <w14:schemeClr w14:val="tx1"/>
                        </w14:solidFill>
                      </w14:textFill>
                    </w:rPr>
                    <w:t>根据《产业结构调整指导目录（20</w:t>
                  </w:r>
                  <w:r>
                    <w:rPr>
                      <w:rFonts w:hint="eastAsia" w:ascii="Times New Roman" w:hAnsi="宋体" w:eastAsia="宋体" w:cs="Times New Roman"/>
                      <w:color w:val="000000" w:themeColor="text1"/>
                      <w:sz w:val="21"/>
                      <w:szCs w:val="21"/>
                      <w14:textFill>
                        <w14:solidFill>
                          <w14:schemeClr w14:val="tx1"/>
                        </w14:solidFill>
                      </w14:textFill>
                    </w:rPr>
                    <w:t>24</w:t>
                  </w:r>
                  <w:r>
                    <w:rPr>
                      <w:rFonts w:ascii="Times New Roman" w:hAnsi="宋体" w:eastAsia="宋体" w:cs="Times New Roman"/>
                      <w:color w:val="000000" w:themeColor="text1"/>
                      <w:sz w:val="21"/>
                      <w:szCs w:val="21"/>
                      <w14:textFill>
                        <w14:solidFill>
                          <w14:schemeClr w14:val="tx1"/>
                        </w14:solidFill>
                      </w14:textFill>
                    </w:rPr>
                    <w:t>年本）》，</w:t>
                  </w:r>
                  <w:r>
                    <w:rPr>
                      <w:rFonts w:hint="eastAsia" w:ascii="Times New Roman" w:hAnsi="宋体" w:eastAsia="宋体" w:cs="Times New Roman"/>
                      <w:color w:val="000000" w:themeColor="text1"/>
                      <w:sz w:val="21"/>
                      <w:szCs w:val="21"/>
                      <w14:textFill>
                        <w14:solidFill>
                          <w14:schemeClr w14:val="tx1"/>
                        </w14:solidFill>
                      </w14:textFill>
                    </w:rPr>
                    <w:t>本项目</w:t>
                  </w:r>
                  <w:r>
                    <w:rPr>
                      <w:rFonts w:ascii="Times New Roman" w:hAnsi="宋体" w:eastAsia="宋体" w:cs="Times New Roman"/>
                      <w:color w:val="000000" w:themeColor="text1"/>
                      <w:sz w:val="21"/>
                      <w:szCs w:val="21"/>
                      <w14:textFill>
                        <w14:solidFill>
                          <w14:schemeClr w14:val="tx1"/>
                        </w14:solidFill>
                      </w14:textFill>
                    </w:rPr>
                    <w:t>属于</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第一类鼓励类中“</w:t>
                  </w:r>
                  <w:r>
                    <w:rPr>
                      <w:rFonts w:hint="eastAsia" w:ascii="Times New Roman" w:hAnsi="宋体" w:eastAsia="宋体" w:cs="Times New Roman"/>
                      <w:color w:val="000000" w:themeColor="text1"/>
                      <w:sz w:val="21"/>
                      <w:szCs w:val="21"/>
                      <w:lang w:val="en-US" w:eastAsia="zh-CN"/>
                      <w14:textFill>
                        <w14:solidFill>
                          <w14:schemeClr w14:val="tx1"/>
                        </w14:solidFill>
                      </w14:textFill>
                    </w:rPr>
                    <w:t>三、煤炭，</w:t>
                  </w:r>
                  <w:r>
                    <w:rPr>
                      <w:rFonts w:hint="default" w:ascii="Times New Roman" w:hAnsi="宋体" w:eastAsia="宋体" w:cs="Times New Roman"/>
                      <w:color w:val="000000" w:themeColor="text1"/>
                      <w:sz w:val="21"/>
                      <w:szCs w:val="21"/>
                      <w:lang w:val="en-US" w:eastAsia="zh-CN"/>
                      <w14:textFill>
                        <w14:solidFill>
                          <w14:schemeClr w14:val="tx1"/>
                        </w14:solidFill>
                      </w14:textFill>
                    </w:rPr>
                    <w:t>2</w:t>
                  </w:r>
                  <w:r>
                    <w:rPr>
                      <w:rFonts w:hint="eastAsia" w:ascii="Times New Roman" w:hAnsi="宋体" w:eastAsia="宋体" w:cs="Times New Roman"/>
                      <w:color w:val="000000" w:themeColor="text1"/>
                      <w:sz w:val="21"/>
                      <w:szCs w:val="21"/>
                      <w:lang w:val="en-US" w:eastAsia="zh-CN"/>
                      <w14:textFill>
                        <w14:solidFill>
                          <w14:schemeClr w14:val="tx1"/>
                        </w14:solidFill>
                      </w14:textFill>
                    </w:rPr>
                    <w:t>、煤矿智能化和安全高效技术开发及应用：矿</w:t>
                  </w:r>
                  <w:r>
                    <w:rPr>
                      <w:rFonts w:hint="eastAsia" w:ascii="Times New Roman" w:hAnsi="宋体" w:eastAsia="宋体" w:cs="Times New Roman"/>
                      <w:color w:val="000000" w:themeColor="text1"/>
                      <w:szCs w:val="21"/>
                      <w:lang w:val="en-US" w:eastAsia="zh-CN"/>
                      <w14:textFill>
                        <w14:solidFill>
                          <w14:schemeClr w14:val="tx1"/>
                        </w14:solidFill>
                      </w14:textFill>
                    </w:rPr>
                    <w:t>井灾害</w:t>
                  </w:r>
                  <w:r>
                    <w:rPr>
                      <w:rFonts w:hint="default" w:ascii="Times New Roman" w:hAnsi="宋体" w:eastAsia="宋体" w:cs="Times New Roman"/>
                      <w:color w:val="000000" w:themeColor="text1"/>
                      <w:szCs w:val="21"/>
                      <w:lang w:val="en-US" w:eastAsia="zh-CN"/>
                      <w14:textFill>
                        <w14:solidFill>
                          <w14:schemeClr w14:val="tx1"/>
                        </w14:solidFill>
                      </w14:textFill>
                    </w:rPr>
                    <w:t>(</w:t>
                  </w:r>
                  <w:r>
                    <w:rPr>
                      <w:rFonts w:hint="eastAsia" w:ascii="Times New Roman" w:hAnsi="宋体" w:eastAsia="宋体" w:cs="Times New Roman"/>
                      <w:color w:val="000000" w:themeColor="text1"/>
                      <w:szCs w:val="21"/>
                      <w:lang w:val="en-US" w:eastAsia="zh-CN"/>
                      <w14:textFill>
                        <w14:solidFill>
                          <w14:schemeClr w14:val="tx1"/>
                        </w14:solidFill>
                      </w14:textFill>
                    </w:rPr>
                    <w:t>瓦斯煤尘、矿井水、火、 围岩、地温、冲击地压等</w:t>
                  </w:r>
                  <w:r>
                    <w:rPr>
                      <w:rFonts w:hint="default" w:ascii="Times New Roman" w:hAnsi="宋体" w:eastAsia="宋体" w:cs="Times New Roman"/>
                      <w:color w:val="000000" w:themeColor="text1"/>
                      <w:szCs w:val="21"/>
                      <w:lang w:val="en-US" w:eastAsia="zh-CN"/>
                      <w14:textFill>
                        <w14:solidFill>
                          <w14:schemeClr w14:val="tx1"/>
                        </w14:solidFill>
                      </w14:textFill>
                    </w:rPr>
                    <w:t>)</w:t>
                  </w:r>
                  <w:r>
                    <w:rPr>
                      <w:rFonts w:hint="eastAsia" w:ascii="Times New Roman" w:hAnsi="宋体" w:eastAsia="宋体" w:cs="Times New Roman"/>
                      <w:color w:val="000000" w:themeColor="text1"/>
                      <w:szCs w:val="21"/>
                      <w:lang w:val="en-US" w:eastAsia="zh-CN"/>
                      <w14:textFill>
                        <w14:solidFill>
                          <w14:schemeClr w14:val="tx1"/>
                        </w14:solidFill>
                      </w14:textFill>
                    </w:rPr>
                    <w:t>防治；</w:t>
                  </w:r>
                  <w:r>
                    <w:rPr>
                      <w:rFonts w:hint="default" w:ascii="Times New Roman" w:hAnsi="宋体" w:eastAsia="宋体" w:cs="Times New Roman"/>
                      <w:color w:val="000000" w:themeColor="text1"/>
                      <w:szCs w:val="21"/>
                      <w:lang w:val="en-US" w:eastAsia="zh-CN"/>
                      <w14:textFill>
                        <w14:solidFill>
                          <w14:schemeClr w14:val="tx1"/>
                        </w14:solidFill>
                      </w14:textFill>
                    </w:rPr>
                    <w:t>4</w:t>
                  </w:r>
                  <w:r>
                    <w:rPr>
                      <w:rFonts w:hint="eastAsia" w:ascii="Times New Roman" w:hAnsi="宋体" w:eastAsia="宋体" w:cs="Times New Roman"/>
                      <w:color w:val="000000" w:themeColor="text1"/>
                      <w:szCs w:val="21"/>
                      <w:lang w:val="en-US" w:eastAsia="zh-CN"/>
                      <w14:textFill>
                        <w14:solidFill>
                          <w14:schemeClr w14:val="tx1"/>
                        </w14:solidFill>
                      </w14:textFill>
                    </w:rPr>
                    <w:t>、煤炭清洁高效开发利用技术：煤层气勘探、开发、利用和煤矿瓦斯抽采、利用</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宋体" w:eastAsia="宋体" w:cs="Times New Roman"/>
                      <w:color w:val="000000" w:themeColor="text1"/>
                      <w:szCs w:val="21"/>
                      <w:lang w:val="en-US" w:eastAsia="zh-CN"/>
                      <w14:textFill>
                        <w14:solidFill>
                          <w14:schemeClr w14:val="tx1"/>
                        </w14:solidFill>
                      </w14:textFill>
                    </w:rPr>
                    <w:t>。</w:t>
                  </w:r>
                  <w:r>
                    <w:rPr>
                      <w:rFonts w:ascii="Times New Roman" w:hAnsi="宋体" w:eastAsia="宋体" w:cs="Times New Roman"/>
                      <w:color w:val="000000" w:themeColor="text1"/>
                      <w:szCs w:val="21"/>
                      <w14:textFill>
                        <w14:solidFill>
                          <w14:schemeClr w14:val="tx1"/>
                        </w14:solidFill>
                      </w14:textFill>
                    </w:rPr>
                    <w:t>本</w:t>
                  </w:r>
                  <w:r>
                    <w:rPr>
                      <w:rFonts w:hint="eastAsia" w:ascii="Times New Roman" w:hAnsi="宋体" w:eastAsia="宋体" w:cs="Times New Roman"/>
                      <w:color w:val="000000" w:themeColor="text1"/>
                      <w:szCs w:val="21"/>
                      <w:lang w:eastAsia="zh-CN"/>
                      <w14:textFill>
                        <w14:solidFill>
                          <w14:schemeClr w14:val="tx1"/>
                        </w14:solidFill>
                      </w14:textFill>
                    </w:rPr>
                    <w:t>项目</w:t>
                  </w:r>
                  <w:r>
                    <w:rPr>
                      <w:rFonts w:ascii="Times New Roman" w:hAnsi="宋体" w:eastAsia="宋体" w:cs="Times New Roman"/>
                      <w:color w:val="000000" w:themeColor="text1"/>
                      <w:szCs w:val="21"/>
                      <w14:textFill>
                        <w14:solidFill>
                          <w14:schemeClr w14:val="tx1"/>
                        </w14:solidFill>
                      </w14:textFill>
                    </w:rPr>
                    <w:t>不属于</w:t>
                  </w:r>
                  <w:r>
                    <w:rPr>
                      <w:rFonts w:ascii="Times New Roman" w:cs="Times New Roman"/>
                      <w:color w:val="000000" w:themeColor="text1"/>
                      <w14:textFill>
                        <w14:solidFill>
                          <w14:schemeClr w14:val="tx1"/>
                        </w14:solidFill>
                      </w14:textFill>
                    </w:rPr>
                    <w:t>独立焦化、烧结、球团、热轧企业</w:t>
                  </w:r>
                  <w:r>
                    <w:rPr>
                      <w:rFonts w:hint="eastAsia" w:ascii="Times New Roman" w:cs="Times New Roman"/>
                      <w:color w:val="000000" w:themeColor="text1"/>
                      <w:lang w:eastAsia="zh-CN"/>
                      <w14:textFill>
                        <w14:solidFill>
                          <w14:schemeClr w14:val="tx1"/>
                        </w14:solidFill>
                      </w14:textFill>
                    </w:rPr>
                    <w:t>。</w:t>
                  </w:r>
                  <w:r>
                    <w:rPr>
                      <w:rFonts w:hint="eastAsia" w:ascii="Times New Roman" w:cs="Times New Roman"/>
                      <w:color w:val="000000" w:themeColor="text1"/>
                      <w14:textFill>
                        <w14:solidFill>
                          <w14:schemeClr w14:val="tx1"/>
                        </w14:solidFill>
                      </w14:textFill>
                    </w:rPr>
                    <w:t>本项目不涉及</w:t>
                  </w:r>
                  <w:r>
                    <w:rPr>
                      <w:rFonts w:ascii="Times New Roman" w:cs="Times New Roman"/>
                      <w:color w:val="000000" w:themeColor="text1"/>
                      <w14:textFill>
                        <w14:solidFill>
                          <w14:schemeClr w14:val="tx1"/>
                        </w14:solidFill>
                      </w14:textFill>
                    </w:rPr>
                    <w:t>煤炭洗选</w:t>
                  </w:r>
                  <w:r>
                    <w:rPr>
                      <w:rFonts w:hint="eastAsia" w:ascii="Times New Roman" w:cs="Times New Roman"/>
                      <w:color w:val="000000" w:themeColor="text1"/>
                      <w:lang w:eastAsia="zh-CN"/>
                      <w14:textFill>
                        <w14:solidFill>
                          <w14:schemeClr w14:val="tx1"/>
                        </w14:solidFill>
                      </w14:textFill>
                    </w:rPr>
                    <w:t>、</w:t>
                  </w:r>
                  <w:r>
                    <w:rPr>
                      <w:rFonts w:ascii="Times New Roman" w:cs="Times New Roman"/>
                      <w:color w:val="000000" w:themeColor="text1"/>
                      <w14:textFill>
                        <w14:solidFill>
                          <w14:schemeClr w14:val="tx1"/>
                        </w14:solidFill>
                      </w14:textFill>
                    </w:rPr>
                    <w:t>步进式烧结机和球团竖炉以及半封闭式硅锰合金、镍铁、高碳铬铁、高碳锰铁电炉</w:t>
                  </w:r>
                  <w:r>
                    <w:rPr>
                      <w:rFonts w:hint="eastAsia" w:ascii="Times New Roman" w:cs="Times New Roman"/>
                      <w:color w:val="000000" w:themeColor="text1"/>
                      <w:lang w:eastAsia="zh-CN"/>
                      <w14:textFill>
                        <w14:solidFill>
                          <w14:schemeClr w14:val="tx1"/>
                        </w14:solidFill>
                      </w14:textFill>
                    </w:rPr>
                    <w:t>。</w:t>
                  </w:r>
                  <w:r>
                    <w:rPr>
                      <w:rFonts w:ascii="Times New Roman" w:cs="Times New Roman"/>
                      <w:color w:val="000000" w:themeColor="text1"/>
                      <w14:textFill>
                        <w14:solidFill>
                          <w14:schemeClr w14:val="tx1"/>
                        </w14:solidFill>
                      </w14:textFill>
                    </w:rPr>
                    <w:t>本项目不新增钢铁、水泥（熟料）、焦化、电解铝、平板玻璃（不含光伏压延玻璃）产能</w:t>
                  </w:r>
                </w:p>
              </w:tc>
              <w:tc>
                <w:tcPr>
                  <w:tcW w:w="273" w:type="pct"/>
                  <w:vAlign w:val="center"/>
                </w:tcPr>
                <w:p w14:paraId="4C77245E">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符合</w:t>
                  </w:r>
                </w:p>
              </w:tc>
            </w:tr>
            <w:tr w14:paraId="60E68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11" w:type="pct"/>
                  <w:vAlign w:val="center"/>
                </w:tcPr>
                <w:p w14:paraId="75B72BAB">
                  <w:pPr>
                    <w:spacing w:line="276" w:lineRule="auto"/>
                    <w:jc w:val="center"/>
                    <w:rPr>
                      <w:color w:val="000000" w:themeColor="text1"/>
                      <w14:textFill>
                        <w14:solidFill>
                          <w14:schemeClr w14:val="tx1"/>
                        </w14:solidFill>
                      </w14:textFill>
                    </w:rPr>
                  </w:pPr>
                  <w:r>
                    <w:rPr>
                      <w:color w:val="000000" w:themeColor="text1"/>
                      <w14:textFill>
                        <w14:solidFill>
                          <w14:schemeClr w14:val="tx1"/>
                        </w14:solidFill>
                      </w14:textFill>
                    </w:rPr>
                    <w:t>加强城市公共裸地扬尘管控，对在建工地、闲置地块等裸露土地开展排查建档，因地制宜落实抑尘措施。严格落实城市大型煤炭、矿石等干散货码头物料堆放场所主体责任，完善露天堆场防风网、喷淋装置、防尘屏障等抑尘设施建设和物料输送系统封闭改造</w:t>
                  </w:r>
                </w:p>
              </w:tc>
              <w:tc>
                <w:tcPr>
                  <w:tcW w:w="2415" w:type="pct"/>
                  <w:vAlign w:val="center"/>
                </w:tcPr>
                <w:p w14:paraId="45A69455">
                  <w:pPr>
                    <w:spacing w:line="276" w:lineRule="auto"/>
                    <w:jc w:val="center"/>
                    <w:rPr>
                      <w:rFonts w:ascii="Times New Roman" w:hAnsi="宋体" w:eastAsia="宋体" w:cs="Times New Roman"/>
                      <w:color w:val="000000" w:themeColor="text1"/>
                      <w:szCs w:val="21"/>
                      <w14:textFill>
                        <w14:solidFill>
                          <w14:schemeClr w14:val="tx1"/>
                        </w14:solidFill>
                      </w14:textFill>
                    </w:rPr>
                  </w:pPr>
                  <w:r>
                    <w:rPr>
                      <w:rFonts w:ascii="Times New Roman" w:cs="Times New Roman"/>
                      <w:color w:val="000000" w:themeColor="text1"/>
                      <w14:textFill>
                        <w14:solidFill>
                          <w14:schemeClr w14:val="tx1"/>
                        </w14:solidFill>
                      </w14:textFill>
                    </w:rPr>
                    <w:t>本项目</w:t>
                  </w:r>
                  <w:r>
                    <w:rPr>
                      <w:rFonts w:hint="eastAsia" w:ascii="Times New Roman" w:cs="Times New Roman"/>
                      <w:color w:val="000000" w:themeColor="text1"/>
                      <w:lang w:eastAsia="zh-CN"/>
                      <w14:textFill>
                        <w14:solidFill>
                          <w14:schemeClr w14:val="tx1"/>
                        </w14:solidFill>
                      </w14:textFill>
                    </w:rPr>
                    <w:t>施工过程中强化扬尘治理，采取苫盖、洒水抑尘等措施防治扬尘产生和排放</w:t>
                  </w:r>
                  <w:r>
                    <w:rPr>
                      <w:rFonts w:ascii="Times New Roman" w:cs="Times New Roman"/>
                      <w:color w:val="000000" w:themeColor="text1"/>
                      <w14:textFill>
                        <w14:solidFill>
                          <w14:schemeClr w14:val="tx1"/>
                        </w14:solidFill>
                      </w14:textFill>
                    </w:rPr>
                    <w:t>。</w:t>
                  </w:r>
                </w:p>
              </w:tc>
              <w:tc>
                <w:tcPr>
                  <w:tcW w:w="273" w:type="pct"/>
                  <w:vAlign w:val="center"/>
                </w:tcPr>
                <w:p w14:paraId="4C378B7E">
                  <w:pPr>
                    <w:spacing w:line="276" w:lineRule="auto"/>
                    <w:jc w:val="center"/>
                    <w:rPr>
                      <w:rFonts w:ascii="Times New Roman" w:hAnsi="宋体" w:eastAsia="宋体" w:cs="Times New Roman"/>
                      <w:color w:val="000000" w:themeColor="text1"/>
                      <w:szCs w:val="21"/>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符合</w:t>
                  </w:r>
                </w:p>
              </w:tc>
            </w:tr>
          </w:tbl>
          <w:p w14:paraId="17B908C9">
            <w:pPr>
              <w:autoSpaceDE w:val="0"/>
              <w:autoSpaceDN w:val="0"/>
              <w:spacing w:line="360" w:lineRule="auto"/>
              <w:ind w:firstLine="480" w:firstLineChars="200"/>
              <w:rPr>
                <w:rFonts w:ascii="Times New Roman" w:hAnsi="宋体" w:eastAsia="宋体" w:cs="Times New Roman"/>
                <w:color w:val="000000" w:themeColor="text1"/>
                <w:kern w:val="0"/>
                <w:sz w:val="24"/>
                <w:szCs w:val="24"/>
                <w14:textFill>
                  <w14:solidFill>
                    <w14:schemeClr w14:val="tx1"/>
                  </w14:solidFill>
                </w14:textFill>
              </w:rPr>
            </w:pPr>
            <w:r>
              <w:rPr>
                <w:rFonts w:ascii="Times New Roman" w:hAnsi="宋体" w:eastAsia="宋体" w:cs="Times New Roman"/>
                <w:color w:val="000000" w:themeColor="text1"/>
                <w:kern w:val="0"/>
                <w:sz w:val="24"/>
                <w:szCs w:val="24"/>
                <w14:textFill>
                  <w14:solidFill>
                    <w14:schemeClr w14:val="tx1"/>
                  </w14:solidFill>
                </w14:textFill>
              </w:rPr>
              <w:t>根据上述分析可知，本项目与《安徽省空气质量持续改善行动方案》（皖政〔2024〕36号）相关规范相符。</w:t>
            </w:r>
          </w:p>
          <w:p w14:paraId="6BB47514">
            <w:pPr>
              <w:autoSpaceDE w:val="0"/>
              <w:autoSpaceDN w:val="0"/>
              <w:spacing w:line="360" w:lineRule="auto"/>
              <w:ind w:firstLine="482" w:firstLineChars="200"/>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w:t>
            </w:r>
            <w:r>
              <w:rPr>
                <w:rFonts w:hint="eastAsia" w:ascii="Times New Roman" w:hAnsi="Times New Roman" w:eastAsia="宋体" w:cs="Times New Roman"/>
                <w:b/>
                <w:bCs/>
                <w:kern w:val="0"/>
                <w:sz w:val="24"/>
                <w:szCs w:val="24"/>
                <w:lang w:val="en-US" w:eastAsia="zh-CN"/>
              </w:rPr>
              <w:t>4</w:t>
            </w:r>
            <w:r>
              <w:rPr>
                <w:rFonts w:hint="eastAsia" w:ascii="Times New Roman" w:hAnsi="Times New Roman" w:eastAsia="宋体" w:cs="Times New Roman"/>
                <w:b/>
                <w:bCs/>
                <w:kern w:val="0"/>
                <w:sz w:val="24"/>
                <w:szCs w:val="24"/>
              </w:rPr>
              <w:t>）</w:t>
            </w:r>
            <w:r>
              <w:rPr>
                <w:rFonts w:ascii="Times New Roman" w:hAnsi="Times New Roman" w:eastAsia="宋体" w:cs="Times New Roman"/>
                <w:b/>
                <w:bCs/>
                <w:kern w:val="0"/>
                <w:sz w:val="24"/>
                <w:szCs w:val="24"/>
              </w:rPr>
              <w:t>与《基本农田保护条例》符合性分析</w:t>
            </w:r>
          </w:p>
          <w:p w14:paraId="5FF35C4C">
            <w:pPr>
              <w:pStyle w:val="95"/>
              <w:numPr>
                <w:ilvl w:val="1"/>
                <w:numId w:val="2"/>
              </w:numPr>
              <w:tabs>
                <w:tab w:val="left" w:pos="2100"/>
                <w:tab w:val="clear" w:pos="1440"/>
              </w:tabs>
              <w:spacing w:line="240" w:lineRule="auto"/>
              <w:ind w:left="3300" w:leftChars="0" w:hanging="1200" w:firstLineChars="0"/>
              <w:jc w:val="both"/>
              <w:rPr>
                <w:rFonts w:hint="eastAsia" w:ascii="宋体" w:hAnsi="宋体" w:eastAsia="宋体" w:cs="宋体"/>
                <w:kern w:val="0"/>
                <w:sz w:val="24"/>
                <w:szCs w:val="24"/>
              </w:rPr>
            </w:pPr>
            <w:r>
              <w:rPr>
                <w:rFonts w:hint="eastAsia" w:ascii="宋体" w:hAnsi="宋体" w:eastAsia="宋体" w:cs="宋体"/>
                <w:color w:val="000000" w:themeColor="text1"/>
                <w:sz w:val="24"/>
                <w:szCs w:val="24"/>
                <w14:textFill>
                  <w14:solidFill>
                    <w14:schemeClr w14:val="tx1"/>
                  </w14:solidFill>
                </w14:textFill>
              </w:rPr>
              <w:t>与</w:t>
            </w:r>
            <w:r>
              <w:rPr>
                <w:rFonts w:hint="eastAsia" w:ascii="宋体" w:hAnsi="宋体" w:eastAsia="宋体" w:cs="宋体"/>
                <w:color w:val="000000"/>
                <w:sz w:val="24"/>
                <w:szCs w:val="24"/>
              </w:rPr>
              <w:t>《基本农田保护条例》符合性分析</w:t>
            </w:r>
          </w:p>
          <w:tbl>
            <w:tblPr>
              <w:tblStyle w:val="2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07"/>
              <w:gridCol w:w="3916"/>
              <w:gridCol w:w="1063"/>
            </w:tblGrid>
            <w:tr w14:paraId="27750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843" w:type="pct"/>
                  <w:vAlign w:val="center"/>
                </w:tcPr>
                <w:p w14:paraId="486CC5C4">
                  <w:pPr>
                    <w:spacing w:before="100" w:beforeAutospacing="1" w:after="100" w:afterAutospacing="1" w:line="276" w:lineRule="auto"/>
                    <w:jc w:val="center"/>
                    <w:rPr>
                      <w:rFonts w:ascii="Times New Roman" w:hAnsi="宋体" w:eastAsia="宋体" w:cs="Times New Roman"/>
                      <w:b/>
                      <w:color w:val="000000" w:themeColor="text1"/>
                      <w:kern w:val="21"/>
                      <w:szCs w:val="21"/>
                      <w14:textFill>
                        <w14:solidFill>
                          <w14:schemeClr w14:val="tx1"/>
                        </w14:solidFill>
                      </w14:textFill>
                    </w:rPr>
                  </w:pPr>
                  <w:r>
                    <w:rPr>
                      <w:rFonts w:hint="eastAsia" w:ascii="Times New Roman" w:hAnsi="宋体" w:eastAsia="宋体" w:cs="Times New Roman"/>
                      <w:b/>
                      <w:color w:val="000000" w:themeColor="text1"/>
                      <w:kern w:val="21"/>
                      <w:szCs w:val="21"/>
                      <w14:textFill>
                        <w14:solidFill>
                          <w14:schemeClr w14:val="tx1"/>
                        </w14:solidFill>
                      </w14:textFill>
                    </w:rPr>
                    <w:t>相关</w:t>
                  </w:r>
                  <w:r>
                    <w:rPr>
                      <w:rFonts w:ascii="Times New Roman" w:hAnsi="宋体" w:eastAsia="宋体" w:cs="Times New Roman"/>
                      <w:b/>
                      <w:color w:val="000000" w:themeColor="text1"/>
                      <w:kern w:val="21"/>
                      <w:szCs w:val="21"/>
                      <w14:textFill>
                        <w14:solidFill>
                          <w14:schemeClr w14:val="tx1"/>
                        </w14:solidFill>
                      </w14:textFill>
                    </w:rPr>
                    <w:t>规范情况</w:t>
                  </w:r>
                </w:p>
              </w:tc>
              <w:tc>
                <w:tcPr>
                  <w:tcW w:w="2483" w:type="pct"/>
                  <w:vAlign w:val="center"/>
                </w:tcPr>
                <w:p w14:paraId="4FB29566">
                  <w:pPr>
                    <w:spacing w:before="100" w:beforeAutospacing="1" w:after="100" w:afterAutospacing="1" w:line="276" w:lineRule="auto"/>
                    <w:jc w:val="center"/>
                    <w:rPr>
                      <w:rFonts w:ascii="Times New Roman" w:hAnsi="Times New Roman" w:eastAsia="宋体" w:cs="Times New Roman"/>
                      <w:b/>
                      <w:color w:val="000000" w:themeColor="text1"/>
                      <w:kern w:val="21"/>
                      <w:szCs w:val="21"/>
                      <w14:textFill>
                        <w14:solidFill>
                          <w14:schemeClr w14:val="tx1"/>
                        </w14:solidFill>
                      </w14:textFill>
                    </w:rPr>
                  </w:pPr>
                  <w:r>
                    <w:rPr>
                      <w:rFonts w:ascii="Times New Roman" w:hAnsi="宋体" w:eastAsia="宋体" w:cs="Times New Roman"/>
                      <w:b/>
                      <w:color w:val="000000" w:themeColor="text1"/>
                      <w:kern w:val="21"/>
                      <w:szCs w:val="21"/>
                      <w14:textFill>
                        <w14:solidFill>
                          <w14:schemeClr w14:val="tx1"/>
                        </w14:solidFill>
                      </w14:textFill>
                    </w:rPr>
                    <w:t>建设项目情况</w:t>
                  </w:r>
                </w:p>
              </w:tc>
              <w:tc>
                <w:tcPr>
                  <w:tcW w:w="674" w:type="pct"/>
                  <w:vAlign w:val="center"/>
                </w:tcPr>
                <w:p w14:paraId="7509D699">
                  <w:pPr>
                    <w:spacing w:before="100" w:beforeAutospacing="1" w:after="100" w:afterAutospacing="1" w:line="276" w:lineRule="auto"/>
                    <w:jc w:val="center"/>
                    <w:rPr>
                      <w:rFonts w:ascii="Times New Roman" w:hAnsi="Times New Roman" w:eastAsia="宋体" w:cs="Times New Roman"/>
                      <w:b/>
                      <w:color w:val="000000" w:themeColor="text1"/>
                      <w:kern w:val="21"/>
                      <w:szCs w:val="21"/>
                      <w14:textFill>
                        <w14:solidFill>
                          <w14:schemeClr w14:val="tx1"/>
                        </w14:solidFill>
                      </w14:textFill>
                    </w:rPr>
                  </w:pPr>
                  <w:r>
                    <w:rPr>
                      <w:rFonts w:hint="eastAsia" w:ascii="Times New Roman" w:hAnsi="宋体" w:eastAsia="宋体" w:cs="Times New Roman"/>
                      <w:b/>
                      <w:color w:val="000000" w:themeColor="text1"/>
                      <w:kern w:val="21"/>
                      <w:szCs w:val="21"/>
                      <w14:textFill>
                        <w14:solidFill>
                          <w14:schemeClr w14:val="tx1"/>
                        </w14:solidFill>
                      </w14:textFill>
                    </w:rPr>
                    <w:t>是否符合</w:t>
                  </w:r>
                </w:p>
              </w:tc>
            </w:tr>
            <w:tr w14:paraId="5E099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843" w:type="pct"/>
                  <w:vAlign w:val="center"/>
                </w:tcPr>
                <w:p w14:paraId="3B4FC335">
                  <w:pPr>
                    <w:autoSpaceDE w:val="0"/>
                    <w:autoSpaceDN w:val="0"/>
                    <w:spacing w:line="276" w:lineRule="auto"/>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kern w:val="0"/>
                      <w:szCs w:val="21"/>
                    </w:rPr>
                    <w:t>基本农田保护区经依法划定后，任何单位和个人不得改变或者占用。国家能源、交通、水利、军事设施等重点建设项目选址确实无法避开基本农田，需要占用基本农田，涉及用地转用或者征收土地的，必须经国务院批准。占用基本农田的单位应当按照县级以上地方人民政府的要求，将所占用基本农田耕作层的土壤用于新开垦耕地劣质地或者其他耕地的土壤改良</w:t>
                  </w:r>
                </w:p>
              </w:tc>
              <w:tc>
                <w:tcPr>
                  <w:tcW w:w="2483" w:type="pct"/>
                  <w:vAlign w:val="center"/>
                </w:tcPr>
                <w:p w14:paraId="5C3CD13B">
                  <w:pPr>
                    <w:spacing w:line="276" w:lineRule="auto"/>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21"/>
                      <w14:textFill>
                        <w14:solidFill>
                          <w14:schemeClr w14:val="tx1"/>
                        </w14:solidFill>
                      </w14:textFill>
                    </w:rPr>
                    <w:t>本项目</w:t>
                  </w:r>
                  <w:r>
                    <w:rPr>
                      <w:rFonts w:ascii="Times New Roman" w:hAnsi="Times New Roman" w:eastAsia="宋体" w:cs="Times New Roman"/>
                      <w:color w:val="000000" w:themeColor="text1"/>
                      <w:kern w:val="21"/>
                      <w:sz w:val="21"/>
                      <w:szCs w:val="21"/>
                      <w:highlight w:val="none"/>
                      <w14:textFill>
                        <w14:solidFill>
                          <w14:schemeClr w14:val="tx1"/>
                        </w14:solidFill>
                      </w14:textFill>
                    </w:rPr>
                    <w:t>临时用地面积为</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8265m</w:t>
                  </w:r>
                  <w:r>
                    <w:rPr>
                      <w:rFonts w:hint="eastAsia" w:ascii="Times New Roman" w:hAnsi="宋体" w:eastAsia="宋体" w:cs="Times New Roman"/>
                      <w:color w:val="000000" w:themeColor="text1"/>
                      <w:sz w:val="21"/>
                      <w:szCs w:val="21"/>
                      <w:highlight w:val="none"/>
                      <w:vertAlign w:val="superscript"/>
                      <w:lang w:val="en-US" w:eastAsia="zh-CN"/>
                      <w14:textFill>
                        <w14:solidFill>
                          <w14:schemeClr w14:val="tx1"/>
                        </w14:solidFill>
                      </w14:textFill>
                    </w:rPr>
                    <w:t>2</w:t>
                  </w:r>
                  <w:r>
                    <w:rPr>
                      <w:rFonts w:ascii="Times New Roman" w:hAnsi="Times New Roman" w:eastAsia="宋体" w:cs="Times New Roman"/>
                      <w:color w:val="000000" w:themeColor="text1"/>
                      <w:kern w:val="21"/>
                      <w:sz w:val="21"/>
                      <w:szCs w:val="21"/>
                      <w:highlight w:val="none"/>
                      <w14:textFill>
                        <w14:solidFill>
                          <w14:schemeClr w14:val="tx1"/>
                        </w14:solidFill>
                      </w14:textFill>
                    </w:rPr>
                    <w:t>，</w:t>
                  </w:r>
                  <w:r>
                    <w:rPr>
                      <w:rFonts w:hint="eastAsia" w:ascii="Times New Roman" w:hAnsi="宋体" w:eastAsia="宋体" w:cs="Times New Roman"/>
                      <w:color w:val="000000" w:themeColor="text1"/>
                      <w:sz w:val="21"/>
                      <w:szCs w:val="21"/>
                      <w:lang w:val="en-US" w:eastAsia="zh-CN"/>
                      <w14:textFill>
                        <w14:solidFill>
                          <w14:schemeClr w14:val="tx1"/>
                        </w14:solidFill>
                      </w14:textFill>
                    </w:rPr>
                    <w:t>全部为</w:t>
                  </w:r>
                  <w:r>
                    <w:rPr>
                      <w:rFonts w:hint="eastAsia" w:ascii="Times New Roman" w:hAnsi="宋体" w:eastAsia="宋体" w:cs="Times New Roman"/>
                      <w:color w:val="000000"/>
                      <w:sz w:val="21"/>
                      <w:szCs w:val="21"/>
                      <w:lang w:eastAsia="zh-CN"/>
                    </w:rPr>
                    <w:t>新集村</w:t>
                  </w:r>
                  <w:r>
                    <w:rPr>
                      <w:rFonts w:hint="eastAsia" w:ascii="Times New Roman" w:hAnsi="宋体" w:eastAsia="宋体" w:cs="Times New Roman"/>
                      <w:color w:val="000000" w:themeColor="text1"/>
                      <w:sz w:val="21"/>
                      <w:szCs w:val="21"/>
                      <w:lang w:val="en-US" w:eastAsia="zh-CN"/>
                      <w14:textFill>
                        <w14:solidFill>
                          <w14:schemeClr w14:val="tx1"/>
                        </w14:solidFill>
                      </w14:textFill>
                    </w:rPr>
                    <w:t>集体土地，其中占用</w:t>
                  </w:r>
                  <w:r>
                    <w:rPr>
                      <w:rFonts w:hint="eastAsia" w:ascii="Times New Roman" w:hAnsi="Times New Roman" w:eastAsia="宋体" w:cs="Times New Roman"/>
                      <w:color w:val="000000" w:themeColor="text1"/>
                      <w:kern w:val="21"/>
                      <w:sz w:val="21"/>
                      <w:szCs w:val="21"/>
                      <w:highlight w:val="none"/>
                      <w14:textFill>
                        <w14:solidFill>
                          <w14:schemeClr w14:val="tx1"/>
                        </w14:solidFill>
                      </w14:textFill>
                    </w:rPr>
                    <w:t>已划定永久基本农田</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8252</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宋体"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1"/>
                      <w:sz w:val="21"/>
                      <w:szCs w:val="21"/>
                      <w:highlight w:val="none"/>
                      <w14:textFill>
                        <w14:solidFill>
                          <w14:schemeClr w14:val="tx1"/>
                        </w14:solidFill>
                      </w14:textFill>
                    </w:rPr>
                    <w:t>，</w:t>
                  </w:r>
                  <w:r>
                    <w:rPr>
                      <w:rFonts w:hint="eastAsia" w:ascii="Times New Roman" w:hAnsi="Times New Roman" w:eastAsia="宋体" w:cs="Times New Roman"/>
                      <w:color w:val="000000" w:themeColor="text1"/>
                      <w:kern w:val="21"/>
                      <w:sz w:val="21"/>
                      <w:szCs w:val="21"/>
                      <w:highlight w:val="none"/>
                      <w:lang w:eastAsia="zh-CN"/>
                      <w14:textFill>
                        <w14:solidFill>
                          <w14:schemeClr w14:val="tx1"/>
                        </w14:solidFill>
                      </w14:textFill>
                    </w:rPr>
                    <w:t>占地</w:t>
                  </w:r>
                  <w:r>
                    <w:rPr>
                      <w:rFonts w:hint="eastAsia" w:ascii="Times New Roman" w:hAnsi="Times New Roman" w:eastAsia="宋体" w:cs="Times New Roman"/>
                      <w:color w:val="000000" w:themeColor="text1"/>
                      <w:kern w:val="21"/>
                      <w:sz w:val="21"/>
                      <w:szCs w:val="21"/>
                      <w:highlight w:val="none"/>
                      <w14:textFill>
                        <w14:solidFill>
                          <w14:schemeClr w14:val="tx1"/>
                        </w14:solidFill>
                      </w14:textFill>
                    </w:rPr>
                    <w:t>不涉及生态保护红线</w:t>
                  </w:r>
                  <w:r>
                    <w:rPr>
                      <w:rFonts w:hint="eastAsia" w:ascii="Times New Roman" w:hAnsi="宋体" w:eastAsia="宋体" w:cs="Times New Roman"/>
                      <w:color w:val="000000" w:themeColor="text1"/>
                      <w:sz w:val="21"/>
                      <w:szCs w:val="21"/>
                      <w:highlight w:val="none"/>
                      <w:vertAlign w:val="baseline"/>
                      <w:lang w:val="en-US" w:eastAsia="zh-CN"/>
                      <w14:textFill>
                        <w14:solidFill>
                          <w14:schemeClr w14:val="tx1"/>
                        </w14:solidFill>
                      </w14:textFill>
                    </w:rPr>
                    <w:t>。本</w:t>
                  </w:r>
                  <w:r>
                    <w:rPr>
                      <w:rFonts w:ascii="Times New Roman" w:hAnsi="Times New Roman" w:eastAsia="宋体" w:cs="Times New Roman"/>
                      <w:color w:val="000000" w:themeColor="text1"/>
                      <w:kern w:val="21"/>
                      <w:sz w:val="21"/>
                      <w:szCs w:val="21"/>
                      <w14:textFill>
                        <w14:solidFill>
                          <w14:schemeClr w14:val="tx1"/>
                        </w14:solidFill>
                      </w14:textFill>
                    </w:rPr>
                    <w:t>项目</w:t>
                  </w:r>
                  <w:r>
                    <w:rPr>
                      <w:rFonts w:hint="eastAsia" w:ascii="Times New Roman" w:hAnsi="Times New Roman" w:eastAsia="宋体" w:cs="Times New Roman"/>
                      <w:color w:val="000000" w:themeColor="text1"/>
                      <w:kern w:val="21"/>
                      <w:sz w:val="21"/>
                      <w:szCs w:val="21"/>
                      <w:lang w:eastAsia="zh-CN"/>
                      <w14:textFill>
                        <w14:solidFill>
                          <w14:schemeClr w14:val="tx1"/>
                        </w14:solidFill>
                      </w14:textFill>
                    </w:rPr>
                    <w:t>为煤炭开采瓦斯治</w:t>
                  </w:r>
                  <w:r>
                    <w:rPr>
                      <w:rFonts w:hint="eastAsia" w:ascii="Times New Roman" w:hAnsi="Times New Roman" w:eastAsia="宋体" w:cs="Times New Roman"/>
                      <w:color w:val="000000" w:themeColor="text1"/>
                      <w:kern w:val="21"/>
                      <w:lang w:eastAsia="zh-CN"/>
                      <w14:textFill>
                        <w14:solidFill>
                          <w14:schemeClr w14:val="tx1"/>
                        </w14:solidFill>
                      </w14:textFill>
                    </w:rPr>
                    <w:t>理工程，根据井田布局及治理需要项目施工无法避让基本农田，建设单位已按照相关要求</w:t>
                  </w:r>
                  <w:r>
                    <w:rPr>
                      <w:rFonts w:ascii="Times New Roman" w:hAnsi="Times New Roman" w:eastAsia="宋体" w:cs="Times New Roman"/>
                      <w:bCs/>
                      <w:color w:val="000000" w:themeColor="text1"/>
                      <w:kern w:val="21"/>
                      <w:szCs w:val="21"/>
                      <w:highlight w:val="none"/>
                      <w14:textFill>
                        <w14:solidFill>
                          <w14:schemeClr w14:val="tx1"/>
                        </w14:solidFill>
                      </w14:textFill>
                    </w:rPr>
                    <w:t>取得了淮南市自然资源和规划局出具的临时用地的批复</w:t>
                  </w:r>
                  <w:r>
                    <w:rPr>
                      <w:rFonts w:hint="eastAsia" w:ascii="Times New Roman" w:hAnsi="Times New Roman" w:eastAsia="宋体" w:cs="Times New Roman"/>
                      <w:bCs/>
                      <w:color w:val="000000" w:themeColor="text1"/>
                      <w:kern w:val="21"/>
                      <w:szCs w:val="21"/>
                      <w:highlight w:val="none"/>
                      <w:lang w:eastAsia="zh-CN"/>
                      <w14:textFill>
                        <w14:solidFill>
                          <w14:schemeClr w14:val="tx1"/>
                        </w14:solidFill>
                      </w14:textFill>
                    </w:rPr>
                    <w:t>，</w:t>
                  </w:r>
                  <w:r>
                    <w:rPr>
                      <w:rFonts w:ascii="Times New Roman" w:hAnsi="Times New Roman" w:eastAsia="宋体" w:cs="Times New Roman"/>
                      <w:color w:val="000000" w:themeColor="text1"/>
                      <w:kern w:val="21"/>
                      <w:highlight w:val="none"/>
                      <w14:textFill>
                        <w14:solidFill>
                          <w14:schemeClr w14:val="tx1"/>
                        </w14:solidFill>
                      </w14:textFill>
                    </w:rPr>
                    <w:t>用地时间为</w:t>
                  </w:r>
                  <w:r>
                    <w:rPr>
                      <w:rFonts w:hint="eastAsia" w:ascii="Times New Roman" w:hAnsi="Times New Roman" w:eastAsia="宋体" w:cs="Times New Roman"/>
                      <w:color w:val="000000" w:themeColor="text1"/>
                      <w:kern w:val="21"/>
                      <w:highlight w:val="none"/>
                      <w14:textFill>
                        <w14:solidFill>
                          <w14:schemeClr w14:val="tx1"/>
                        </w14:solidFill>
                      </w14:textFill>
                    </w:rPr>
                    <w:t>2</w:t>
                  </w:r>
                  <w:r>
                    <w:rPr>
                      <w:rFonts w:ascii="Times New Roman" w:hAnsi="Times New Roman" w:eastAsia="宋体" w:cs="Times New Roman"/>
                      <w:color w:val="000000" w:themeColor="text1"/>
                      <w:kern w:val="21"/>
                      <w:highlight w:val="none"/>
                      <w14:textFill>
                        <w14:solidFill>
                          <w14:schemeClr w14:val="tx1"/>
                        </w14:solidFill>
                      </w14:textFill>
                    </w:rPr>
                    <w:t>年</w:t>
                  </w:r>
                  <w:r>
                    <w:rPr>
                      <w:rFonts w:ascii="Times New Roman" w:hAnsi="Times New Roman" w:eastAsia="宋体" w:cs="Times New Roman"/>
                      <w:color w:val="000000" w:themeColor="text1"/>
                      <w:kern w:val="21"/>
                      <w:szCs w:val="21"/>
                      <w:highlight w:val="none"/>
                      <w14:textFill>
                        <w14:solidFill>
                          <w14:schemeClr w14:val="tx1"/>
                        </w14:solidFill>
                      </w14:textFill>
                    </w:rPr>
                    <w:t>。</w:t>
                  </w:r>
                  <w:r>
                    <w:rPr>
                      <w:rFonts w:hint="eastAsia" w:ascii="Times New Roman" w:hAnsi="Times New Roman" w:eastAsia="宋体" w:cs="Times New Roman"/>
                      <w:bCs/>
                      <w:color w:val="000000" w:themeColor="text1"/>
                      <w:kern w:val="21"/>
                      <w:szCs w:val="21"/>
                      <w:highlight w:val="none"/>
                      <w14:textFill>
                        <w14:solidFill>
                          <w14:schemeClr w14:val="tx1"/>
                        </w14:solidFill>
                      </w14:textFill>
                    </w:rPr>
                    <w:t>本项目施工前需进行表土剥离工作，将表土放在专门的表土堆放区，表土堆放区应设置截、排水沟、苫盖等措施，同时本项目已编制完成复垦方案并取得批复，施工结束后按照复垦方案对临时占地进行复垦，剥离的表土回填，恢复原有生态环境功能</w:t>
                  </w:r>
                </w:p>
              </w:tc>
              <w:tc>
                <w:tcPr>
                  <w:tcW w:w="674" w:type="pct"/>
                  <w:vAlign w:val="center"/>
                </w:tcPr>
                <w:p w14:paraId="327E9080">
                  <w:pPr>
                    <w:spacing w:before="100" w:beforeAutospacing="1" w:after="100" w:afterAutospacing="1" w:line="276" w:lineRule="auto"/>
                    <w:jc w:val="center"/>
                    <w:rPr>
                      <w:rFonts w:ascii="Times New Roman" w:hAnsi="Times New Roman" w:eastAsia="宋体" w:cs="Times New Roman"/>
                      <w:color w:val="000000" w:themeColor="text1"/>
                      <w:kern w:val="21"/>
                      <w:szCs w:val="21"/>
                      <w14:textFill>
                        <w14:solidFill>
                          <w14:schemeClr w14:val="tx1"/>
                        </w14:solidFill>
                      </w14:textFill>
                    </w:rPr>
                  </w:pPr>
                  <w:r>
                    <w:rPr>
                      <w:rFonts w:ascii="Times New Roman" w:hAnsi="宋体" w:eastAsia="宋体" w:cs="Times New Roman"/>
                      <w:color w:val="000000" w:themeColor="text1"/>
                      <w:kern w:val="21"/>
                      <w:szCs w:val="21"/>
                      <w14:textFill>
                        <w14:solidFill>
                          <w14:schemeClr w14:val="tx1"/>
                        </w14:solidFill>
                      </w14:textFill>
                    </w:rPr>
                    <w:t>符合</w:t>
                  </w:r>
                </w:p>
              </w:tc>
            </w:tr>
          </w:tbl>
          <w:p w14:paraId="204B4E4F">
            <w:pPr>
              <w:autoSpaceDE w:val="0"/>
              <w:autoSpaceDN w:val="0"/>
              <w:spacing w:line="360" w:lineRule="auto"/>
              <w:ind w:firstLine="480" w:firstLineChars="200"/>
              <w:rPr>
                <w:rFonts w:ascii="Times New Roman" w:hAnsi="宋体" w:eastAsia="宋体" w:cs="Times New Roman"/>
                <w:color w:val="000000" w:themeColor="text1"/>
                <w:kern w:val="0"/>
                <w:sz w:val="24"/>
                <w:szCs w:val="24"/>
                <w14:textFill>
                  <w14:solidFill>
                    <w14:schemeClr w14:val="tx1"/>
                  </w14:solidFill>
                </w14:textFill>
              </w:rPr>
            </w:pPr>
            <w:r>
              <w:rPr>
                <w:rFonts w:ascii="Times New Roman" w:hAnsi="宋体" w:eastAsia="宋体" w:cs="Times New Roman"/>
                <w:color w:val="000000" w:themeColor="text1"/>
                <w:kern w:val="0"/>
                <w:sz w:val="24"/>
                <w:szCs w:val="24"/>
                <w14:textFill>
                  <w14:solidFill>
                    <w14:schemeClr w14:val="tx1"/>
                  </w14:solidFill>
                </w14:textFill>
              </w:rPr>
              <w:t>根据上述分析可知，本项目与《基本农田保护条例》相关规范相符。</w:t>
            </w:r>
          </w:p>
          <w:p w14:paraId="41581ED4">
            <w:pPr>
              <w:autoSpaceDE w:val="0"/>
              <w:autoSpaceDN w:val="0"/>
              <w:spacing w:line="360" w:lineRule="auto"/>
              <w:ind w:firstLine="482" w:firstLineChars="200"/>
              <w:rPr>
                <w:rFonts w:ascii="Times New Roman" w:hAnsi="Times New Roman" w:eastAsia="宋体" w:cs="Times New Roman"/>
                <w:b/>
                <w:bCs/>
                <w:color w:val="000000" w:themeColor="text1"/>
                <w:kern w:val="0"/>
                <w:sz w:val="24"/>
                <w:szCs w:val="24"/>
                <w14:textFill>
                  <w14:solidFill>
                    <w14:schemeClr w14:val="tx1"/>
                  </w14:solidFill>
                </w14:textFill>
              </w:rPr>
            </w:pPr>
            <w:r>
              <w:rPr>
                <w:rFonts w:hint="eastAsia" w:ascii="Times New Roman" w:hAnsi="Times New Roman" w:eastAsia="宋体" w:cs="Times New Roman"/>
                <w:b/>
                <w:bCs/>
                <w:color w:val="000000" w:themeColor="text1"/>
                <w:kern w:val="0"/>
                <w:sz w:val="24"/>
                <w:szCs w:val="24"/>
                <w14:textFill>
                  <w14:solidFill>
                    <w14:schemeClr w14:val="tx1"/>
                  </w14:solidFill>
                </w14:textFill>
              </w:rPr>
              <w:t>（</w:t>
            </w:r>
            <w:r>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t>5</w:t>
            </w:r>
            <w:r>
              <w:rPr>
                <w:rFonts w:hint="eastAsia" w:ascii="Times New Roman" w:hAnsi="Times New Roman" w:eastAsia="宋体" w:cs="Times New Roman"/>
                <w:b/>
                <w:bCs/>
                <w:color w:val="000000" w:themeColor="text1"/>
                <w:kern w:val="0"/>
                <w:sz w:val="24"/>
                <w:szCs w:val="24"/>
                <w14:textFill>
                  <w14:solidFill>
                    <w14:schemeClr w14:val="tx1"/>
                  </w14:solidFill>
                </w14:textFill>
              </w:rPr>
              <w:t>）</w:t>
            </w:r>
            <w:r>
              <w:rPr>
                <w:rFonts w:ascii="Times New Roman" w:hAnsi="Times New Roman" w:eastAsia="宋体" w:cs="Times New Roman"/>
                <w:b/>
                <w:bCs/>
                <w:color w:val="000000" w:themeColor="text1"/>
                <w:kern w:val="0"/>
                <w:sz w:val="24"/>
                <w:szCs w:val="24"/>
                <w14:textFill>
                  <w14:solidFill>
                    <w14:schemeClr w14:val="tx1"/>
                  </w14:solidFill>
                </w14:textFill>
              </w:rPr>
              <w:t>与《关于加强和改进永久基本农田保护工作的通知》（自然资规（2019）1号）符合性分析</w:t>
            </w:r>
          </w:p>
          <w:p w14:paraId="42A66E30">
            <w:pPr>
              <w:pStyle w:val="95"/>
              <w:numPr>
                <w:ilvl w:val="1"/>
                <w:numId w:val="2"/>
              </w:numPr>
              <w:tabs>
                <w:tab w:val="clear" w:pos="1440"/>
              </w:tabs>
              <w:spacing w:line="240" w:lineRule="auto"/>
              <w:ind w:left="3300" w:leftChars="0" w:hanging="3080" w:firstLineChars="0"/>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与《关于加强和改进永久基本农田保护工作的通知》符合性分析</w:t>
            </w:r>
          </w:p>
          <w:tbl>
            <w:tblPr>
              <w:tblStyle w:val="2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83"/>
              <w:gridCol w:w="2940"/>
              <w:gridCol w:w="1063"/>
            </w:tblGrid>
            <w:tr w14:paraId="391ED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2462" w:type="pct"/>
                  <w:vAlign w:val="center"/>
                </w:tcPr>
                <w:p w14:paraId="6A5D9160">
                  <w:pPr>
                    <w:spacing w:before="100" w:beforeAutospacing="1" w:after="100" w:afterAutospacing="1" w:line="360" w:lineRule="auto"/>
                    <w:jc w:val="center"/>
                    <w:rPr>
                      <w:rFonts w:ascii="Times New Roman" w:hAnsi="宋体" w:eastAsia="宋体" w:cs="Times New Roman"/>
                      <w:b/>
                      <w:color w:val="000000" w:themeColor="text1"/>
                      <w:kern w:val="21"/>
                      <w:szCs w:val="21"/>
                      <w14:textFill>
                        <w14:solidFill>
                          <w14:schemeClr w14:val="tx1"/>
                        </w14:solidFill>
                      </w14:textFill>
                    </w:rPr>
                  </w:pPr>
                  <w:r>
                    <w:rPr>
                      <w:rFonts w:hint="eastAsia" w:ascii="Times New Roman" w:hAnsi="宋体" w:eastAsia="宋体" w:cs="Times New Roman"/>
                      <w:b/>
                      <w:color w:val="000000" w:themeColor="text1"/>
                      <w:kern w:val="21"/>
                      <w:szCs w:val="21"/>
                      <w14:textFill>
                        <w14:solidFill>
                          <w14:schemeClr w14:val="tx1"/>
                        </w14:solidFill>
                      </w14:textFill>
                    </w:rPr>
                    <w:t>相关</w:t>
                  </w:r>
                  <w:r>
                    <w:rPr>
                      <w:rFonts w:ascii="Times New Roman" w:hAnsi="宋体" w:eastAsia="宋体" w:cs="Times New Roman"/>
                      <w:b/>
                      <w:color w:val="000000" w:themeColor="text1"/>
                      <w:kern w:val="21"/>
                      <w:szCs w:val="21"/>
                      <w14:textFill>
                        <w14:solidFill>
                          <w14:schemeClr w14:val="tx1"/>
                        </w14:solidFill>
                      </w14:textFill>
                    </w:rPr>
                    <w:t>规范情况</w:t>
                  </w:r>
                </w:p>
              </w:tc>
              <w:tc>
                <w:tcPr>
                  <w:tcW w:w="1864" w:type="pct"/>
                  <w:vAlign w:val="center"/>
                </w:tcPr>
                <w:p w14:paraId="558FF268">
                  <w:pPr>
                    <w:spacing w:before="100" w:beforeAutospacing="1" w:after="100" w:afterAutospacing="1" w:line="360" w:lineRule="auto"/>
                    <w:jc w:val="center"/>
                    <w:rPr>
                      <w:rFonts w:ascii="Times New Roman" w:hAnsi="Times New Roman" w:eastAsia="宋体" w:cs="Times New Roman"/>
                      <w:b/>
                      <w:color w:val="000000" w:themeColor="text1"/>
                      <w:kern w:val="21"/>
                      <w:szCs w:val="21"/>
                      <w14:textFill>
                        <w14:solidFill>
                          <w14:schemeClr w14:val="tx1"/>
                        </w14:solidFill>
                      </w14:textFill>
                    </w:rPr>
                  </w:pPr>
                  <w:r>
                    <w:rPr>
                      <w:rFonts w:ascii="Times New Roman" w:hAnsi="宋体" w:eastAsia="宋体" w:cs="Times New Roman"/>
                      <w:b/>
                      <w:color w:val="000000" w:themeColor="text1"/>
                      <w:kern w:val="21"/>
                      <w:szCs w:val="21"/>
                      <w14:textFill>
                        <w14:solidFill>
                          <w14:schemeClr w14:val="tx1"/>
                        </w14:solidFill>
                      </w14:textFill>
                    </w:rPr>
                    <w:t>建设项目情况</w:t>
                  </w:r>
                </w:p>
              </w:tc>
              <w:tc>
                <w:tcPr>
                  <w:tcW w:w="674" w:type="pct"/>
                  <w:vAlign w:val="center"/>
                </w:tcPr>
                <w:p w14:paraId="2C4877CE">
                  <w:pPr>
                    <w:spacing w:before="100" w:beforeAutospacing="1" w:after="100" w:afterAutospacing="1" w:line="360" w:lineRule="auto"/>
                    <w:jc w:val="center"/>
                    <w:rPr>
                      <w:rFonts w:ascii="Times New Roman" w:hAnsi="Times New Roman" w:eastAsia="宋体" w:cs="Times New Roman"/>
                      <w:b/>
                      <w:color w:val="000000" w:themeColor="text1"/>
                      <w:kern w:val="21"/>
                      <w:szCs w:val="21"/>
                      <w14:textFill>
                        <w14:solidFill>
                          <w14:schemeClr w14:val="tx1"/>
                        </w14:solidFill>
                      </w14:textFill>
                    </w:rPr>
                  </w:pPr>
                  <w:r>
                    <w:rPr>
                      <w:rFonts w:hint="eastAsia" w:ascii="Times New Roman" w:hAnsi="宋体" w:eastAsia="宋体" w:cs="Times New Roman"/>
                      <w:b/>
                      <w:color w:val="000000" w:themeColor="text1"/>
                      <w:kern w:val="21"/>
                      <w:szCs w:val="21"/>
                      <w14:textFill>
                        <w14:solidFill>
                          <w14:schemeClr w14:val="tx1"/>
                        </w14:solidFill>
                      </w14:textFill>
                    </w:rPr>
                    <w:t>是否符合</w:t>
                  </w:r>
                </w:p>
              </w:tc>
            </w:tr>
            <w:tr w14:paraId="22019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2462" w:type="pct"/>
                  <w:vAlign w:val="center"/>
                </w:tcPr>
                <w:p w14:paraId="0D11C109">
                  <w:pPr>
                    <w:autoSpaceDE w:val="0"/>
                    <w:autoSpaceDN w:val="0"/>
                    <w:spacing w:line="360" w:lineRule="auto"/>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临时用地一般不得占用永久基本农田，建设项目施工和地质勘查需要临时用地、选址确实难以避让永久基本农田的，在不修建永久性建（构）筑物、经复垦能恢复原种植条件的前提下，土地使用者按法定程序申请临时用地并编制土地复垦方案，经县级自然资源主管部门批准可临时占用，并在市级自然资源主管部门备案，一般不超过两年，同时，通过耕地耕作层土壤剥离再利用等工程技术措施，减少对耕作层的破坏。临时用地到期后土地使用者应及时复垦恢复原种植条件，县级自然资源主管部门会同农业农村等相关主管部门开展土地复垦验收，验收合格的，继续按照永久基本农田保护和管理；验收不合格的，责令土地使用者进行整改，经整改仍不合格的，按照《土地复垦条例》规定由县级自然资源主管部门使用缴纳的土地复垦费代为组织复垦，并由县级自然资源主管部门会同农业农村等相关主管部门开展土地复垦验收</w:t>
                  </w:r>
                </w:p>
              </w:tc>
              <w:tc>
                <w:tcPr>
                  <w:tcW w:w="1864" w:type="pct"/>
                  <w:vAlign w:val="center"/>
                </w:tcPr>
                <w:p w14:paraId="2F8BB3CB">
                  <w:pPr>
                    <w:spacing w:line="360" w:lineRule="auto"/>
                    <w:rPr>
                      <w:rFonts w:hint="eastAsia" w:ascii="Times New Roman" w:hAnsi="Times New Roman" w:eastAsia="宋体" w:cs="Times New Roman"/>
                      <w:color w:val="000000" w:themeColor="text1"/>
                      <w:kern w:val="0"/>
                      <w:sz w:val="24"/>
                      <w:szCs w:val="20"/>
                      <w:lang w:eastAsia="zh-CN"/>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本项</w:t>
                  </w:r>
                  <w:r>
                    <w:rPr>
                      <w:rFonts w:ascii="Times New Roman" w:hAnsi="宋体" w:eastAsia="宋体" w:cs="Times New Roman"/>
                      <w:color w:val="000000" w:themeColor="text1"/>
                      <w:sz w:val="21"/>
                      <w:szCs w:val="21"/>
                      <w14:textFill>
                        <w14:solidFill>
                          <w14:schemeClr w14:val="tx1"/>
                        </w14:solidFill>
                      </w14:textFill>
                    </w:rPr>
                    <w:t>目</w:t>
                  </w:r>
                  <w:r>
                    <w:rPr>
                      <w:rFonts w:hint="eastAsia" w:ascii="Times New Roman" w:hAnsi="Times New Roman" w:eastAsia="宋体" w:cs="Times New Roman"/>
                      <w:color w:val="000000" w:themeColor="text1"/>
                      <w:kern w:val="21"/>
                      <w:sz w:val="21"/>
                      <w:szCs w:val="21"/>
                      <w:lang w:eastAsia="zh-CN"/>
                      <w14:textFill>
                        <w14:solidFill>
                          <w14:schemeClr w14:val="tx1"/>
                        </w14:solidFill>
                      </w14:textFill>
                    </w:rPr>
                    <w:t>为煤炭开采瓦斯治</w:t>
                  </w:r>
                  <w:r>
                    <w:rPr>
                      <w:rFonts w:hint="eastAsia" w:ascii="Times New Roman" w:hAnsi="Times New Roman" w:eastAsia="宋体" w:cs="Times New Roman"/>
                      <w:color w:val="000000" w:themeColor="text1"/>
                      <w:kern w:val="21"/>
                      <w:lang w:eastAsia="zh-CN"/>
                      <w14:textFill>
                        <w14:solidFill>
                          <w14:schemeClr w14:val="tx1"/>
                        </w14:solidFill>
                      </w14:textFill>
                    </w:rPr>
                    <w:t>理工程，根据井田布局及治理需要项目施工无法避让基本农田，建设单位已按照相关要求</w:t>
                  </w:r>
                  <w:r>
                    <w:rPr>
                      <w:rFonts w:ascii="Times New Roman" w:hAnsi="Times New Roman" w:eastAsia="宋体" w:cs="Times New Roman"/>
                      <w:bCs/>
                      <w:color w:val="000000" w:themeColor="text1"/>
                      <w:kern w:val="21"/>
                      <w:szCs w:val="21"/>
                      <w:highlight w:val="none"/>
                      <w14:textFill>
                        <w14:solidFill>
                          <w14:schemeClr w14:val="tx1"/>
                        </w14:solidFill>
                      </w14:textFill>
                    </w:rPr>
                    <w:t>取得了淮南市自然资源和规划局出具的临时用地的批复</w:t>
                  </w:r>
                  <w:r>
                    <w:rPr>
                      <w:rFonts w:hint="eastAsia" w:ascii="Times New Roman" w:hAnsi="Times New Roman" w:eastAsia="宋体" w:cs="Times New Roman"/>
                      <w:bCs/>
                      <w:color w:val="000000" w:themeColor="text1"/>
                      <w:kern w:val="21"/>
                      <w:szCs w:val="21"/>
                      <w:highlight w:val="none"/>
                      <w:lang w:eastAsia="zh-CN"/>
                      <w14:textFill>
                        <w14:solidFill>
                          <w14:schemeClr w14:val="tx1"/>
                        </w14:solidFill>
                      </w14:textFill>
                    </w:rPr>
                    <w:t>，</w:t>
                  </w:r>
                  <w:r>
                    <w:rPr>
                      <w:rFonts w:ascii="Times New Roman" w:hAnsi="Times New Roman" w:eastAsia="宋体" w:cs="Times New Roman"/>
                      <w:color w:val="000000" w:themeColor="text1"/>
                      <w:kern w:val="21"/>
                      <w:highlight w:val="none"/>
                      <w14:textFill>
                        <w14:solidFill>
                          <w14:schemeClr w14:val="tx1"/>
                        </w14:solidFill>
                      </w14:textFill>
                    </w:rPr>
                    <w:t>用地时间为</w:t>
                  </w:r>
                  <w:r>
                    <w:rPr>
                      <w:rFonts w:hint="eastAsia" w:ascii="Times New Roman" w:hAnsi="Times New Roman" w:eastAsia="宋体" w:cs="Times New Roman"/>
                      <w:color w:val="000000" w:themeColor="text1"/>
                      <w:kern w:val="21"/>
                      <w:highlight w:val="none"/>
                      <w14:textFill>
                        <w14:solidFill>
                          <w14:schemeClr w14:val="tx1"/>
                        </w14:solidFill>
                      </w14:textFill>
                    </w:rPr>
                    <w:t>2</w:t>
                  </w:r>
                  <w:r>
                    <w:rPr>
                      <w:rFonts w:ascii="Times New Roman" w:hAnsi="Times New Roman" w:eastAsia="宋体" w:cs="Times New Roman"/>
                      <w:color w:val="000000" w:themeColor="text1"/>
                      <w:kern w:val="21"/>
                      <w:highlight w:val="none"/>
                      <w14:textFill>
                        <w14:solidFill>
                          <w14:schemeClr w14:val="tx1"/>
                        </w14:solidFill>
                      </w14:textFill>
                    </w:rPr>
                    <w:t>年。</w:t>
                  </w:r>
                  <w:r>
                    <w:rPr>
                      <w:rFonts w:hint="eastAsia" w:ascii="Times New Roman" w:hAnsi="Times New Roman" w:eastAsia="宋体" w:cs="Times New Roman"/>
                      <w:bCs/>
                      <w:color w:val="000000" w:themeColor="text1"/>
                      <w:kern w:val="21"/>
                      <w:highlight w:val="none"/>
                      <w14:textFill>
                        <w14:solidFill>
                          <w14:schemeClr w14:val="tx1"/>
                        </w14:solidFill>
                      </w14:textFill>
                    </w:rPr>
                    <w:t>本</w:t>
                  </w:r>
                  <w:r>
                    <w:rPr>
                      <w:rFonts w:hint="eastAsia" w:ascii="Times New Roman" w:hAnsi="Times New Roman" w:eastAsia="宋体" w:cs="Times New Roman"/>
                      <w:bCs/>
                      <w:color w:val="000000" w:themeColor="text1"/>
                      <w:kern w:val="21"/>
                      <w14:textFill>
                        <w14:solidFill>
                          <w14:schemeClr w14:val="tx1"/>
                        </w14:solidFill>
                      </w14:textFill>
                    </w:rPr>
                    <w:t>项目施工前进行表土剥离工作，将表土放在专门的表土堆放区，表土堆放区应设置截、排水沟、苫盖等措施，同时本项目已编制完成复垦方案并取得批复，施工结束后按照复垦方案对临时占地进行复垦，剥离的表土回填，恢复原有生态环境功能</w:t>
                  </w:r>
                  <w:r>
                    <w:rPr>
                      <w:rFonts w:hint="eastAsia" w:ascii="Times New Roman" w:hAnsi="Times New Roman" w:eastAsia="宋体" w:cs="Times New Roman"/>
                      <w:bCs/>
                      <w:color w:val="000000" w:themeColor="text1"/>
                      <w:kern w:val="21"/>
                      <w:lang w:eastAsia="zh-CN"/>
                      <w14:textFill>
                        <w14:solidFill>
                          <w14:schemeClr w14:val="tx1"/>
                        </w14:solidFill>
                      </w14:textFill>
                    </w:rPr>
                    <w:t>，并组织</w:t>
                  </w:r>
                  <w:r>
                    <w:rPr>
                      <w:rFonts w:ascii="Times New Roman" w:hAnsi="Times New Roman" w:eastAsia="宋体" w:cs="Times New Roman"/>
                      <w:color w:val="000000" w:themeColor="text1"/>
                      <w:kern w:val="0"/>
                      <w:szCs w:val="21"/>
                      <w14:textFill>
                        <w14:solidFill>
                          <w14:schemeClr w14:val="tx1"/>
                        </w14:solidFill>
                      </w14:textFill>
                    </w:rPr>
                    <w:t>自然资源主管部门</w:t>
                  </w:r>
                  <w:r>
                    <w:rPr>
                      <w:rFonts w:hint="eastAsia" w:ascii="Times New Roman" w:hAnsi="Times New Roman" w:eastAsia="宋体" w:cs="Times New Roman"/>
                      <w:color w:val="000000" w:themeColor="text1"/>
                      <w:kern w:val="0"/>
                      <w:szCs w:val="21"/>
                      <w:lang w:eastAsia="zh-CN"/>
                      <w14:textFill>
                        <w14:solidFill>
                          <w14:schemeClr w14:val="tx1"/>
                        </w14:solidFill>
                      </w14:textFill>
                    </w:rPr>
                    <w:t>对</w:t>
                  </w:r>
                  <w:r>
                    <w:rPr>
                      <w:rFonts w:ascii="Times New Roman" w:hAnsi="Times New Roman" w:eastAsia="宋体" w:cs="Times New Roman"/>
                      <w:color w:val="000000" w:themeColor="text1"/>
                      <w:kern w:val="0"/>
                      <w:szCs w:val="21"/>
                      <w14:textFill>
                        <w14:solidFill>
                          <w14:schemeClr w14:val="tx1"/>
                        </w14:solidFill>
                      </w14:textFill>
                    </w:rPr>
                    <w:t>土地复垦</w:t>
                  </w:r>
                  <w:r>
                    <w:rPr>
                      <w:rFonts w:hint="eastAsia" w:ascii="Times New Roman" w:hAnsi="Times New Roman" w:eastAsia="宋体" w:cs="Times New Roman"/>
                      <w:color w:val="000000" w:themeColor="text1"/>
                      <w:kern w:val="0"/>
                      <w:szCs w:val="21"/>
                      <w:lang w:eastAsia="zh-CN"/>
                      <w14:textFill>
                        <w14:solidFill>
                          <w14:schemeClr w14:val="tx1"/>
                        </w14:solidFill>
                      </w14:textFill>
                    </w:rPr>
                    <w:t>工作进行</w:t>
                  </w:r>
                  <w:r>
                    <w:rPr>
                      <w:rFonts w:ascii="Times New Roman" w:hAnsi="Times New Roman" w:eastAsia="宋体" w:cs="Times New Roman"/>
                      <w:color w:val="000000" w:themeColor="text1"/>
                      <w:kern w:val="0"/>
                      <w:szCs w:val="21"/>
                      <w14:textFill>
                        <w14:solidFill>
                          <w14:schemeClr w14:val="tx1"/>
                        </w14:solidFill>
                      </w14:textFill>
                    </w:rPr>
                    <w:t>验收</w:t>
                  </w:r>
                  <w:r>
                    <w:rPr>
                      <w:rFonts w:hint="eastAsia" w:ascii="Times New Roman" w:hAnsi="Times New Roman" w:eastAsia="宋体" w:cs="Times New Roman"/>
                      <w:bCs/>
                      <w:color w:val="000000" w:themeColor="text1"/>
                      <w:kern w:val="21"/>
                      <w:lang w:eastAsia="zh-CN"/>
                      <w14:textFill>
                        <w14:solidFill>
                          <w14:schemeClr w14:val="tx1"/>
                        </w14:solidFill>
                      </w14:textFill>
                    </w:rPr>
                    <w:t>。</w:t>
                  </w:r>
                </w:p>
              </w:tc>
              <w:tc>
                <w:tcPr>
                  <w:tcW w:w="674" w:type="pct"/>
                  <w:vAlign w:val="center"/>
                </w:tcPr>
                <w:p w14:paraId="644D9549">
                  <w:pPr>
                    <w:spacing w:before="100" w:beforeAutospacing="1" w:after="100" w:afterAutospacing="1" w:line="360" w:lineRule="auto"/>
                    <w:jc w:val="center"/>
                    <w:rPr>
                      <w:rFonts w:ascii="Times New Roman" w:hAnsi="Times New Roman" w:eastAsia="宋体" w:cs="Times New Roman"/>
                      <w:color w:val="000000" w:themeColor="text1"/>
                      <w:kern w:val="21"/>
                      <w:szCs w:val="21"/>
                      <w14:textFill>
                        <w14:solidFill>
                          <w14:schemeClr w14:val="tx1"/>
                        </w14:solidFill>
                      </w14:textFill>
                    </w:rPr>
                  </w:pPr>
                  <w:r>
                    <w:rPr>
                      <w:rFonts w:ascii="Times New Roman" w:hAnsi="宋体" w:eastAsia="宋体" w:cs="Times New Roman"/>
                      <w:color w:val="000000" w:themeColor="text1"/>
                      <w:kern w:val="21"/>
                      <w:szCs w:val="21"/>
                      <w14:textFill>
                        <w14:solidFill>
                          <w14:schemeClr w14:val="tx1"/>
                        </w14:solidFill>
                      </w14:textFill>
                    </w:rPr>
                    <w:t>符合</w:t>
                  </w:r>
                </w:p>
              </w:tc>
            </w:tr>
          </w:tbl>
          <w:p w14:paraId="4862C3C8">
            <w:pPr>
              <w:autoSpaceDE w:val="0"/>
              <w:autoSpaceDN w:val="0"/>
              <w:spacing w:line="360" w:lineRule="auto"/>
              <w:ind w:firstLine="480" w:firstLineChars="200"/>
              <w:rPr>
                <w:rFonts w:ascii="Times New Roman" w:hAnsi="宋体" w:eastAsia="宋体" w:cs="Times New Roman"/>
                <w:color w:val="000000" w:themeColor="text1"/>
                <w:kern w:val="0"/>
                <w:sz w:val="24"/>
                <w:szCs w:val="24"/>
                <w14:textFill>
                  <w14:solidFill>
                    <w14:schemeClr w14:val="tx1"/>
                  </w14:solidFill>
                </w14:textFill>
              </w:rPr>
            </w:pPr>
            <w:r>
              <w:rPr>
                <w:rFonts w:ascii="Times New Roman" w:hAnsi="宋体" w:eastAsia="宋体" w:cs="Times New Roman"/>
                <w:color w:val="000000" w:themeColor="text1"/>
                <w:kern w:val="0"/>
                <w:sz w:val="24"/>
                <w:szCs w:val="24"/>
                <w14:textFill>
                  <w14:solidFill>
                    <w14:schemeClr w14:val="tx1"/>
                  </w14:solidFill>
                </w14:textFill>
              </w:rPr>
              <w:t>根据上述分析可知，本项目与《关于加强和改进永久基本农田保护工作的通知》（自然资规（2019）1号）相关规范相符。</w:t>
            </w:r>
          </w:p>
          <w:p w14:paraId="6929C47E">
            <w:pPr>
              <w:autoSpaceDE w:val="0"/>
              <w:autoSpaceDN w:val="0"/>
              <w:spacing w:line="360" w:lineRule="auto"/>
              <w:ind w:firstLine="482" w:firstLineChars="200"/>
              <w:rPr>
                <w:rFonts w:ascii="Times New Roman" w:hAnsi="Times New Roman" w:eastAsia="宋体" w:cs="Times New Roman"/>
                <w:b/>
                <w:bCs/>
                <w:color w:val="000000" w:themeColor="text1"/>
                <w:kern w:val="0"/>
                <w:sz w:val="24"/>
                <w:szCs w:val="24"/>
                <w:highlight w:val="yellow"/>
                <w14:textFill>
                  <w14:solidFill>
                    <w14:schemeClr w14:val="tx1"/>
                  </w14:solidFill>
                </w14:textFill>
              </w:rPr>
            </w:pPr>
            <w:r>
              <w:rPr>
                <w:rFonts w:hint="eastAsia" w:ascii="Times New Roman" w:hAnsi="Times New Roman" w:eastAsia="宋体" w:cs="Times New Roman"/>
                <w:b/>
                <w:bCs/>
                <w:kern w:val="0"/>
                <w:sz w:val="24"/>
                <w:szCs w:val="24"/>
              </w:rPr>
              <w:t>（</w:t>
            </w:r>
            <w:r>
              <w:rPr>
                <w:rFonts w:hint="eastAsia" w:ascii="Times New Roman" w:hAnsi="Times New Roman" w:eastAsia="宋体" w:cs="Times New Roman"/>
                <w:b/>
                <w:bCs/>
                <w:kern w:val="0"/>
                <w:sz w:val="24"/>
                <w:szCs w:val="24"/>
                <w:lang w:val="en-US" w:eastAsia="zh-CN"/>
              </w:rPr>
              <w:t>6</w:t>
            </w:r>
            <w:r>
              <w:rPr>
                <w:rFonts w:hint="eastAsia" w:ascii="Times New Roman" w:hAnsi="Times New Roman" w:eastAsia="宋体" w:cs="Times New Roman"/>
                <w:b/>
                <w:bCs/>
                <w:kern w:val="0"/>
                <w:sz w:val="24"/>
                <w:szCs w:val="24"/>
                <w:highlight w:val="none"/>
              </w:rPr>
              <w:t>）</w:t>
            </w:r>
            <w:r>
              <w:rPr>
                <w:rFonts w:ascii="Times New Roman" w:hAnsi="Times New Roman" w:eastAsia="宋体" w:cs="Times New Roman"/>
                <w:b/>
                <w:bCs/>
                <w:color w:val="000000" w:themeColor="text1"/>
                <w:kern w:val="0"/>
                <w:sz w:val="24"/>
                <w:szCs w:val="24"/>
                <w:highlight w:val="none"/>
                <w14:textFill>
                  <w14:solidFill>
                    <w14:schemeClr w14:val="tx1"/>
                  </w14:solidFill>
                </w14:textFill>
              </w:rPr>
              <w:t>与《</w:t>
            </w:r>
            <w:r>
              <w:rPr>
                <w:rFonts w:hint="eastAsia" w:ascii="Times New Roman" w:hAnsi="Times New Roman" w:eastAsia="宋体" w:cs="Times New Roman"/>
                <w:b/>
                <w:bCs/>
                <w:color w:val="000000" w:themeColor="text1"/>
                <w:kern w:val="0"/>
                <w:sz w:val="24"/>
                <w:szCs w:val="24"/>
                <w:highlight w:val="none"/>
                <w14:textFill>
                  <w14:solidFill>
                    <w14:schemeClr w14:val="tx1"/>
                  </w14:solidFill>
                </w14:textFill>
              </w:rPr>
              <w:t>安徽省</w:t>
            </w:r>
            <w:r>
              <w:rPr>
                <w:rFonts w:ascii="Times New Roman" w:hAnsi="Times New Roman" w:eastAsia="宋体" w:cs="Times New Roman"/>
                <w:b/>
                <w:bCs/>
                <w:color w:val="000000" w:themeColor="text1"/>
                <w:kern w:val="0"/>
                <w:sz w:val="24"/>
                <w:szCs w:val="24"/>
                <w:highlight w:val="none"/>
                <w14:textFill>
                  <w14:solidFill>
                    <w14:schemeClr w14:val="tx1"/>
                  </w14:solidFill>
                </w14:textFill>
              </w:rPr>
              <w:t>临时用地管理实施办法》符合性分析</w:t>
            </w:r>
          </w:p>
          <w:p w14:paraId="71542945">
            <w:pPr>
              <w:pStyle w:val="95"/>
              <w:numPr>
                <w:ilvl w:val="1"/>
                <w:numId w:val="2"/>
              </w:numPr>
              <w:tabs>
                <w:tab w:val="left" w:pos="2100"/>
                <w:tab w:val="clear" w:pos="1440"/>
              </w:tabs>
              <w:spacing w:line="240" w:lineRule="auto"/>
              <w:ind w:left="3300" w:leftChars="0" w:hanging="2040" w:firstLineChars="0"/>
              <w:jc w:val="both"/>
              <w:rPr>
                <w:rFonts w:ascii="Times New Roman" w:hAnsi="黑体" w:eastAsia="黑体" w:cs="Times New Roman"/>
                <w:color w:val="000000" w:themeColor="text1"/>
                <w:sz w:val="24"/>
                <w:szCs w:val="24"/>
                <w14:textFill>
                  <w14:solidFill>
                    <w14:schemeClr w14:val="tx1"/>
                  </w14:solidFill>
                </w14:textFill>
              </w:rPr>
            </w:pPr>
            <w:r>
              <w:rPr>
                <w:rFonts w:ascii="Times New Roman" w:hAnsi="黑体" w:eastAsia="黑体" w:cs="Times New Roman"/>
                <w:color w:val="000000" w:themeColor="text1"/>
                <w:sz w:val="24"/>
                <w:szCs w:val="24"/>
                <w14:textFill>
                  <w14:solidFill>
                    <w14:schemeClr w14:val="tx1"/>
                  </w14:solidFill>
                </w14:textFill>
              </w:rPr>
              <w:t>与</w:t>
            </w:r>
            <w:r>
              <w:rPr>
                <w:rFonts w:ascii="Times New Roman" w:hAnsi="黑体" w:eastAsia="黑体" w:cs="Times New Roman"/>
                <w:bCs/>
                <w:color w:val="000000" w:themeColor="text1"/>
                <w:sz w:val="24"/>
                <w:szCs w:val="24"/>
                <w14:textFill>
                  <w14:solidFill>
                    <w14:schemeClr w14:val="tx1"/>
                  </w14:solidFill>
                </w14:textFill>
              </w:rPr>
              <w:t>《安徽省临时用地管理实施办法》</w:t>
            </w:r>
            <w:r>
              <w:rPr>
                <w:rFonts w:ascii="Times New Roman" w:hAnsi="黑体" w:eastAsia="黑体" w:cs="Times New Roman"/>
                <w:color w:val="000000" w:themeColor="text1"/>
                <w:sz w:val="24"/>
                <w:szCs w:val="24"/>
                <w14:textFill>
                  <w14:solidFill>
                    <w14:schemeClr w14:val="tx1"/>
                  </w14:solidFill>
                </w14:textFill>
              </w:rPr>
              <w:t>符合性分析</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55"/>
              <w:gridCol w:w="3775"/>
              <w:gridCol w:w="1061"/>
            </w:tblGrid>
            <w:tr w14:paraId="53C39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935" w:type="pct"/>
                  <w:vAlign w:val="center"/>
                </w:tcPr>
                <w:p w14:paraId="0D37FD0D">
                  <w:pPr>
                    <w:spacing w:before="100" w:beforeAutospacing="1" w:after="100" w:afterAutospacing="1" w:line="360" w:lineRule="auto"/>
                    <w:jc w:val="center"/>
                    <w:rPr>
                      <w:rFonts w:ascii="Times New Roman" w:hAnsi="Times New Roman" w:eastAsia="宋体" w:cs="Times New Roman"/>
                      <w:b/>
                      <w:color w:val="000000" w:themeColor="text1"/>
                      <w:kern w:val="21"/>
                      <w:szCs w:val="21"/>
                      <w14:textFill>
                        <w14:solidFill>
                          <w14:schemeClr w14:val="tx1"/>
                        </w14:solidFill>
                      </w14:textFill>
                    </w:rPr>
                  </w:pPr>
                  <w:r>
                    <w:rPr>
                      <w:rFonts w:ascii="Times New Roman" w:hAnsi="Times New Roman" w:eastAsia="宋体" w:cs="Times New Roman"/>
                      <w:b/>
                      <w:color w:val="000000" w:themeColor="text1"/>
                      <w:kern w:val="21"/>
                      <w:szCs w:val="21"/>
                      <w14:textFill>
                        <w14:solidFill>
                          <w14:schemeClr w14:val="tx1"/>
                        </w14:solidFill>
                      </w14:textFill>
                    </w:rPr>
                    <w:t>相关规范情况</w:t>
                  </w:r>
                </w:p>
              </w:tc>
              <w:tc>
                <w:tcPr>
                  <w:tcW w:w="2391" w:type="pct"/>
                  <w:vAlign w:val="center"/>
                </w:tcPr>
                <w:p w14:paraId="70B08EA5">
                  <w:pPr>
                    <w:spacing w:before="100" w:beforeAutospacing="1" w:after="100" w:afterAutospacing="1" w:line="360" w:lineRule="auto"/>
                    <w:jc w:val="center"/>
                    <w:rPr>
                      <w:rFonts w:ascii="Times New Roman" w:hAnsi="Times New Roman" w:eastAsia="宋体" w:cs="Times New Roman"/>
                      <w:b/>
                      <w:color w:val="000000" w:themeColor="text1"/>
                      <w:kern w:val="21"/>
                      <w:szCs w:val="21"/>
                      <w14:textFill>
                        <w14:solidFill>
                          <w14:schemeClr w14:val="tx1"/>
                        </w14:solidFill>
                      </w14:textFill>
                    </w:rPr>
                  </w:pPr>
                  <w:r>
                    <w:rPr>
                      <w:rFonts w:ascii="Times New Roman" w:hAnsi="Times New Roman" w:eastAsia="宋体" w:cs="Times New Roman"/>
                      <w:b/>
                      <w:color w:val="000000" w:themeColor="text1"/>
                      <w:kern w:val="21"/>
                      <w:szCs w:val="21"/>
                      <w14:textFill>
                        <w14:solidFill>
                          <w14:schemeClr w14:val="tx1"/>
                        </w14:solidFill>
                      </w14:textFill>
                    </w:rPr>
                    <w:t>建设项目情况</w:t>
                  </w:r>
                </w:p>
              </w:tc>
              <w:tc>
                <w:tcPr>
                  <w:tcW w:w="672" w:type="pct"/>
                  <w:vAlign w:val="center"/>
                </w:tcPr>
                <w:p w14:paraId="3866390C">
                  <w:pPr>
                    <w:spacing w:before="100" w:beforeAutospacing="1" w:after="100" w:afterAutospacing="1" w:line="360" w:lineRule="auto"/>
                    <w:jc w:val="center"/>
                    <w:rPr>
                      <w:rFonts w:ascii="Times New Roman" w:hAnsi="Times New Roman" w:eastAsia="宋体" w:cs="Times New Roman"/>
                      <w:b/>
                      <w:color w:val="000000" w:themeColor="text1"/>
                      <w:kern w:val="21"/>
                      <w:szCs w:val="21"/>
                      <w14:textFill>
                        <w14:solidFill>
                          <w14:schemeClr w14:val="tx1"/>
                        </w14:solidFill>
                      </w14:textFill>
                    </w:rPr>
                  </w:pPr>
                  <w:r>
                    <w:rPr>
                      <w:rFonts w:ascii="Times New Roman" w:hAnsi="Times New Roman" w:eastAsia="宋体" w:cs="Times New Roman"/>
                      <w:b/>
                      <w:color w:val="000000" w:themeColor="text1"/>
                      <w:kern w:val="21"/>
                      <w:szCs w:val="21"/>
                      <w14:textFill>
                        <w14:solidFill>
                          <w14:schemeClr w14:val="tx1"/>
                        </w14:solidFill>
                      </w14:textFill>
                    </w:rPr>
                    <w:t>是否符合</w:t>
                  </w:r>
                </w:p>
              </w:tc>
            </w:tr>
            <w:tr w14:paraId="68E12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935" w:type="pct"/>
                  <w:vAlign w:val="center"/>
                </w:tcPr>
                <w:p w14:paraId="7842BFF4">
                  <w:pPr>
                    <w:autoSpaceDE w:val="0"/>
                    <w:autoSpaceDN w:val="0"/>
                    <w:spacing w:line="360" w:lineRule="auto"/>
                    <w:jc w:val="center"/>
                    <w:rPr>
                      <w:rFonts w:hint="eastAsia"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临时用地应合理选址，不影响能源、交通、水利、消防等公共设施正常运行，不造成安全隐患；应避让国务院批准的生态保护红线范围，因无法避让确需占用的，应当符合国家政策规定。</w:t>
                  </w:r>
                </w:p>
              </w:tc>
              <w:tc>
                <w:tcPr>
                  <w:tcW w:w="2391" w:type="pct"/>
                  <w:vAlign w:val="center"/>
                </w:tcPr>
                <w:p w14:paraId="2B2F4044">
                  <w:pPr>
                    <w:autoSpaceDE w:val="0"/>
                    <w:autoSpaceDN w:val="0"/>
                    <w:spacing w:line="360" w:lineRule="auto"/>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本项目临时用地</w:t>
                  </w:r>
                  <w:r>
                    <w:rPr>
                      <w:rFonts w:hint="eastAsia" w:ascii="Times New Roman" w:hAnsi="Times New Roman" w:eastAsia="宋体" w:cs="Times New Roman"/>
                      <w:color w:val="000000" w:themeColor="text1"/>
                      <w:kern w:val="0"/>
                      <w:szCs w:val="21"/>
                      <w:lang w:eastAsia="zh-CN"/>
                      <w14:textFill>
                        <w14:solidFill>
                          <w14:schemeClr w14:val="tx1"/>
                        </w14:solidFill>
                      </w14:textFill>
                    </w:rPr>
                    <w:t>位于潘集区夹沟镇新集村，根据现场调查项目占地不影响</w:t>
                  </w:r>
                  <w:r>
                    <w:rPr>
                      <w:rFonts w:hint="eastAsia" w:ascii="Times New Roman" w:hAnsi="Times New Roman" w:eastAsia="宋体" w:cs="Times New Roman"/>
                      <w:color w:val="000000" w:themeColor="text1"/>
                      <w:kern w:val="0"/>
                      <w:szCs w:val="21"/>
                      <w14:textFill>
                        <w14:solidFill>
                          <w14:schemeClr w14:val="tx1"/>
                        </w14:solidFill>
                      </w14:textFill>
                    </w:rPr>
                    <w:t>能源、交通、水利、消防等公共设施正常运行，不造成安全隐患</w:t>
                  </w:r>
                  <w:r>
                    <w:rPr>
                      <w:rFonts w:hint="eastAsia" w:ascii="Times New Roman" w:hAnsi="Times New Roman" w:eastAsia="宋体" w:cs="Times New Roman"/>
                      <w:color w:val="000000" w:themeColor="text1"/>
                      <w:kern w:val="0"/>
                      <w:szCs w:val="21"/>
                      <w:lang w:eastAsia="zh-CN"/>
                      <w14:textFill>
                        <w14:solidFill>
                          <w14:schemeClr w14:val="tx1"/>
                        </w14:solidFill>
                      </w14:textFill>
                    </w:rPr>
                    <w:t>，不在</w:t>
                  </w:r>
                  <w:r>
                    <w:rPr>
                      <w:rFonts w:hint="eastAsia" w:ascii="Times New Roman" w:hAnsi="Times New Roman" w:eastAsia="宋体" w:cs="Times New Roman"/>
                      <w:color w:val="000000" w:themeColor="text1"/>
                      <w:kern w:val="0"/>
                      <w:szCs w:val="21"/>
                      <w14:textFill>
                        <w14:solidFill>
                          <w14:schemeClr w14:val="tx1"/>
                        </w14:solidFill>
                      </w14:textFill>
                    </w:rPr>
                    <w:t>国务院批准的生态保护红线范围</w:t>
                  </w:r>
                  <w:r>
                    <w:rPr>
                      <w:rFonts w:hint="eastAsia" w:ascii="Times New Roman" w:hAnsi="Times New Roman" w:eastAsia="宋体" w:cs="Times New Roman"/>
                      <w:color w:val="000000" w:themeColor="text1"/>
                      <w:kern w:val="0"/>
                      <w:szCs w:val="21"/>
                      <w:lang w:eastAsia="zh-CN"/>
                      <w14:textFill>
                        <w14:solidFill>
                          <w14:schemeClr w14:val="tx1"/>
                        </w14:solidFill>
                      </w14:textFill>
                    </w:rPr>
                    <w:t>内。</w:t>
                  </w:r>
                </w:p>
              </w:tc>
              <w:tc>
                <w:tcPr>
                  <w:tcW w:w="672" w:type="pct"/>
                  <w:vAlign w:val="center"/>
                </w:tcPr>
                <w:p w14:paraId="0068E1BF">
                  <w:pPr>
                    <w:spacing w:before="100" w:beforeAutospacing="1" w:after="100" w:afterAutospacing="1" w:line="360" w:lineRule="auto"/>
                    <w:jc w:val="center"/>
                    <w:rPr>
                      <w:rFonts w:ascii="Times New Roman" w:hAnsi="Times New Roman" w:eastAsia="宋体" w:cs="Times New Roman"/>
                      <w:color w:val="000000" w:themeColor="text1"/>
                      <w:kern w:val="21"/>
                      <w:szCs w:val="21"/>
                      <w14:textFill>
                        <w14:solidFill>
                          <w14:schemeClr w14:val="tx1"/>
                        </w14:solidFill>
                      </w14:textFill>
                    </w:rPr>
                  </w:pPr>
                  <w:r>
                    <w:rPr>
                      <w:rFonts w:ascii="Times New Roman" w:hAnsi="Times New Roman" w:eastAsia="宋体" w:cs="Times New Roman"/>
                      <w:color w:val="000000" w:themeColor="text1"/>
                      <w:kern w:val="21"/>
                      <w:szCs w:val="21"/>
                      <w14:textFill>
                        <w14:solidFill>
                          <w14:schemeClr w14:val="tx1"/>
                        </w14:solidFill>
                      </w14:textFill>
                    </w:rPr>
                    <w:t>符合</w:t>
                  </w:r>
                </w:p>
              </w:tc>
            </w:tr>
            <w:tr w14:paraId="44753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935" w:type="pct"/>
                  <w:vAlign w:val="center"/>
                </w:tcPr>
                <w:p w14:paraId="6494C13D">
                  <w:pPr>
                    <w:autoSpaceDE w:val="0"/>
                    <w:autoSpaceDN w:val="0"/>
                    <w:spacing w:line="360" w:lineRule="auto"/>
                    <w:jc w:val="center"/>
                    <w:rPr>
                      <w:rFonts w:hint="eastAsia"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使用临时用地时应坚持“用多少、批多少、占多少、恢复多少”，尽量不占或者少占耕地。使用后土地复垦难度较大的临时用地，要严格控制占用耕地。可利用非耕地的，不占用耕地；可利用劣质耕地的，不占用优质耕地。</w:t>
                  </w:r>
                </w:p>
              </w:tc>
              <w:tc>
                <w:tcPr>
                  <w:tcW w:w="2391" w:type="pct"/>
                  <w:vAlign w:val="center"/>
                </w:tcPr>
                <w:p w14:paraId="17255B4E">
                  <w:pPr>
                    <w:autoSpaceDE w:val="0"/>
                    <w:autoSpaceDN w:val="0"/>
                    <w:spacing w:line="360" w:lineRule="auto"/>
                    <w:jc w:val="center"/>
                    <w:rPr>
                      <w:rFonts w:hint="eastAsia"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本项目</w:t>
                  </w:r>
                  <w:r>
                    <w:rPr>
                      <w:rFonts w:hint="eastAsia" w:ascii="Times New Roman" w:hAnsi="Times New Roman" w:eastAsia="宋体" w:cs="Times New Roman"/>
                      <w:color w:val="000000" w:themeColor="text1"/>
                      <w:kern w:val="0"/>
                      <w:szCs w:val="21"/>
                      <w:lang w:eastAsia="zh-CN"/>
                      <w14:textFill>
                        <w14:solidFill>
                          <w14:schemeClr w14:val="tx1"/>
                        </w14:solidFill>
                      </w14:textFill>
                    </w:rPr>
                    <w:t>临时占地按照“</w:t>
                  </w:r>
                  <w:r>
                    <w:rPr>
                      <w:rFonts w:hint="eastAsia" w:ascii="Times New Roman" w:hAnsi="Times New Roman" w:eastAsia="宋体" w:cs="Times New Roman"/>
                      <w:color w:val="000000" w:themeColor="text1"/>
                      <w:kern w:val="0"/>
                      <w:szCs w:val="21"/>
                      <w14:textFill>
                        <w14:solidFill>
                          <w14:schemeClr w14:val="tx1"/>
                        </w14:solidFill>
                      </w14:textFill>
                    </w:rPr>
                    <w:t>用多少、批多少、占多少、恢复多少</w:t>
                  </w:r>
                  <w:r>
                    <w:rPr>
                      <w:rFonts w:hint="eastAsia" w:ascii="Times New Roman" w:hAnsi="Times New Roman" w:eastAsia="宋体" w:cs="Times New Roman"/>
                      <w:color w:val="000000" w:themeColor="text1"/>
                      <w:kern w:val="0"/>
                      <w:szCs w:val="21"/>
                      <w:lang w:eastAsia="zh-CN"/>
                      <w14:textFill>
                        <w14:solidFill>
                          <w14:schemeClr w14:val="tx1"/>
                        </w14:solidFill>
                      </w14:textFill>
                    </w:rPr>
                    <w:t>”的原则进行，因</w:t>
                  </w:r>
                  <w:r>
                    <w:rPr>
                      <w:rFonts w:hint="eastAsia" w:ascii="Times New Roman" w:hAnsi="Times New Roman" w:eastAsia="宋体" w:cs="Times New Roman"/>
                      <w:color w:val="000000" w:themeColor="text1"/>
                      <w:kern w:val="21"/>
                      <w:lang w:eastAsia="zh-CN"/>
                      <w14:textFill>
                        <w14:solidFill>
                          <w14:schemeClr w14:val="tx1"/>
                        </w14:solidFill>
                      </w14:textFill>
                    </w:rPr>
                    <w:t>井田布局及治理需要项目施工无法避让基本农田，</w:t>
                  </w:r>
                  <w:r>
                    <w:rPr>
                      <w:rFonts w:hint="eastAsia" w:ascii="Times New Roman" w:hAnsi="Times New Roman" w:eastAsia="宋体" w:cs="Times New Roman"/>
                      <w:color w:val="000000" w:themeColor="text1"/>
                      <w:kern w:val="0"/>
                      <w:szCs w:val="21"/>
                      <w:lang w:eastAsia="zh-CN"/>
                      <w14:textFill>
                        <w14:solidFill>
                          <w14:schemeClr w14:val="tx1"/>
                        </w14:solidFill>
                      </w14:textFill>
                    </w:rPr>
                    <w:t>建设单位</w:t>
                  </w:r>
                  <w:r>
                    <w:rPr>
                      <w:rFonts w:hint="eastAsia" w:ascii="Times New Roman" w:hAnsi="Times New Roman" w:eastAsia="宋体" w:cs="Times New Roman"/>
                      <w:color w:val="000000" w:themeColor="text1"/>
                      <w:kern w:val="21"/>
                      <w:lang w:eastAsia="zh-CN"/>
                      <w14:textFill>
                        <w14:solidFill>
                          <w14:schemeClr w14:val="tx1"/>
                        </w14:solidFill>
                      </w14:textFill>
                    </w:rPr>
                    <w:t>已按照相关要求</w:t>
                  </w:r>
                  <w:r>
                    <w:rPr>
                      <w:rFonts w:ascii="Times New Roman" w:hAnsi="Times New Roman" w:eastAsia="宋体" w:cs="Times New Roman"/>
                      <w:bCs/>
                      <w:color w:val="000000" w:themeColor="text1"/>
                      <w:kern w:val="21"/>
                      <w:szCs w:val="21"/>
                      <w:highlight w:val="none"/>
                      <w14:textFill>
                        <w14:solidFill>
                          <w14:schemeClr w14:val="tx1"/>
                        </w14:solidFill>
                      </w14:textFill>
                    </w:rPr>
                    <w:t>取得了淮南市自然资源和规划局出具的临时用地的批复</w:t>
                  </w:r>
                  <w:r>
                    <w:rPr>
                      <w:rFonts w:hint="eastAsia" w:ascii="Times New Roman" w:hAnsi="Times New Roman" w:eastAsia="宋体" w:cs="Times New Roman"/>
                      <w:bCs/>
                      <w:color w:val="000000" w:themeColor="text1"/>
                      <w:kern w:val="21"/>
                      <w:szCs w:val="21"/>
                      <w:highlight w:val="none"/>
                      <w:lang w:eastAsia="zh-CN"/>
                      <w14:textFill>
                        <w14:solidFill>
                          <w14:schemeClr w14:val="tx1"/>
                        </w14:solidFill>
                      </w14:textFill>
                    </w:rPr>
                    <w:t>，</w:t>
                  </w:r>
                  <w:r>
                    <w:rPr>
                      <w:rFonts w:ascii="Times New Roman" w:hAnsi="Times New Roman" w:eastAsia="宋体" w:cs="Times New Roman"/>
                      <w:color w:val="000000" w:themeColor="text1"/>
                      <w:kern w:val="21"/>
                      <w:highlight w:val="none"/>
                      <w14:textFill>
                        <w14:solidFill>
                          <w14:schemeClr w14:val="tx1"/>
                        </w14:solidFill>
                      </w14:textFill>
                    </w:rPr>
                    <w:t>用地时间为</w:t>
                  </w:r>
                  <w:r>
                    <w:rPr>
                      <w:rFonts w:hint="eastAsia" w:ascii="Times New Roman" w:hAnsi="Times New Roman" w:eastAsia="宋体" w:cs="Times New Roman"/>
                      <w:color w:val="000000" w:themeColor="text1"/>
                      <w:kern w:val="21"/>
                      <w:highlight w:val="none"/>
                      <w14:textFill>
                        <w14:solidFill>
                          <w14:schemeClr w14:val="tx1"/>
                        </w14:solidFill>
                      </w14:textFill>
                    </w:rPr>
                    <w:t>2</w:t>
                  </w:r>
                  <w:r>
                    <w:rPr>
                      <w:rFonts w:ascii="Times New Roman" w:hAnsi="Times New Roman" w:eastAsia="宋体" w:cs="Times New Roman"/>
                      <w:color w:val="000000" w:themeColor="text1"/>
                      <w:kern w:val="21"/>
                      <w:highlight w:val="none"/>
                      <w14:textFill>
                        <w14:solidFill>
                          <w14:schemeClr w14:val="tx1"/>
                        </w14:solidFill>
                      </w14:textFill>
                    </w:rPr>
                    <w:t>年</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kern w:val="21"/>
                      <w14:textFill>
                        <w14:solidFill>
                          <w14:schemeClr w14:val="tx1"/>
                        </w14:solidFill>
                      </w14:textFill>
                    </w:rPr>
                    <w:t>已编制完成复垦方案并取得批复，施工结束后按照复垦方案对临时占地进行复垦，剥离的表土回填，恢复原有生态环境功能</w:t>
                  </w:r>
                  <w:r>
                    <w:rPr>
                      <w:rFonts w:hint="eastAsia" w:ascii="Times New Roman" w:hAnsi="Times New Roman" w:eastAsia="宋体" w:cs="Times New Roman"/>
                      <w:bCs/>
                      <w:color w:val="000000" w:themeColor="text1"/>
                      <w:kern w:val="21"/>
                      <w:lang w:eastAsia="zh-CN"/>
                      <w14:textFill>
                        <w14:solidFill>
                          <w14:schemeClr w14:val="tx1"/>
                        </w14:solidFill>
                      </w14:textFill>
                    </w:rPr>
                    <w:t>，并组织</w:t>
                  </w:r>
                  <w:r>
                    <w:rPr>
                      <w:rFonts w:ascii="Times New Roman" w:hAnsi="Times New Roman" w:eastAsia="宋体" w:cs="Times New Roman"/>
                      <w:color w:val="000000" w:themeColor="text1"/>
                      <w:kern w:val="0"/>
                      <w:szCs w:val="21"/>
                      <w14:textFill>
                        <w14:solidFill>
                          <w14:schemeClr w14:val="tx1"/>
                        </w14:solidFill>
                      </w14:textFill>
                    </w:rPr>
                    <w:t>自然资源主管部门</w:t>
                  </w:r>
                  <w:r>
                    <w:rPr>
                      <w:rFonts w:hint="eastAsia" w:ascii="Times New Roman" w:hAnsi="Times New Roman" w:eastAsia="宋体" w:cs="Times New Roman"/>
                      <w:color w:val="000000" w:themeColor="text1"/>
                      <w:kern w:val="0"/>
                      <w:szCs w:val="21"/>
                      <w:lang w:eastAsia="zh-CN"/>
                      <w14:textFill>
                        <w14:solidFill>
                          <w14:schemeClr w14:val="tx1"/>
                        </w14:solidFill>
                      </w14:textFill>
                    </w:rPr>
                    <w:t>对</w:t>
                  </w:r>
                  <w:r>
                    <w:rPr>
                      <w:rFonts w:ascii="Times New Roman" w:hAnsi="Times New Roman" w:eastAsia="宋体" w:cs="Times New Roman"/>
                      <w:color w:val="000000" w:themeColor="text1"/>
                      <w:kern w:val="0"/>
                      <w:szCs w:val="21"/>
                      <w14:textFill>
                        <w14:solidFill>
                          <w14:schemeClr w14:val="tx1"/>
                        </w14:solidFill>
                      </w14:textFill>
                    </w:rPr>
                    <w:t>土地复垦</w:t>
                  </w:r>
                  <w:r>
                    <w:rPr>
                      <w:rFonts w:hint="eastAsia" w:ascii="Times New Roman" w:hAnsi="Times New Roman" w:eastAsia="宋体" w:cs="Times New Roman"/>
                      <w:color w:val="000000" w:themeColor="text1"/>
                      <w:kern w:val="0"/>
                      <w:szCs w:val="21"/>
                      <w:lang w:eastAsia="zh-CN"/>
                      <w14:textFill>
                        <w14:solidFill>
                          <w14:schemeClr w14:val="tx1"/>
                        </w14:solidFill>
                      </w14:textFill>
                    </w:rPr>
                    <w:t>工作进行</w:t>
                  </w:r>
                  <w:r>
                    <w:rPr>
                      <w:rFonts w:ascii="Times New Roman" w:hAnsi="Times New Roman" w:eastAsia="宋体" w:cs="Times New Roman"/>
                      <w:color w:val="000000" w:themeColor="text1"/>
                      <w:kern w:val="0"/>
                      <w:szCs w:val="21"/>
                      <w14:textFill>
                        <w14:solidFill>
                          <w14:schemeClr w14:val="tx1"/>
                        </w14:solidFill>
                      </w14:textFill>
                    </w:rPr>
                    <w:t>验收</w:t>
                  </w:r>
                  <w:r>
                    <w:rPr>
                      <w:rFonts w:hint="eastAsia" w:ascii="Times New Roman" w:hAnsi="Times New Roman" w:eastAsia="宋体" w:cs="Times New Roman"/>
                      <w:bCs/>
                      <w:color w:val="000000" w:themeColor="text1"/>
                      <w:kern w:val="21"/>
                      <w:lang w:eastAsia="zh-CN"/>
                      <w14:textFill>
                        <w14:solidFill>
                          <w14:schemeClr w14:val="tx1"/>
                        </w14:solidFill>
                      </w14:textFill>
                    </w:rPr>
                    <w:t>。</w:t>
                  </w:r>
                </w:p>
              </w:tc>
              <w:tc>
                <w:tcPr>
                  <w:tcW w:w="672" w:type="pct"/>
                  <w:vAlign w:val="center"/>
                </w:tcPr>
                <w:p w14:paraId="12158497">
                  <w:pPr>
                    <w:spacing w:before="100" w:beforeAutospacing="1" w:after="100" w:afterAutospacing="1" w:line="360" w:lineRule="auto"/>
                    <w:jc w:val="center"/>
                    <w:rPr>
                      <w:rFonts w:ascii="Times New Roman" w:hAnsi="Times New Roman" w:eastAsia="宋体" w:cs="Times New Roman"/>
                      <w:color w:val="000000" w:themeColor="text1"/>
                      <w:kern w:val="21"/>
                      <w:szCs w:val="21"/>
                      <w14:textFill>
                        <w14:solidFill>
                          <w14:schemeClr w14:val="tx1"/>
                        </w14:solidFill>
                      </w14:textFill>
                    </w:rPr>
                  </w:pPr>
                  <w:r>
                    <w:rPr>
                      <w:rFonts w:ascii="Times New Roman" w:hAnsi="Times New Roman" w:eastAsia="宋体" w:cs="Times New Roman"/>
                      <w:color w:val="000000" w:themeColor="text1"/>
                      <w:kern w:val="21"/>
                      <w:szCs w:val="21"/>
                      <w14:textFill>
                        <w14:solidFill>
                          <w14:schemeClr w14:val="tx1"/>
                        </w14:solidFill>
                      </w14:textFill>
                    </w:rPr>
                    <w:t>符合</w:t>
                  </w:r>
                </w:p>
              </w:tc>
            </w:tr>
            <w:tr w14:paraId="60111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3055" w:type="dxa"/>
                  <w:vAlign w:val="center"/>
                </w:tcPr>
                <w:p w14:paraId="3781F3BB">
                  <w:pPr>
                    <w:autoSpaceDE w:val="0"/>
                    <w:autoSpaceDN w:val="0"/>
                    <w:spacing w:line="360" w:lineRule="auto"/>
                    <w:jc w:val="center"/>
                    <w:rPr>
                      <w:rFonts w:hint="eastAsia"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临时用地确需占用永久基本农田的，必须能够恢复原种植条件，并符合《自然资源部 农业农村部关于加强和改进永久基本农田保护工作的通知》（自然资规〔2019〕1号）中申请条件、土壤剥离、复垦验收等有关规定</w:t>
                  </w:r>
                </w:p>
              </w:tc>
              <w:tc>
                <w:tcPr>
                  <w:tcW w:w="3775" w:type="dxa"/>
                  <w:vAlign w:val="center"/>
                </w:tcPr>
                <w:p w14:paraId="354F9CB7">
                  <w:pPr>
                    <w:spacing w:line="360" w:lineRule="auto"/>
                    <w:jc w:val="center"/>
                    <w:rPr>
                      <w:rFonts w:hint="eastAsia" w:ascii="Times New Roman" w:hAnsi="Times New Roman" w:eastAsia="宋体" w:cs="Times New Roman"/>
                      <w:color w:val="000000" w:themeColor="text1"/>
                      <w:kern w:val="0"/>
                      <w:szCs w:val="21"/>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本项</w:t>
                  </w:r>
                  <w:r>
                    <w:rPr>
                      <w:rFonts w:ascii="Times New Roman" w:hAnsi="宋体" w:eastAsia="宋体" w:cs="Times New Roman"/>
                      <w:color w:val="000000" w:themeColor="text1"/>
                      <w:sz w:val="21"/>
                      <w:szCs w:val="21"/>
                      <w14:textFill>
                        <w14:solidFill>
                          <w14:schemeClr w14:val="tx1"/>
                        </w14:solidFill>
                      </w14:textFill>
                    </w:rPr>
                    <w:t>目</w:t>
                  </w:r>
                  <w:r>
                    <w:rPr>
                      <w:rFonts w:hint="eastAsia" w:ascii="Times New Roman" w:hAnsi="Times New Roman" w:eastAsia="宋体" w:cs="Times New Roman"/>
                      <w:color w:val="000000" w:themeColor="text1"/>
                      <w:kern w:val="21"/>
                      <w:sz w:val="21"/>
                      <w:szCs w:val="21"/>
                      <w:lang w:eastAsia="zh-CN"/>
                      <w14:textFill>
                        <w14:solidFill>
                          <w14:schemeClr w14:val="tx1"/>
                        </w14:solidFill>
                      </w14:textFill>
                    </w:rPr>
                    <w:t>为煤炭开采瓦斯治</w:t>
                  </w:r>
                  <w:r>
                    <w:rPr>
                      <w:rFonts w:hint="eastAsia" w:ascii="Times New Roman" w:hAnsi="Times New Roman" w:eastAsia="宋体" w:cs="Times New Roman"/>
                      <w:color w:val="000000" w:themeColor="text1"/>
                      <w:kern w:val="21"/>
                      <w:lang w:eastAsia="zh-CN"/>
                      <w14:textFill>
                        <w14:solidFill>
                          <w14:schemeClr w14:val="tx1"/>
                        </w14:solidFill>
                      </w14:textFill>
                    </w:rPr>
                    <w:t>理工程，根据井田布局及治理需要项目施工无法避让基本农田，建设单位已按照相关要求</w:t>
                  </w:r>
                  <w:r>
                    <w:rPr>
                      <w:rFonts w:ascii="Times New Roman" w:hAnsi="Times New Roman" w:eastAsia="宋体" w:cs="Times New Roman"/>
                      <w:bCs/>
                      <w:color w:val="000000" w:themeColor="text1"/>
                      <w:kern w:val="21"/>
                      <w:szCs w:val="21"/>
                      <w:highlight w:val="none"/>
                      <w14:textFill>
                        <w14:solidFill>
                          <w14:schemeClr w14:val="tx1"/>
                        </w14:solidFill>
                      </w14:textFill>
                    </w:rPr>
                    <w:t>取得了淮南市自然资源和规划局出具的临时用地的批复</w:t>
                  </w:r>
                  <w:r>
                    <w:rPr>
                      <w:rFonts w:hint="eastAsia" w:ascii="Times New Roman" w:hAnsi="Times New Roman" w:eastAsia="宋体" w:cs="Times New Roman"/>
                      <w:bCs/>
                      <w:color w:val="000000" w:themeColor="text1"/>
                      <w:kern w:val="21"/>
                      <w:szCs w:val="21"/>
                      <w:highlight w:val="none"/>
                      <w:lang w:eastAsia="zh-CN"/>
                      <w14:textFill>
                        <w14:solidFill>
                          <w14:schemeClr w14:val="tx1"/>
                        </w14:solidFill>
                      </w14:textFill>
                    </w:rPr>
                    <w:t>，</w:t>
                  </w:r>
                  <w:r>
                    <w:rPr>
                      <w:rFonts w:ascii="Times New Roman" w:hAnsi="Times New Roman" w:eastAsia="宋体" w:cs="Times New Roman"/>
                      <w:color w:val="000000" w:themeColor="text1"/>
                      <w:kern w:val="21"/>
                      <w:highlight w:val="none"/>
                      <w14:textFill>
                        <w14:solidFill>
                          <w14:schemeClr w14:val="tx1"/>
                        </w14:solidFill>
                      </w14:textFill>
                    </w:rPr>
                    <w:t>用地时间为</w:t>
                  </w:r>
                  <w:r>
                    <w:rPr>
                      <w:rFonts w:hint="eastAsia" w:ascii="Times New Roman" w:hAnsi="Times New Roman" w:eastAsia="宋体" w:cs="Times New Roman"/>
                      <w:color w:val="000000" w:themeColor="text1"/>
                      <w:kern w:val="21"/>
                      <w:highlight w:val="none"/>
                      <w14:textFill>
                        <w14:solidFill>
                          <w14:schemeClr w14:val="tx1"/>
                        </w14:solidFill>
                      </w14:textFill>
                    </w:rPr>
                    <w:t>2</w:t>
                  </w:r>
                  <w:r>
                    <w:rPr>
                      <w:rFonts w:ascii="Times New Roman" w:hAnsi="Times New Roman" w:eastAsia="宋体" w:cs="Times New Roman"/>
                      <w:color w:val="000000" w:themeColor="text1"/>
                      <w:kern w:val="21"/>
                      <w:highlight w:val="none"/>
                      <w14:textFill>
                        <w14:solidFill>
                          <w14:schemeClr w14:val="tx1"/>
                        </w14:solidFill>
                      </w14:textFill>
                    </w:rPr>
                    <w:t>年。</w:t>
                  </w:r>
                  <w:r>
                    <w:rPr>
                      <w:rFonts w:hint="eastAsia" w:ascii="Times New Roman" w:hAnsi="Times New Roman" w:eastAsia="宋体" w:cs="Times New Roman"/>
                      <w:bCs/>
                      <w:color w:val="000000" w:themeColor="text1"/>
                      <w:kern w:val="21"/>
                      <w:highlight w:val="none"/>
                      <w14:textFill>
                        <w14:solidFill>
                          <w14:schemeClr w14:val="tx1"/>
                        </w14:solidFill>
                      </w14:textFill>
                    </w:rPr>
                    <w:t>本</w:t>
                  </w:r>
                  <w:r>
                    <w:rPr>
                      <w:rFonts w:hint="eastAsia" w:ascii="Times New Roman" w:hAnsi="Times New Roman" w:eastAsia="宋体" w:cs="Times New Roman"/>
                      <w:bCs/>
                      <w:color w:val="000000" w:themeColor="text1"/>
                      <w:kern w:val="21"/>
                      <w14:textFill>
                        <w14:solidFill>
                          <w14:schemeClr w14:val="tx1"/>
                        </w14:solidFill>
                      </w14:textFill>
                    </w:rPr>
                    <w:t>项目施工前进行表土剥离工作，将表土放在专门的表土堆放区，表土堆放区应设置截、排水沟、苫盖等措施，同时本项目已编制完成复垦方案并取得批复，施工结束后按照复垦方案对临时占地进行复垦，剥离的表土回填，恢复原有生态环境功能</w:t>
                  </w:r>
                  <w:r>
                    <w:rPr>
                      <w:rFonts w:hint="eastAsia" w:ascii="Times New Roman" w:hAnsi="Times New Roman" w:eastAsia="宋体" w:cs="Times New Roman"/>
                      <w:bCs/>
                      <w:color w:val="000000" w:themeColor="text1"/>
                      <w:kern w:val="21"/>
                      <w:lang w:eastAsia="zh-CN"/>
                      <w14:textFill>
                        <w14:solidFill>
                          <w14:schemeClr w14:val="tx1"/>
                        </w14:solidFill>
                      </w14:textFill>
                    </w:rPr>
                    <w:t>，并组织</w:t>
                  </w:r>
                  <w:r>
                    <w:rPr>
                      <w:rFonts w:ascii="Times New Roman" w:hAnsi="Times New Roman" w:eastAsia="宋体" w:cs="Times New Roman"/>
                      <w:color w:val="000000" w:themeColor="text1"/>
                      <w:kern w:val="0"/>
                      <w:szCs w:val="21"/>
                      <w14:textFill>
                        <w14:solidFill>
                          <w14:schemeClr w14:val="tx1"/>
                        </w14:solidFill>
                      </w14:textFill>
                    </w:rPr>
                    <w:t>自然资源主管部门</w:t>
                  </w:r>
                  <w:r>
                    <w:rPr>
                      <w:rFonts w:hint="eastAsia" w:ascii="Times New Roman" w:hAnsi="Times New Roman" w:eastAsia="宋体" w:cs="Times New Roman"/>
                      <w:color w:val="000000" w:themeColor="text1"/>
                      <w:kern w:val="0"/>
                      <w:szCs w:val="21"/>
                      <w:lang w:eastAsia="zh-CN"/>
                      <w14:textFill>
                        <w14:solidFill>
                          <w14:schemeClr w14:val="tx1"/>
                        </w14:solidFill>
                      </w14:textFill>
                    </w:rPr>
                    <w:t>对</w:t>
                  </w:r>
                  <w:r>
                    <w:rPr>
                      <w:rFonts w:ascii="Times New Roman" w:hAnsi="Times New Roman" w:eastAsia="宋体" w:cs="Times New Roman"/>
                      <w:color w:val="000000" w:themeColor="text1"/>
                      <w:kern w:val="0"/>
                      <w:szCs w:val="21"/>
                      <w14:textFill>
                        <w14:solidFill>
                          <w14:schemeClr w14:val="tx1"/>
                        </w14:solidFill>
                      </w14:textFill>
                    </w:rPr>
                    <w:t>土地复垦</w:t>
                  </w:r>
                  <w:r>
                    <w:rPr>
                      <w:rFonts w:hint="eastAsia" w:ascii="Times New Roman" w:hAnsi="Times New Roman" w:eastAsia="宋体" w:cs="Times New Roman"/>
                      <w:color w:val="000000" w:themeColor="text1"/>
                      <w:kern w:val="0"/>
                      <w:szCs w:val="21"/>
                      <w:lang w:eastAsia="zh-CN"/>
                      <w14:textFill>
                        <w14:solidFill>
                          <w14:schemeClr w14:val="tx1"/>
                        </w14:solidFill>
                      </w14:textFill>
                    </w:rPr>
                    <w:t>工作进行</w:t>
                  </w:r>
                  <w:r>
                    <w:rPr>
                      <w:rFonts w:ascii="Times New Roman" w:hAnsi="Times New Roman" w:eastAsia="宋体" w:cs="Times New Roman"/>
                      <w:color w:val="000000" w:themeColor="text1"/>
                      <w:kern w:val="0"/>
                      <w:szCs w:val="21"/>
                      <w14:textFill>
                        <w14:solidFill>
                          <w14:schemeClr w14:val="tx1"/>
                        </w14:solidFill>
                      </w14:textFill>
                    </w:rPr>
                    <w:t>验收</w:t>
                  </w:r>
                  <w:r>
                    <w:rPr>
                      <w:rFonts w:hint="eastAsia" w:ascii="Times New Roman" w:hAnsi="Times New Roman" w:eastAsia="宋体" w:cs="Times New Roman"/>
                      <w:bCs/>
                      <w:color w:val="000000" w:themeColor="text1"/>
                      <w:kern w:val="21"/>
                      <w:lang w:eastAsia="zh-CN"/>
                      <w14:textFill>
                        <w14:solidFill>
                          <w14:schemeClr w14:val="tx1"/>
                        </w14:solidFill>
                      </w14:textFill>
                    </w:rPr>
                    <w:t>。</w:t>
                  </w:r>
                </w:p>
              </w:tc>
              <w:tc>
                <w:tcPr>
                  <w:tcW w:w="672" w:type="pct"/>
                  <w:vAlign w:val="center"/>
                </w:tcPr>
                <w:p w14:paraId="22A107F7">
                  <w:pPr>
                    <w:spacing w:before="100" w:beforeAutospacing="1" w:after="100" w:afterAutospacing="1" w:line="360" w:lineRule="auto"/>
                    <w:jc w:val="center"/>
                    <w:rPr>
                      <w:rFonts w:ascii="Times New Roman" w:hAnsi="Times New Roman" w:eastAsia="宋体" w:cs="Times New Roman"/>
                      <w:color w:val="000000" w:themeColor="text1"/>
                      <w:kern w:val="21"/>
                      <w:szCs w:val="21"/>
                      <w14:textFill>
                        <w14:solidFill>
                          <w14:schemeClr w14:val="tx1"/>
                        </w14:solidFill>
                      </w14:textFill>
                    </w:rPr>
                  </w:pPr>
                  <w:r>
                    <w:rPr>
                      <w:rFonts w:ascii="Times New Roman" w:hAnsi="Times New Roman" w:eastAsia="宋体" w:cs="Times New Roman"/>
                      <w:color w:val="000000" w:themeColor="text1"/>
                      <w:kern w:val="21"/>
                      <w:szCs w:val="21"/>
                      <w14:textFill>
                        <w14:solidFill>
                          <w14:schemeClr w14:val="tx1"/>
                        </w14:solidFill>
                      </w14:textFill>
                    </w:rPr>
                    <w:t>符合</w:t>
                  </w:r>
                </w:p>
              </w:tc>
            </w:tr>
          </w:tbl>
          <w:p w14:paraId="2546DF53">
            <w:pPr>
              <w:autoSpaceDE w:val="0"/>
              <w:autoSpaceDN w:val="0"/>
              <w:spacing w:line="360" w:lineRule="auto"/>
              <w:ind w:firstLine="480" w:firstLineChars="200"/>
              <w:rPr>
                <w:rFonts w:ascii="Times New Roman" w:hAnsi="宋体" w:eastAsia="宋体" w:cs="Times New Roman"/>
                <w:color w:val="000000" w:themeColor="text1"/>
                <w:kern w:val="0"/>
                <w:sz w:val="24"/>
                <w:szCs w:val="24"/>
                <w14:textFill>
                  <w14:solidFill>
                    <w14:schemeClr w14:val="tx1"/>
                  </w14:solidFill>
                </w14:textFill>
              </w:rPr>
            </w:pPr>
            <w:r>
              <w:rPr>
                <w:rFonts w:ascii="Times New Roman" w:hAnsi="宋体" w:eastAsia="宋体" w:cs="Times New Roman"/>
                <w:color w:val="000000" w:themeColor="text1"/>
                <w:kern w:val="0"/>
                <w:sz w:val="24"/>
                <w:szCs w:val="24"/>
                <w14:textFill>
                  <w14:solidFill>
                    <w14:schemeClr w14:val="tx1"/>
                  </w14:solidFill>
                </w14:textFill>
              </w:rPr>
              <w:t>根据上述分析可知，本项目与</w:t>
            </w:r>
            <w:r>
              <w:rPr>
                <w:rFonts w:ascii="Times New Roman" w:hAnsi="Times New Roman" w:eastAsia="宋体" w:cs="Times New Roman"/>
                <w:bCs/>
                <w:color w:val="000000" w:themeColor="text1"/>
                <w:kern w:val="0"/>
                <w:sz w:val="24"/>
                <w:szCs w:val="24"/>
                <w14:textFill>
                  <w14:solidFill>
                    <w14:schemeClr w14:val="tx1"/>
                  </w14:solidFill>
                </w14:textFill>
              </w:rPr>
              <w:t>《</w:t>
            </w:r>
            <w:r>
              <w:rPr>
                <w:rFonts w:hint="eastAsia" w:ascii="Times New Roman" w:hAnsi="Times New Roman" w:eastAsia="宋体" w:cs="Times New Roman"/>
                <w:bCs/>
                <w:color w:val="000000" w:themeColor="text1"/>
                <w:kern w:val="0"/>
                <w:sz w:val="24"/>
                <w:szCs w:val="24"/>
                <w14:textFill>
                  <w14:solidFill>
                    <w14:schemeClr w14:val="tx1"/>
                  </w14:solidFill>
                </w14:textFill>
              </w:rPr>
              <w:t>安徽省</w:t>
            </w:r>
            <w:r>
              <w:rPr>
                <w:rFonts w:ascii="Times New Roman" w:hAnsi="Times New Roman" w:eastAsia="宋体" w:cs="Times New Roman"/>
                <w:bCs/>
                <w:color w:val="000000" w:themeColor="text1"/>
                <w:kern w:val="0"/>
                <w:sz w:val="24"/>
                <w:szCs w:val="24"/>
                <w14:textFill>
                  <w14:solidFill>
                    <w14:schemeClr w14:val="tx1"/>
                  </w14:solidFill>
                </w14:textFill>
              </w:rPr>
              <w:t>临时用地管理实施办法》</w:t>
            </w:r>
            <w:r>
              <w:rPr>
                <w:rFonts w:ascii="Times New Roman" w:hAnsi="宋体" w:eastAsia="宋体" w:cs="Times New Roman"/>
                <w:color w:val="000000" w:themeColor="text1"/>
                <w:kern w:val="0"/>
                <w:sz w:val="24"/>
                <w:szCs w:val="24"/>
                <w14:textFill>
                  <w14:solidFill>
                    <w14:schemeClr w14:val="tx1"/>
                  </w14:solidFill>
                </w14:textFill>
              </w:rPr>
              <w:t>相关规范相符。</w:t>
            </w:r>
          </w:p>
          <w:p w14:paraId="7608A82E">
            <w:pPr>
              <w:spacing w:line="360" w:lineRule="auto"/>
              <w:ind w:firstLine="482"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7</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w:t>
            </w:r>
            <w:r>
              <w:rPr>
                <w:rFonts w:ascii="Times New Roman" w:hAnsi="Times New Roman" w:eastAsia="宋体" w:cs="Times New Roman"/>
                <w:b/>
                <w:bCs/>
                <w:color w:val="000000" w:themeColor="text1"/>
                <w:sz w:val="24"/>
                <w:szCs w:val="24"/>
                <w:highlight w:val="none"/>
                <w14:textFill>
                  <w14:solidFill>
                    <w14:schemeClr w14:val="tx1"/>
                  </w14:solidFill>
                </w14:textFill>
              </w:rPr>
              <w:t>“三线一单”相符性分析</w:t>
            </w:r>
          </w:p>
          <w:p w14:paraId="588B2B19">
            <w:pPr>
              <w:spacing w:line="360" w:lineRule="auto"/>
              <w:ind w:firstLine="480" w:firstLineChars="200"/>
              <w:rPr>
                <w:rFonts w:ascii="Times New Roman" w:hAnsi="Times New Roman" w:eastAsia="宋体" w:cs="Times New Roman"/>
                <w:b/>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根据原环境保护部《关于以改善环境质量为核心加强环境影响评价管理的通知》（环环评〔2016〕150号）、</w:t>
            </w:r>
            <w:r>
              <w:rPr>
                <w:rFonts w:hint="eastAsia" w:ascii="Times New Roman" w:hAnsi="Times New Roman" w:eastAsia="宋体" w:cs="Times New Roman"/>
                <w:color w:val="000000" w:themeColor="text1"/>
                <w:sz w:val="24"/>
                <w:szCs w:val="24"/>
                <w:highlight w:val="none"/>
                <w14:textFill>
                  <w14:solidFill>
                    <w14:schemeClr w14:val="tx1"/>
                  </w14:solidFill>
                </w14:textFill>
              </w:rPr>
              <w:t>淮南市</w:t>
            </w:r>
            <w:r>
              <w:rPr>
                <w:rFonts w:ascii="Times New Roman" w:hAnsi="Times New Roman" w:eastAsia="宋体" w:cs="Times New Roman"/>
                <w:color w:val="000000" w:themeColor="text1"/>
                <w:sz w:val="24"/>
                <w:szCs w:val="24"/>
                <w:highlight w:val="none"/>
                <w14:textFill>
                  <w14:solidFill>
                    <w14:schemeClr w14:val="tx1"/>
                  </w14:solidFill>
                </w14:textFill>
              </w:rPr>
              <w:t>“三线一单”技术成果</w:t>
            </w:r>
            <w:r>
              <w:rPr>
                <w:rFonts w:ascii="Times New Roman" w:hAnsi="Times New Roman" w:eastAsia="宋体" w:cs="Times New Roman"/>
                <w:color w:val="000000" w:themeColor="text1"/>
                <w:kern w:val="0"/>
                <w:sz w:val="24"/>
                <w:szCs w:val="24"/>
                <w:highlight w:val="none"/>
                <w14:textFill>
                  <w14:solidFill>
                    <w14:schemeClr w14:val="tx1"/>
                  </w14:solidFill>
                </w14:textFill>
              </w:rPr>
              <w:t>，项目“三线一单”</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相符性分析见</w:t>
            </w:r>
            <w:r>
              <w:rPr>
                <w:rFonts w:ascii="Times New Roman" w:hAnsi="Times New Roman" w:eastAsia="宋体" w:cs="Times New Roman"/>
                <w:color w:val="000000" w:themeColor="text1"/>
                <w:kern w:val="0"/>
                <w:sz w:val="24"/>
                <w:szCs w:val="24"/>
                <w:highlight w:val="none"/>
                <w14:textFill>
                  <w14:solidFill>
                    <w14:schemeClr w14:val="tx1"/>
                  </w14:solidFill>
                </w14:textFill>
              </w:rPr>
              <w:t>下表。</w:t>
            </w:r>
          </w:p>
          <w:p w14:paraId="6BD67AF0">
            <w:pPr>
              <w:pStyle w:val="95"/>
              <w:numPr>
                <w:ilvl w:val="1"/>
                <w:numId w:val="2"/>
              </w:numPr>
              <w:tabs>
                <w:tab w:val="left" w:pos="2100"/>
                <w:tab w:val="clear" w:pos="1440"/>
              </w:tabs>
              <w:spacing w:line="240" w:lineRule="auto"/>
              <w:ind w:left="3300" w:leftChars="0" w:hanging="1200" w:firstLineChars="0"/>
              <w:jc w:val="both"/>
              <w:rPr>
                <w:rFonts w:ascii="Times New Roman" w:hAnsi="黑体" w:eastAsia="黑体" w:cs="Times New Roman"/>
                <w:color w:val="000000" w:themeColor="text1"/>
                <w:sz w:val="24"/>
                <w:szCs w:val="24"/>
                <w:highlight w:val="none"/>
                <w14:textFill>
                  <w14:solidFill>
                    <w14:schemeClr w14:val="tx1"/>
                  </w14:solidFill>
                </w14:textFill>
              </w:rPr>
            </w:pPr>
            <w:r>
              <w:rPr>
                <w:rFonts w:ascii="Times New Roman" w:hAnsi="黑体" w:eastAsia="黑体" w:cs="Times New Roman"/>
                <w:color w:val="000000" w:themeColor="text1"/>
                <w:sz w:val="24"/>
                <w:szCs w:val="24"/>
                <w:highlight w:val="none"/>
                <w14:textFill>
                  <w14:solidFill>
                    <w14:schemeClr w14:val="tx1"/>
                  </w14:solidFill>
                </w14:textFill>
              </w:rPr>
              <w:t>项目</w:t>
            </w:r>
            <w:r>
              <w:rPr>
                <w:rFonts w:ascii="Times New Roman" w:hAnsi="Times New Roman" w:eastAsia="黑体" w:cs="Times New Roman"/>
                <w:color w:val="000000" w:themeColor="text1"/>
                <w:sz w:val="24"/>
                <w:szCs w:val="24"/>
                <w:highlight w:val="none"/>
                <w14:textFill>
                  <w14:solidFill>
                    <w14:schemeClr w14:val="tx1"/>
                  </w14:solidFill>
                </w14:textFill>
              </w:rPr>
              <w:t>“</w:t>
            </w:r>
            <w:r>
              <w:rPr>
                <w:rFonts w:ascii="Times New Roman" w:hAnsi="黑体" w:eastAsia="黑体" w:cs="Times New Roman"/>
                <w:color w:val="000000" w:themeColor="text1"/>
                <w:sz w:val="24"/>
                <w:szCs w:val="24"/>
                <w:highlight w:val="none"/>
                <w14:textFill>
                  <w14:solidFill>
                    <w14:schemeClr w14:val="tx1"/>
                  </w14:solidFill>
                </w14:textFill>
              </w:rPr>
              <w:t>三线一单</w:t>
            </w:r>
            <w:r>
              <w:rPr>
                <w:rFonts w:ascii="Times New Roman" w:hAnsi="Times New Roman" w:eastAsia="黑体" w:cs="Times New Roman"/>
                <w:color w:val="000000" w:themeColor="text1"/>
                <w:sz w:val="24"/>
                <w:szCs w:val="24"/>
                <w:highlight w:val="none"/>
                <w14:textFill>
                  <w14:solidFill>
                    <w14:schemeClr w14:val="tx1"/>
                  </w14:solidFill>
                </w14:textFill>
              </w:rPr>
              <w:t>”</w:t>
            </w:r>
            <w:r>
              <w:rPr>
                <w:rFonts w:ascii="Times New Roman" w:hAnsi="黑体" w:eastAsia="黑体" w:cs="Times New Roman"/>
                <w:color w:val="000000" w:themeColor="text1"/>
                <w:sz w:val="24"/>
                <w:szCs w:val="24"/>
                <w:highlight w:val="none"/>
                <w14:textFill>
                  <w14:solidFill>
                    <w14:schemeClr w14:val="tx1"/>
                  </w14:solidFill>
                </w14:textFill>
              </w:rPr>
              <w:t>符合性</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2870"/>
              <w:gridCol w:w="3759"/>
              <w:gridCol w:w="741"/>
            </w:tblGrid>
            <w:tr w14:paraId="2046F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7DBD1222">
                  <w:pPr>
                    <w:spacing w:before="100" w:beforeAutospacing="1" w:after="100" w:afterAutospacing="1" w:line="360" w:lineRule="auto"/>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内容</w:t>
                  </w:r>
                </w:p>
              </w:tc>
              <w:tc>
                <w:tcPr>
                  <w:tcW w:w="1818" w:type="pct"/>
                  <w:vAlign w:val="center"/>
                </w:tcPr>
                <w:p w14:paraId="12BB9DC5">
                  <w:pPr>
                    <w:spacing w:before="100" w:beforeAutospacing="1" w:after="100" w:afterAutospacing="1" w:line="360" w:lineRule="auto"/>
                    <w:jc w:val="center"/>
                    <w:rPr>
                      <w:rFonts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相关规范要求</w:t>
                  </w:r>
                </w:p>
              </w:tc>
              <w:tc>
                <w:tcPr>
                  <w:tcW w:w="2381" w:type="pct"/>
                  <w:vAlign w:val="center"/>
                </w:tcPr>
                <w:p w14:paraId="13BAE00B">
                  <w:pPr>
                    <w:spacing w:before="100" w:beforeAutospacing="1" w:after="100" w:afterAutospacing="1" w:line="360" w:lineRule="auto"/>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建设项目情况</w:t>
                  </w:r>
                </w:p>
              </w:tc>
              <w:tc>
                <w:tcPr>
                  <w:tcW w:w="469" w:type="pct"/>
                  <w:vAlign w:val="center"/>
                </w:tcPr>
                <w:p w14:paraId="66377E3D">
                  <w:pPr>
                    <w:spacing w:before="100" w:beforeAutospacing="1" w:after="100" w:afterAutospacing="1" w:line="360" w:lineRule="auto"/>
                    <w:jc w:val="center"/>
                    <w:rPr>
                      <w:rFonts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符合性</w:t>
                  </w:r>
                </w:p>
              </w:tc>
            </w:tr>
            <w:tr w14:paraId="45818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29812446">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生态保护红线</w:t>
                  </w:r>
                </w:p>
              </w:tc>
              <w:tc>
                <w:tcPr>
                  <w:tcW w:w="1818" w:type="pct"/>
                  <w:vAlign w:val="center"/>
                </w:tcPr>
                <w:p w14:paraId="3C8B7BA0">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lang w:val="zh-CN"/>
                      <w14:textFill>
                        <w14:solidFill>
                          <w14:schemeClr w14:val="tx1"/>
                        </w14:solidFill>
                      </w14:textFill>
                    </w:rPr>
                    <w:t>生态保护红线是生态空间范围内具有特殊重要生态功能必须实行强制性严格保护的区域。相关规划环评应将生态空间管控作为重要内容，规划区域设计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381" w:type="pct"/>
                  <w:vAlign w:val="center"/>
                </w:tcPr>
                <w:p w14:paraId="1B46A35C">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本项目位于安徽省</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淮南市潘集区夹沟镇新集村附近</w:t>
                  </w:r>
                  <w:r>
                    <w:rPr>
                      <w:rFonts w:ascii="Times New Roman" w:hAnsi="Times New Roman" w:eastAsia="宋体" w:cs="Times New Roman"/>
                      <w:color w:val="000000" w:themeColor="text1"/>
                      <w:szCs w:val="21"/>
                      <w:highlight w:val="none"/>
                      <w14:textFill>
                        <w14:solidFill>
                          <w14:schemeClr w14:val="tx1"/>
                        </w14:solidFill>
                      </w14:textFill>
                    </w:rPr>
                    <w:t>，根据《</w:t>
                  </w:r>
                  <w:r>
                    <w:rPr>
                      <w:rFonts w:hint="eastAsia" w:ascii="Times New Roman" w:hAnsi="Times New Roman" w:eastAsia="宋体" w:cs="Times New Roman"/>
                      <w:color w:val="000000" w:themeColor="text1"/>
                      <w:szCs w:val="21"/>
                      <w:highlight w:val="none"/>
                      <w14:textFill>
                        <w14:solidFill>
                          <w14:schemeClr w14:val="tx1"/>
                        </w14:solidFill>
                      </w14:textFill>
                    </w:rPr>
                    <w:t>淮南市</w:t>
                  </w:r>
                  <w:r>
                    <w:rPr>
                      <w:rFonts w:ascii="Times New Roman" w:hAnsi="Times New Roman" w:eastAsia="宋体" w:cs="Times New Roman"/>
                      <w:color w:val="000000" w:themeColor="text1"/>
                      <w:szCs w:val="21"/>
                      <w:highlight w:val="none"/>
                      <w14:textFill>
                        <w14:solidFill>
                          <w14:schemeClr w14:val="tx1"/>
                        </w14:solidFill>
                      </w14:textFill>
                    </w:rPr>
                    <w:t>生态保护红线》，项目所处区域无自然保护区、风景名胜区、文化自然遗产等，不属于生态保护红线管控的区域，符合</w:t>
                  </w:r>
                  <w:r>
                    <w:rPr>
                      <w:rFonts w:hint="eastAsia" w:ascii="Times New Roman" w:hAnsi="Times New Roman" w:eastAsia="宋体" w:cs="Times New Roman"/>
                      <w:color w:val="000000" w:themeColor="text1"/>
                      <w:szCs w:val="21"/>
                      <w:highlight w:val="none"/>
                      <w14:textFill>
                        <w14:solidFill>
                          <w14:schemeClr w14:val="tx1"/>
                        </w14:solidFill>
                      </w14:textFill>
                    </w:rPr>
                    <w:t>淮南</w:t>
                  </w:r>
                  <w:r>
                    <w:rPr>
                      <w:rFonts w:ascii="Times New Roman" w:hAnsi="Times New Roman" w:eastAsia="宋体" w:cs="Times New Roman"/>
                      <w:color w:val="000000" w:themeColor="text1"/>
                      <w:szCs w:val="21"/>
                      <w:highlight w:val="none"/>
                      <w14:textFill>
                        <w14:solidFill>
                          <w14:schemeClr w14:val="tx1"/>
                        </w14:solidFill>
                      </w14:textFill>
                    </w:rPr>
                    <w:t>市生态保护红线要求。淮南市生态保护红线图见</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下</w:t>
                  </w:r>
                  <w:r>
                    <w:rPr>
                      <w:rFonts w:ascii="Times New Roman" w:hAnsi="Times New Roman" w:eastAsia="宋体" w:cs="Times New Roman"/>
                      <w:color w:val="000000" w:themeColor="text1"/>
                      <w:szCs w:val="21"/>
                      <w:highlight w:val="none"/>
                      <w14:textFill>
                        <w14:solidFill>
                          <w14:schemeClr w14:val="tx1"/>
                        </w14:solidFill>
                      </w14:textFill>
                    </w:rPr>
                    <w:t>图</w:t>
                  </w:r>
                </w:p>
              </w:tc>
              <w:tc>
                <w:tcPr>
                  <w:tcW w:w="469" w:type="pct"/>
                  <w:vAlign w:val="center"/>
                </w:tcPr>
                <w:p w14:paraId="302E6BE8">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符合</w:t>
                  </w:r>
                </w:p>
              </w:tc>
            </w:tr>
            <w:tr w14:paraId="2E85E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5C54F95E">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环境质量底线</w:t>
                  </w:r>
                </w:p>
              </w:tc>
              <w:tc>
                <w:tcPr>
                  <w:tcW w:w="1818" w:type="pct"/>
                  <w:vAlign w:val="center"/>
                </w:tcPr>
                <w:p w14:paraId="429D2CB2">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lang w:val="zh-CN"/>
                      <w14:textFill>
                        <w14:solidFill>
                          <w14:schemeClr w14:val="tx1"/>
                        </w14:solidFill>
                      </w14:textFill>
                    </w:rPr>
                    <w:t>环境质量底线是国家和地方设置的大气、水和土壤环境质量目标，也是改善环境质量的基准线。有关规划环评应落实区域环境质量目标管理要求，提出区域或者行业污染物排放总量管控建议以及优化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381" w:type="pct"/>
                  <w:vAlign w:val="center"/>
                </w:tcPr>
                <w:p w14:paraId="6872CB6A">
                  <w:pPr>
                    <w:spacing w:line="360" w:lineRule="auto"/>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项目选址区域为环境空气功能区二类区，执行二级标准。</w:t>
                  </w:r>
                  <w:r>
                    <w:rPr>
                      <w:rFonts w:ascii="Times New Roman" w:hAnsi="Times New Roman" w:eastAsia="宋体" w:cs="Times New Roman"/>
                      <w:bCs/>
                      <w:color w:val="000000" w:themeColor="text1"/>
                      <w:kern w:val="0"/>
                      <w:szCs w:val="21"/>
                      <w:highlight w:val="none"/>
                      <w14:textFill>
                        <w14:solidFill>
                          <w14:schemeClr w14:val="tx1"/>
                        </w14:solidFill>
                      </w14:textFill>
                    </w:rPr>
                    <w:t>根据《202</w:t>
                  </w:r>
                  <w:r>
                    <w:rPr>
                      <w:rFonts w:hint="eastAsia" w:ascii="Times New Roman" w:hAnsi="Times New Roman" w:eastAsia="宋体" w:cs="Times New Roman"/>
                      <w:bCs/>
                      <w:color w:val="000000" w:themeColor="text1"/>
                      <w:kern w:val="0"/>
                      <w:szCs w:val="21"/>
                      <w:highlight w:val="none"/>
                      <w14:textFill>
                        <w14:solidFill>
                          <w14:schemeClr w14:val="tx1"/>
                        </w14:solidFill>
                      </w14:textFill>
                    </w:rPr>
                    <w:t>3</w:t>
                  </w:r>
                  <w:r>
                    <w:rPr>
                      <w:rFonts w:ascii="Times New Roman" w:hAnsi="Times New Roman" w:eastAsia="宋体" w:cs="Times New Roman"/>
                      <w:bCs/>
                      <w:color w:val="000000" w:themeColor="text1"/>
                      <w:kern w:val="0"/>
                      <w:szCs w:val="21"/>
                      <w:highlight w:val="none"/>
                      <w14:textFill>
                        <w14:solidFill>
                          <w14:schemeClr w14:val="tx1"/>
                        </w14:solidFill>
                      </w14:textFill>
                    </w:rPr>
                    <w:t>年淮南市环境质量状况公报》可知，</w:t>
                  </w:r>
                  <w:r>
                    <w:rPr>
                      <w:rFonts w:ascii="Times New Roman" w:hAnsi="Times New Roman" w:eastAsia="宋体" w:cs="Times New Roman"/>
                      <w:color w:val="000000" w:themeColor="text1"/>
                      <w:kern w:val="0"/>
                      <w:szCs w:val="21"/>
                      <w:highlight w:val="none"/>
                      <w14:textFill>
                        <w14:solidFill>
                          <w14:schemeClr w14:val="tx1"/>
                        </w14:solidFill>
                      </w14:textFill>
                    </w:rPr>
                    <w:t>项目所在区域</w:t>
                  </w:r>
                  <w:r>
                    <w:rPr>
                      <w:rFonts w:hint="eastAsia" w:ascii="Times New Roman" w:hAnsi="Times New Roman" w:eastAsia="宋体" w:cs="Times New Roman"/>
                      <w:color w:val="000000" w:themeColor="text1"/>
                      <w:kern w:val="0"/>
                      <w:szCs w:val="21"/>
                      <w:highlight w:val="none"/>
                      <w14:textFill>
                        <w14:solidFill>
                          <w14:schemeClr w14:val="tx1"/>
                        </w14:solidFill>
                      </w14:textFill>
                    </w:rPr>
                    <w:t>SO</w:t>
                  </w:r>
                  <w:r>
                    <w:rPr>
                      <w:rFonts w:hint="eastAsia" w:ascii="Times New Roman" w:hAnsi="Times New Roman" w:eastAsia="宋体" w:cs="Times New Roman"/>
                      <w:color w:val="000000" w:themeColor="text1"/>
                      <w:kern w:val="0"/>
                      <w:szCs w:val="21"/>
                      <w:highlight w:val="none"/>
                      <w:vertAlign w:val="subscript"/>
                      <w14:textFill>
                        <w14:solidFill>
                          <w14:schemeClr w14:val="tx1"/>
                        </w14:solidFill>
                      </w14:textFill>
                    </w:rPr>
                    <w:t>2</w:t>
                  </w:r>
                  <w:r>
                    <w:rPr>
                      <w:rFonts w:hint="eastAsia" w:ascii="Times New Roman" w:hAnsi="Times New Roman" w:eastAsia="宋体" w:cs="Times New Roman"/>
                      <w:color w:val="000000" w:themeColor="text1"/>
                      <w:kern w:val="0"/>
                      <w:szCs w:val="21"/>
                      <w:highlight w:val="none"/>
                      <w14:textFill>
                        <w14:solidFill>
                          <w14:schemeClr w14:val="tx1"/>
                        </w14:solidFill>
                      </w14:textFill>
                    </w:rPr>
                    <w:t>、NO</w:t>
                  </w:r>
                  <w:r>
                    <w:rPr>
                      <w:rFonts w:hint="eastAsia" w:ascii="Times New Roman" w:hAnsi="Times New Roman" w:eastAsia="宋体" w:cs="Times New Roman"/>
                      <w:color w:val="000000" w:themeColor="text1"/>
                      <w:kern w:val="0"/>
                      <w:szCs w:val="21"/>
                      <w:highlight w:val="none"/>
                      <w:vertAlign w:val="subscript"/>
                      <w14:textFill>
                        <w14:solidFill>
                          <w14:schemeClr w14:val="tx1"/>
                        </w14:solidFill>
                      </w14:textFill>
                    </w:rPr>
                    <w:t>2</w:t>
                  </w:r>
                  <w:r>
                    <w:rPr>
                      <w:rFonts w:hint="eastAsia" w:ascii="Times New Roman" w:hAnsi="Times New Roman" w:eastAsia="宋体" w:cs="Times New Roman"/>
                      <w:color w:val="000000" w:themeColor="text1"/>
                      <w:kern w:val="0"/>
                      <w:szCs w:val="21"/>
                      <w:highlight w:val="none"/>
                      <w14:textFill>
                        <w14:solidFill>
                          <w14:schemeClr w14:val="tx1"/>
                        </w14:solidFill>
                      </w14:textFill>
                    </w:rPr>
                    <w:t>、CO、PM</w:t>
                  </w:r>
                  <w:r>
                    <w:rPr>
                      <w:rFonts w:hint="eastAsia" w:ascii="Times New Roman" w:hAnsi="Times New Roman" w:eastAsia="宋体" w:cs="Times New Roman"/>
                      <w:color w:val="000000" w:themeColor="text1"/>
                      <w:kern w:val="0"/>
                      <w:szCs w:val="21"/>
                      <w:highlight w:val="none"/>
                      <w:vertAlign w:val="subscript"/>
                      <w14:textFill>
                        <w14:solidFill>
                          <w14:schemeClr w14:val="tx1"/>
                        </w14:solidFill>
                      </w14:textFill>
                    </w:rPr>
                    <w:t>10</w:t>
                  </w:r>
                  <w:r>
                    <w:rPr>
                      <w:rFonts w:hint="eastAsia" w:ascii="Times New Roman" w:hAnsi="Times New Roman" w:eastAsia="宋体" w:cs="Times New Roman"/>
                      <w:color w:val="000000" w:themeColor="text1"/>
                      <w:kern w:val="0"/>
                      <w:szCs w:val="21"/>
                      <w:highlight w:val="none"/>
                      <w14:textFill>
                        <w14:solidFill>
                          <w14:schemeClr w14:val="tx1"/>
                        </w14:solidFill>
                      </w14:textFill>
                    </w:rPr>
                    <w:t>、O</w:t>
                  </w:r>
                  <w:r>
                    <w:rPr>
                      <w:rFonts w:hint="eastAsia" w:ascii="Times New Roman" w:hAnsi="Times New Roman" w:eastAsia="宋体" w:cs="Times New Roman"/>
                      <w:color w:val="000000" w:themeColor="text1"/>
                      <w:kern w:val="0"/>
                      <w:szCs w:val="21"/>
                      <w:highlight w:val="none"/>
                      <w:vertAlign w:val="subscript"/>
                      <w14:textFill>
                        <w14:solidFill>
                          <w14:schemeClr w14:val="tx1"/>
                        </w14:solidFill>
                      </w14:textFill>
                    </w:rPr>
                    <w:t>3</w:t>
                  </w:r>
                  <w:r>
                    <w:rPr>
                      <w:rFonts w:ascii="Times New Roman" w:hAnsi="Times New Roman" w:eastAsia="宋体" w:cs="Times New Roman"/>
                      <w:color w:val="000000" w:themeColor="text1"/>
                      <w:kern w:val="0"/>
                      <w:szCs w:val="21"/>
                      <w:highlight w:val="none"/>
                      <w14:textFill>
                        <w14:solidFill>
                          <w14:schemeClr w14:val="tx1"/>
                        </w14:solidFill>
                      </w14:textFill>
                    </w:rPr>
                    <w:t>满足《环境空气质量标准》（GB3095-2012）中二级标准限值，</w:t>
                  </w:r>
                  <w:r>
                    <w:rPr>
                      <w:rFonts w:hint="eastAsia" w:ascii="Times New Roman" w:hAnsi="Times New Roman" w:eastAsia="宋体" w:cs="Times New Roman"/>
                      <w:color w:val="000000" w:themeColor="text1"/>
                      <w:kern w:val="0"/>
                      <w:szCs w:val="21"/>
                      <w:highlight w:val="none"/>
                      <w14:textFill>
                        <w14:solidFill>
                          <w14:schemeClr w14:val="tx1"/>
                        </w14:solidFill>
                      </w14:textFill>
                    </w:rPr>
                    <w:t>PM</w:t>
                  </w:r>
                  <w:r>
                    <w:rPr>
                      <w:rFonts w:hint="eastAsia" w:ascii="Times New Roman" w:hAnsi="Times New Roman" w:eastAsia="宋体" w:cs="Times New Roman"/>
                      <w:color w:val="000000" w:themeColor="text1"/>
                      <w:kern w:val="0"/>
                      <w:szCs w:val="21"/>
                      <w:highlight w:val="none"/>
                      <w:vertAlign w:val="subscript"/>
                      <w14:textFill>
                        <w14:solidFill>
                          <w14:schemeClr w14:val="tx1"/>
                        </w14:solidFill>
                      </w14:textFill>
                    </w:rPr>
                    <w:t>2.5</w:t>
                  </w:r>
                  <w:r>
                    <w:rPr>
                      <w:rFonts w:ascii="Times New Roman" w:hAnsi="Times New Roman" w:eastAsia="宋体" w:cs="Times New Roman"/>
                      <w:color w:val="000000" w:themeColor="text1"/>
                      <w:kern w:val="0"/>
                      <w:szCs w:val="21"/>
                      <w:highlight w:val="none"/>
                      <w14:textFill>
                        <w14:solidFill>
                          <w14:schemeClr w14:val="tx1"/>
                        </w14:solidFill>
                      </w14:textFill>
                    </w:rPr>
                    <w:t>不满足《环境空气质量标准》（GB3095-2012）中二级标准限值，项目所在区域判定为不达标区。淮南市生态环境局就空气质量不达标提出一系列举措，为确保淮南市大气污染防治工作有效推进，</w:t>
                  </w:r>
                  <w:r>
                    <w:rPr>
                      <w:rFonts w:hint="eastAsia" w:ascii="Times New Roman" w:hAnsi="Times New Roman" w:eastAsia="宋体" w:cs="Times New Roman"/>
                      <w:color w:val="000000" w:themeColor="text1"/>
                      <w:kern w:val="0"/>
                      <w:szCs w:val="21"/>
                      <w:highlight w:val="none"/>
                      <w14:textFill>
                        <w14:solidFill>
                          <w14:schemeClr w14:val="tx1"/>
                        </w14:solidFill>
                      </w14:textFill>
                    </w:rPr>
                    <w:t>目前，淮南市已制订《淮南市“十四五”大气污染防治规划（2021-2025年）》，围绕工业大气污染治理、扬（烟）尘污染防治等开展专项治理活动，进一步削减大气污染物排放</w:t>
                  </w:r>
                  <w:r>
                    <w:rPr>
                      <w:rFonts w:ascii="Times New Roman" w:hAnsi="Times New Roman" w:eastAsia="宋体" w:cs="Times New Roman"/>
                      <w:color w:val="000000" w:themeColor="text1"/>
                      <w:kern w:val="0"/>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本项目</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所在</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地</w:t>
                  </w:r>
                  <w:r>
                    <w:rPr>
                      <w:rFonts w:hint="eastAsia" w:ascii="Times New Roman" w:hAnsi="Times New Roman" w:eastAsia="宋体" w:cs="Times New Roman"/>
                      <w:color w:val="000000" w:themeColor="text1"/>
                      <w:kern w:val="0"/>
                      <w:szCs w:val="21"/>
                      <w:highlight w:val="none"/>
                      <w14:textFill>
                        <w14:solidFill>
                          <w14:schemeClr w14:val="tx1"/>
                        </w14:solidFill>
                      </w14:textFill>
                    </w:rPr>
                    <w:t>地表水体为</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泥河</w:t>
                  </w:r>
                  <w:r>
                    <w:rPr>
                      <w:rFonts w:hint="eastAsia" w:ascii="Times New Roman" w:hAnsi="Times New Roman" w:eastAsia="宋体" w:cs="Times New Roman"/>
                      <w:color w:val="000000" w:themeColor="text1"/>
                      <w:kern w:val="0"/>
                      <w:szCs w:val="21"/>
                      <w:highlight w:val="none"/>
                      <w14:textFill>
                        <w14:solidFill>
                          <w14:schemeClr w14:val="tx1"/>
                        </w14:solidFill>
                      </w14:textFill>
                    </w:rPr>
                    <w:t>，根据《2023年淮南市环境质量状况公报》，</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泥河</w:t>
                  </w:r>
                  <w:r>
                    <w:rPr>
                      <w:rFonts w:hint="eastAsia" w:ascii="Times New Roman" w:hAnsi="Times New Roman" w:eastAsia="宋体" w:cs="Times New Roman"/>
                      <w:color w:val="000000" w:themeColor="text1"/>
                      <w:kern w:val="0"/>
                      <w:szCs w:val="21"/>
                      <w:highlight w:val="none"/>
                      <w14:textFill>
                        <w14:solidFill>
                          <w14:schemeClr w14:val="tx1"/>
                        </w14:solidFill>
                      </w14:textFill>
                    </w:rPr>
                    <w:t>水质</w:t>
                  </w:r>
                  <w:r>
                    <w:rPr>
                      <w:rFonts w:ascii="Times New Roman" w:hAnsi="Times New Roman" w:eastAsia="宋体" w:cs="Times New Roman"/>
                      <w:color w:val="000000" w:themeColor="text1"/>
                      <w:szCs w:val="21"/>
                      <w:highlight w:val="none"/>
                      <w14:textFill>
                        <w14:solidFill>
                          <w14:schemeClr w14:val="tx1"/>
                        </w14:solidFill>
                      </w14:textFill>
                    </w:rPr>
                    <w:t>满足《地表水环境质量标准》（GB3838-2002）Ⅲ类标准</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kern w:val="0"/>
                      <w:szCs w:val="21"/>
                      <w:highlight w:val="none"/>
                      <w14:textFill>
                        <w14:solidFill>
                          <w14:schemeClr w14:val="tx1"/>
                        </w14:solidFill>
                      </w14:textFill>
                    </w:rPr>
                    <w:t>本项目建设</w:t>
                  </w:r>
                  <w:r>
                    <w:rPr>
                      <w:rFonts w:hint="eastAsia" w:ascii="Times New Roman" w:hAnsi="Times New Roman" w:eastAsia="宋体" w:cs="Times New Roman"/>
                      <w:bCs/>
                      <w:color w:val="000000" w:themeColor="text1"/>
                      <w:kern w:val="0"/>
                      <w:szCs w:val="21"/>
                      <w:highlight w:val="none"/>
                      <w:lang w:eastAsia="zh-CN"/>
                      <w14:textFill>
                        <w14:solidFill>
                          <w14:schemeClr w14:val="tx1"/>
                        </w14:solidFill>
                      </w14:textFill>
                    </w:rPr>
                    <w:t>只有</w:t>
                  </w:r>
                  <w:r>
                    <w:rPr>
                      <w:rFonts w:ascii="Times New Roman" w:hAnsi="Times New Roman" w:eastAsia="宋体" w:cs="Times New Roman"/>
                      <w:bCs/>
                      <w:color w:val="000000" w:themeColor="text1"/>
                      <w:kern w:val="0"/>
                      <w:szCs w:val="21"/>
                      <w:highlight w:val="none"/>
                      <w14:textFill>
                        <w14:solidFill>
                          <w14:schemeClr w14:val="tx1"/>
                        </w14:solidFill>
                      </w14:textFill>
                    </w:rPr>
                    <w:t>施工期，</w:t>
                  </w:r>
                  <w:r>
                    <w:rPr>
                      <w:rFonts w:hint="eastAsia" w:ascii="Times New Roman" w:hAnsi="Times New Roman" w:eastAsia="宋体" w:cs="Times New Roman"/>
                      <w:bCs/>
                      <w:color w:val="000000" w:themeColor="text1"/>
                      <w:kern w:val="0"/>
                      <w:szCs w:val="21"/>
                      <w:highlight w:val="none"/>
                      <w:lang w:eastAsia="zh-CN"/>
                      <w14:textFill>
                        <w14:solidFill>
                          <w14:schemeClr w14:val="tx1"/>
                        </w14:solidFill>
                      </w14:textFill>
                    </w:rPr>
                    <w:t>施工期</w:t>
                  </w:r>
                  <w:r>
                    <w:rPr>
                      <w:rFonts w:ascii="Times New Roman" w:hAnsi="Times New Roman" w:eastAsia="宋体" w:cs="Times New Roman"/>
                      <w:bCs/>
                      <w:color w:val="000000" w:themeColor="text1"/>
                      <w:kern w:val="0"/>
                      <w:szCs w:val="21"/>
                      <w:highlight w:val="none"/>
                      <w14:textFill>
                        <w14:solidFill>
                          <w14:schemeClr w14:val="tx1"/>
                        </w14:solidFill>
                      </w14:textFill>
                    </w:rPr>
                    <w:t>采取一定环保措施后，对周围环境影响很小，不会造成区域环境质量的下降</w:t>
                  </w:r>
                </w:p>
              </w:tc>
              <w:tc>
                <w:tcPr>
                  <w:tcW w:w="469" w:type="pct"/>
                  <w:vAlign w:val="center"/>
                </w:tcPr>
                <w:p w14:paraId="5A39BBE4">
                  <w:pPr>
                    <w:spacing w:line="360" w:lineRule="auto"/>
                    <w:jc w:val="center"/>
                    <w:rPr>
                      <w:rFonts w:ascii="Times New Roman" w:hAnsi="Times New Roman" w:eastAsia="宋体" w:cs="Times New Roman"/>
                      <w:bCs/>
                      <w:color w:val="000000" w:themeColor="text1"/>
                      <w:kern w:val="0"/>
                      <w:szCs w:val="21"/>
                      <w:highlight w:val="none"/>
                      <w14:textFill>
                        <w14:solidFill>
                          <w14:schemeClr w14:val="tx1"/>
                        </w14:solidFill>
                      </w14:textFill>
                    </w:rPr>
                  </w:pPr>
                  <w:r>
                    <w:rPr>
                      <w:rFonts w:ascii="Times New Roman" w:hAnsi="Times New Roman" w:eastAsia="宋体" w:cs="Times New Roman"/>
                      <w:bCs/>
                      <w:color w:val="000000" w:themeColor="text1"/>
                      <w:kern w:val="0"/>
                      <w:szCs w:val="21"/>
                      <w:highlight w:val="none"/>
                      <w14:textFill>
                        <w14:solidFill>
                          <w14:schemeClr w14:val="tx1"/>
                        </w14:solidFill>
                      </w14:textFill>
                    </w:rPr>
                    <w:t>符合</w:t>
                  </w:r>
                </w:p>
              </w:tc>
            </w:tr>
            <w:tr w14:paraId="45C38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293C5CC6">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资源利用上线</w:t>
                  </w:r>
                </w:p>
              </w:tc>
              <w:tc>
                <w:tcPr>
                  <w:tcW w:w="1818" w:type="pct"/>
                  <w:vAlign w:val="center"/>
                </w:tcPr>
                <w:p w14:paraId="52BB3DBD">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资源是环境的载体，资源利用上限是各地区能源、水、土地等资源消耗不得突破的“天花板”。相关规划环评应依据有关资源利用上限，对规划实施以及规划内项目的资源开发利用，区分不同行业，从能源资源开发等量或减量替代、开采方式和规模控制、利用效率和保护措施等方面提出建议，为规划编制和审批决策提供重要依据</w:t>
                  </w:r>
                </w:p>
              </w:tc>
              <w:tc>
                <w:tcPr>
                  <w:tcW w:w="2381" w:type="pct"/>
                  <w:vAlign w:val="center"/>
                </w:tcPr>
                <w:p w14:paraId="5D5B3289">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本项目位于安徽省</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淮南市潘集区夹沟镇新集村附近</w:t>
                  </w:r>
                  <w:r>
                    <w:rPr>
                      <w:rFonts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施工</w:t>
                  </w:r>
                  <w:r>
                    <w:rPr>
                      <w:rFonts w:ascii="Times New Roman" w:hAnsi="Times New Roman" w:eastAsia="宋体" w:cs="Times New Roman"/>
                      <w:color w:val="000000" w:themeColor="text1"/>
                      <w:szCs w:val="21"/>
                      <w:highlight w:val="none"/>
                      <w14:textFill>
                        <w14:solidFill>
                          <w14:schemeClr w14:val="tx1"/>
                        </w14:solidFill>
                      </w14:textFill>
                    </w:rPr>
                    <w:t>所需能源、物资均能正常供应；项目所在地不属于资源、能源紧缺区域，项目</w:t>
                  </w:r>
                  <w:r>
                    <w:rPr>
                      <w:rFonts w:hint="eastAsia" w:ascii="Times New Roman" w:hAnsi="Times New Roman" w:eastAsia="宋体" w:cs="Times New Roman"/>
                      <w:color w:val="000000" w:themeColor="text1"/>
                      <w:szCs w:val="21"/>
                      <w:highlight w:val="none"/>
                      <w14:textFill>
                        <w14:solidFill>
                          <w14:schemeClr w14:val="tx1"/>
                        </w14:solidFill>
                      </w14:textFill>
                    </w:rPr>
                    <w:t>施工期</w:t>
                  </w:r>
                  <w:r>
                    <w:rPr>
                      <w:rFonts w:ascii="Times New Roman" w:hAnsi="Times New Roman" w:eastAsia="宋体" w:cs="Times New Roman"/>
                      <w:color w:val="000000" w:themeColor="text1"/>
                      <w:szCs w:val="21"/>
                      <w:highlight w:val="none"/>
                      <w14:textFill>
                        <w14:solidFill>
                          <w14:schemeClr w14:val="tx1"/>
                        </w14:solidFill>
                      </w14:textFill>
                    </w:rPr>
                    <w:t>通过内部管理</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设备选择、原辅材料的选用和管理、废物回收利用等措施尽可能做到合理利用和节能降耗、最大限度地减少物耗</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和能耗</w:t>
                  </w:r>
                  <w:r>
                    <w:rPr>
                      <w:rFonts w:ascii="Times New Roman" w:hAnsi="Times New Roman" w:eastAsia="宋体" w:cs="Times New Roman"/>
                      <w:color w:val="000000" w:themeColor="text1"/>
                      <w:szCs w:val="21"/>
                      <w:highlight w:val="none"/>
                      <w14:textFill>
                        <w14:solidFill>
                          <w14:schemeClr w14:val="tx1"/>
                        </w14:solidFill>
                      </w14:textFill>
                    </w:rPr>
                    <w:t>；本项目占地为</w:t>
                  </w:r>
                  <w:r>
                    <w:rPr>
                      <w:rFonts w:hint="eastAsia" w:ascii="Times New Roman" w:hAnsi="Times New Roman" w:eastAsia="宋体" w:cs="Times New Roman"/>
                      <w:color w:val="000000" w:themeColor="text1"/>
                      <w:szCs w:val="21"/>
                      <w:highlight w:val="none"/>
                      <w14:textFill>
                        <w14:solidFill>
                          <w14:schemeClr w14:val="tx1"/>
                        </w14:solidFill>
                      </w14:textFill>
                    </w:rPr>
                    <w:t>临时用地</w:t>
                  </w:r>
                  <w:r>
                    <w:rPr>
                      <w:rFonts w:ascii="Times New Roman" w:hAnsi="Times New Roman" w:eastAsia="宋体" w:cs="Times New Roman"/>
                      <w:color w:val="000000" w:themeColor="text1"/>
                      <w:szCs w:val="21"/>
                      <w:highlight w:val="none"/>
                      <w14:textFill>
                        <w14:solidFill>
                          <w14:schemeClr w14:val="tx1"/>
                        </w14:solidFill>
                      </w14:textFill>
                    </w:rPr>
                    <w:t>，施工结束后</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即恢复场地原状</w:t>
                  </w:r>
                  <w:r>
                    <w:rPr>
                      <w:rFonts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因此</w:t>
                  </w:r>
                  <w:r>
                    <w:rPr>
                      <w:rFonts w:ascii="Times New Roman" w:hAnsi="Times New Roman" w:eastAsia="宋体" w:cs="Times New Roman"/>
                      <w:color w:val="000000" w:themeColor="text1"/>
                      <w:szCs w:val="21"/>
                      <w:highlight w:val="none"/>
                      <w14:textFill>
                        <w14:solidFill>
                          <w14:schemeClr w14:val="tx1"/>
                        </w14:solidFill>
                      </w14:textFill>
                    </w:rPr>
                    <w:t>，项目不会突破当地资源利用上线</w:t>
                  </w:r>
                </w:p>
              </w:tc>
              <w:tc>
                <w:tcPr>
                  <w:tcW w:w="469" w:type="pct"/>
                  <w:vAlign w:val="center"/>
                </w:tcPr>
                <w:p w14:paraId="55EAAC76">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符合</w:t>
                  </w:r>
                </w:p>
              </w:tc>
            </w:tr>
            <w:tr w14:paraId="3A94C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4231CC5C">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环境准入负面清单</w:t>
                  </w:r>
                </w:p>
              </w:tc>
              <w:tc>
                <w:tcPr>
                  <w:tcW w:w="1818" w:type="pct"/>
                  <w:vAlign w:val="center"/>
                </w:tcPr>
                <w:p w14:paraId="245A1945">
                  <w:pPr>
                    <w:spacing w:line="360" w:lineRule="auto"/>
                    <w:jc w:val="center"/>
                    <w:rPr>
                      <w:rFonts w:ascii="Times New Roman" w:hAnsi="Times New Roman" w:eastAsia="宋体" w:cs="Times New Roman"/>
                      <w:color w:val="000000" w:themeColor="text1"/>
                      <w:szCs w:val="21"/>
                      <w:highlight w:val="none"/>
                      <w:lang w:val="zh-CN"/>
                      <w14:textFill>
                        <w14:solidFill>
                          <w14:schemeClr w14:val="tx1"/>
                        </w14:solidFill>
                      </w14:textFill>
                    </w:rPr>
                  </w:pPr>
                  <w:r>
                    <w:rPr>
                      <w:rFonts w:ascii="Times New Roman" w:hAnsi="Times New Roman" w:eastAsia="宋体" w:cs="Times New Roman"/>
                      <w:color w:val="000000" w:themeColor="text1"/>
                      <w:szCs w:val="21"/>
                      <w:highlight w:val="none"/>
                      <w:lang w:val="zh-CN"/>
                      <w14:textFill>
                        <w14:solidFill>
                          <w14:schemeClr w14:val="tx1"/>
                        </w14:solidFill>
                      </w14:textFill>
                    </w:rPr>
                    <w:t>环境准入负面清单是基于生态保护红线、环境质量底线、资源利用上限，以清单方式列出的精致、限值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381" w:type="pct"/>
                  <w:vAlign w:val="center"/>
                </w:tcPr>
                <w:p w14:paraId="472D8044">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本项目</w:t>
                  </w:r>
                  <w:r>
                    <w:rPr>
                      <w:rFonts w:hint="eastAsia" w:ascii="Times New Roman" w:hAnsi="宋体" w:eastAsia="宋体" w:cs="Times New Roman"/>
                      <w:color w:val="000000" w:themeColor="text1"/>
                      <w:szCs w:val="21"/>
                      <w:lang w:eastAsia="zh-CN"/>
                      <w14:textFill>
                        <w14:solidFill>
                          <w14:schemeClr w14:val="tx1"/>
                        </w14:solidFill>
                      </w14:textFill>
                    </w:rPr>
                    <w:t>国标行业</w:t>
                  </w:r>
                  <w:r>
                    <w:rPr>
                      <w:rFonts w:ascii="Times New Roman" w:hAnsi="宋体" w:eastAsia="宋体" w:cs="Times New Roman"/>
                      <w:color w:val="000000" w:themeColor="text1"/>
                      <w:szCs w:val="21"/>
                      <w14:textFill>
                        <w14:solidFill>
                          <w14:schemeClr w14:val="tx1"/>
                        </w14:solidFill>
                      </w14:textFill>
                    </w:rPr>
                    <w:t>为</w:t>
                  </w:r>
                  <w:r>
                    <w:rPr>
                      <w:rFonts w:hint="eastAsia" w:ascii="Times New Roman" w:hAnsi="宋体" w:eastAsia="宋体" w:cs="Times New Roman"/>
                      <w:color w:val="000000" w:themeColor="text1"/>
                      <w:szCs w:val="21"/>
                      <w:lang w:eastAsia="zh-CN"/>
                      <w14:textFill>
                        <w14:solidFill>
                          <w14:schemeClr w14:val="tx1"/>
                        </w14:solidFill>
                      </w14:textFill>
                    </w:rPr>
                    <w:t>烟煤和无烟煤开采洗选工程</w:t>
                  </w:r>
                  <w:r>
                    <w:rPr>
                      <w:rFonts w:hint="eastAsia" w:ascii="Times New Roman" w:hAnsi="宋体" w:eastAsia="宋体" w:cs="Times New Roman"/>
                      <w:color w:val="000000" w:themeColor="text1"/>
                      <w:szCs w:val="21"/>
                      <w14:textFill>
                        <w14:solidFill>
                          <w14:schemeClr w14:val="tx1"/>
                        </w14:solidFill>
                      </w14:textFill>
                    </w:rPr>
                    <w:t>，</w:t>
                  </w:r>
                  <w:r>
                    <w:rPr>
                      <w:rFonts w:ascii="Times New Roman" w:hAnsi="宋体" w:eastAsia="宋体" w:cs="Times New Roman"/>
                      <w:color w:val="000000" w:themeColor="text1"/>
                      <w:szCs w:val="21"/>
                      <w14:textFill>
                        <w14:solidFill>
                          <w14:schemeClr w14:val="tx1"/>
                        </w14:solidFill>
                      </w14:textFill>
                    </w:rPr>
                    <w:t>根据《产业结构调整指导目录（20</w:t>
                  </w:r>
                  <w:r>
                    <w:rPr>
                      <w:rFonts w:hint="eastAsia" w:ascii="Times New Roman" w:hAnsi="宋体" w:eastAsia="宋体" w:cs="Times New Roman"/>
                      <w:color w:val="000000" w:themeColor="text1"/>
                      <w:szCs w:val="21"/>
                      <w14:textFill>
                        <w14:solidFill>
                          <w14:schemeClr w14:val="tx1"/>
                        </w14:solidFill>
                      </w14:textFill>
                    </w:rPr>
                    <w:t>24</w:t>
                  </w:r>
                  <w:r>
                    <w:rPr>
                      <w:rFonts w:ascii="Times New Roman" w:hAnsi="宋体" w:eastAsia="宋体" w:cs="Times New Roman"/>
                      <w:color w:val="000000" w:themeColor="text1"/>
                      <w:szCs w:val="21"/>
                      <w14:textFill>
                        <w14:solidFill>
                          <w14:schemeClr w14:val="tx1"/>
                        </w14:solidFill>
                      </w14:textFill>
                    </w:rPr>
                    <w:t>年本）》，</w:t>
                  </w:r>
                  <w:r>
                    <w:rPr>
                      <w:rFonts w:hint="eastAsia" w:ascii="Times New Roman" w:hAnsi="宋体" w:eastAsia="宋体" w:cs="Times New Roman"/>
                      <w:color w:val="000000" w:themeColor="text1"/>
                      <w:szCs w:val="21"/>
                      <w14:textFill>
                        <w14:solidFill>
                          <w14:schemeClr w14:val="tx1"/>
                        </w14:solidFill>
                      </w14:textFill>
                    </w:rPr>
                    <w:t>本项目</w:t>
                  </w:r>
                  <w:r>
                    <w:rPr>
                      <w:rFonts w:ascii="Times New Roman" w:hAnsi="宋体" w:eastAsia="宋体" w:cs="Times New Roman"/>
                      <w:color w:val="000000" w:themeColor="text1"/>
                      <w:szCs w:val="21"/>
                      <w14:textFill>
                        <w14:solidFill>
                          <w14:schemeClr w14:val="tx1"/>
                        </w14:solidFill>
                      </w14:textFill>
                    </w:rPr>
                    <w:t>属于</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第一类鼓励类中“</w:t>
                  </w:r>
                  <w:r>
                    <w:rPr>
                      <w:rFonts w:hint="eastAsia" w:ascii="Times New Roman" w:hAnsi="宋体" w:eastAsia="宋体" w:cs="Times New Roman"/>
                      <w:color w:val="000000" w:themeColor="text1"/>
                      <w:szCs w:val="21"/>
                      <w:lang w:val="en-US" w:eastAsia="zh-CN"/>
                      <w14:textFill>
                        <w14:solidFill>
                          <w14:schemeClr w14:val="tx1"/>
                        </w14:solidFill>
                      </w14:textFill>
                    </w:rPr>
                    <w:t>三、煤炭，</w:t>
                  </w:r>
                  <w:r>
                    <w:rPr>
                      <w:rFonts w:hint="default" w:ascii="Times New Roman" w:hAnsi="宋体" w:eastAsia="宋体" w:cs="Times New Roman"/>
                      <w:color w:val="000000" w:themeColor="text1"/>
                      <w:szCs w:val="21"/>
                      <w:lang w:val="en-US" w:eastAsia="zh-CN"/>
                      <w14:textFill>
                        <w14:solidFill>
                          <w14:schemeClr w14:val="tx1"/>
                        </w14:solidFill>
                      </w14:textFill>
                    </w:rPr>
                    <w:t>2</w:t>
                  </w:r>
                  <w:r>
                    <w:rPr>
                      <w:rFonts w:hint="eastAsia" w:ascii="Times New Roman" w:hAnsi="宋体" w:eastAsia="宋体" w:cs="Times New Roman"/>
                      <w:color w:val="000000" w:themeColor="text1"/>
                      <w:szCs w:val="21"/>
                      <w:lang w:val="en-US" w:eastAsia="zh-CN"/>
                      <w14:textFill>
                        <w14:solidFill>
                          <w14:schemeClr w14:val="tx1"/>
                        </w14:solidFill>
                      </w14:textFill>
                    </w:rPr>
                    <w:t>、煤矿智能化和安全高效技术开发及应用：矿井灾害</w:t>
                  </w:r>
                  <w:r>
                    <w:rPr>
                      <w:rFonts w:hint="default" w:ascii="Times New Roman" w:hAnsi="宋体" w:eastAsia="宋体" w:cs="Times New Roman"/>
                      <w:color w:val="000000" w:themeColor="text1"/>
                      <w:szCs w:val="21"/>
                      <w:lang w:val="en-US" w:eastAsia="zh-CN"/>
                      <w14:textFill>
                        <w14:solidFill>
                          <w14:schemeClr w14:val="tx1"/>
                        </w14:solidFill>
                      </w14:textFill>
                    </w:rPr>
                    <w:t>(</w:t>
                  </w:r>
                  <w:r>
                    <w:rPr>
                      <w:rFonts w:hint="eastAsia" w:ascii="Times New Roman" w:hAnsi="宋体" w:eastAsia="宋体" w:cs="Times New Roman"/>
                      <w:color w:val="000000" w:themeColor="text1"/>
                      <w:szCs w:val="21"/>
                      <w:lang w:val="en-US" w:eastAsia="zh-CN"/>
                      <w14:textFill>
                        <w14:solidFill>
                          <w14:schemeClr w14:val="tx1"/>
                        </w14:solidFill>
                      </w14:textFill>
                    </w:rPr>
                    <w:t>瓦斯煤尘、矿井水、火、 围岩、地温、冲击地压等</w:t>
                  </w:r>
                  <w:r>
                    <w:rPr>
                      <w:rFonts w:hint="default" w:ascii="Times New Roman" w:hAnsi="宋体" w:eastAsia="宋体" w:cs="Times New Roman"/>
                      <w:color w:val="000000" w:themeColor="text1"/>
                      <w:szCs w:val="21"/>
                      <w:lang w:val="en-US" w:eastAsia="zh-CN"/>
                      <w14:textFill>
                        <w14:solidFill>
                          <w14:schemeClr w14:val="tx1"/>
                        </w14:solidFill>
                      </w14:textFill>
                    </w:rPr>
                    <w:t>)</w:t>
                  </w:r>
                  <w:r>
                    <w:rPr>
                      <w:rFonts w:hint="eastAsia" w:ascii="Times New Roman" w:hAnsi="宋体" w:eastAsia="宋体" w:cs="Times New Roman"/>
                      <w:color w:val="000000" w:themeColor="text1"/>
                      <w:szCs w:val="21"/>
                      <w:lang w:val="en-US" w:eastAsia="zh-CN"/>
                      <w14:textFill>
                        <w14:solidFill>
                          <w14:schemeClr w14:val="tx1"/>
                        </w14:solidFill>
                      </w14:textFill>
                    </w:rPr>
                    <w:t>防治；</w:t>
                  </w:r>
                  <w:r>
                    <w:rPr>
                      <w:rFonts w:hint="default" w:ascii="Times New Roman" w:hAnsi="宋体" w:eastAsia="宋体" w:cs="Times New Roman"/>
                      <w:color w:val="000000" w:themeColor="text1"/>
                      <w:szCs w:val="21"/>
                      <w:lang w:val="en-US" w:eastAsia="zh-CN"/>
                      <w14:textFill>
                        <w14:solidFill>
                          <w14:schemeClr w14:val="tx1"/>
                        </w14:solidFill>
                      </w14:textFill>
                    </w:rPr>
                    <w:t>4</w:t>
                  </w:r>
                  <w:r>
                    <w:rPr>
                      <w:rFonts w:hint="eastAsia" w:ascii="Times New Roman" w:hAnsi="宋体" w:eastAsia="宋体" w:cs="Times New Roman"/>
                      <w:color w:val="000000" w:themeColor="text1"/>
                      <w:szCs w:val="21"/>
                      <w:lang w:val="en-US" w:eastAsia="zh-CN"/>
                      <w14:textFill>
                        <w14:solidFill>
                          <w14:schemeClr w14:val="tx1"/>
                        </w14:solidFill>
                      </w14:textFill>
                    </w:rPr>
                    <w:t>、煤炭清洁高效开发利用技术：煤层气勘探、开发、利用和煤矿瓦斯抽采、利用</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符合国家产业政策。与《市场准入负面清单（20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22</w:t>
                  </w:r>
                  <w:r>
                    <w:rPr>
                      <w:rFonts w:ascii="Times New Roman" w:hAnsi="Times New Roman" w:eastAsia="宋体" w:cs="Times New Roman"/>
                      <w:color w:val="000000" w:themeColor="text1"/>
                      <w:szCs w:val="21"/>
                      <w:highlight w:val="none"/>
                      <w14:textFill>
                        <w14:solidFill>
                          <w14:schemeClr w14:val="tx1"/>
                        </w14:solidFill>
                      </w14:textFill>
                    </w:rPr>
                    <w:t>年版）》对比，本项目不属于禁止准入类项目，可依法平等进入。项目所在地尚未出台环境准入负面清单。综上，本项目符合国家和地方产业政策。</w:t>
                  </w:r>
                </w:p>
              </w:tc>
              <w:tc>
                <w:tcPr>
                  <w:tcW w:w="469" w:type="pct"/>
                  <w:vAlign w:val="center"/>
                </w:tcPr>
                <w:p w14:paraId="188687F7">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符合</w:t>
                  </w:r>
                </w:p>
              </w:tc>
            </w:tr>
          </w:tbl>
          <w:p w14:paraId="734708FE">
            <w:pPr>
              <w:spacing w:line="360" w:lineRule="auto"/>
            </w:pPr>
          </w:p>
          <w:p w14:paraId="52EC00CB">
            <w:pPr>
              <w:pStyle w:val="2"/>
            </w:pPr>
            <w:r>
              <w:drawing>
                <wp:inline distT="0" distB="0" distL="114300" distR="114300">
                  <wp:extent cx="4855845" cy="6980555"/>
                  <wp:effectExtent l="0" t="0" r="1905" b="1079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4855845" cy="6980555"/>
                          </a:xfrm>
                          <a:prstGeom prst="rect">
                            <a:avLst/>
                          </a:prstGeom>
                          <a:noFill/>
                          <a:ln>
                            <a:noFill/>
                          </a:ln>
                        </pic:spPr>
                      </pic:pic>
                    </a:graphicData>
                  </a:graphic>
                </wp:inline>
              </w:drawing>
            </w:r>
          </w:p>
          <w:p w14:paraId="59CF973C">
            <w:pPr>
              <w:numPr>
                <w:ilvl w:val="0"/>
                <w:numId w:val="3"/>
              </w:numPr>
              <w:spacing w:line="360" w:lineRule="auto"/>
              <w:ind w:left="0" w:leftChars="0" w:firstLine="560" w:firstLineChars="0"/>
              <w:jc w:val="center"/>
              <w:rPr>
                <w:rFonts w:hint="default" w:ascii="Times New Roman" w:hAnsi="Times New Roman" w:eastAsia="宋体" w:cs="Times New Roman"/>
                <w:color w:val="000000" w:themeColor="text1"/>
                <w:kern w:val="0"/>
                <w:sz w:val="24"/>
                <w:szCs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8"/>
                <w:highlight w:val="none"/>
                <w:lang w:val="en-US" w:eastAsia="zh-CN"/>
                <w14:textFill>
                  <w14:solidFill>
                    <w14:schemeClr w14:val="tx1"/>
                  </w14:solidFill>
                </w14:textFill>
              </w:rPr>
              <w:t xml:space="preserve">  项目在生态保护红线中的位置关系图</w:t>
            </w:r>
          </w:p>
          <w:p w14:paraId="4DF07369">
            <w:pPr>
              <w:spacing w:line="360" w:lineRule="auto"/>
              <w:ind w:firstLine="480" w:firstLineChars="200"/>
              <w:rPr>
                <w:rFonts w:hint="eastAsia" w:ascii="Times New Roman" w:hAnsi="Times New Roman" w:eastAsia="宋体" w:cs="Times New Roman"/>
                <w:color w:val="000000" w:themeColor="text1"/>
                <w:kern w:val="0"/>
                <w:sz w:val="24"/>
                <w:szCs w:val="28"/>
                <w14:textFill>
                  <w14:solidFill>
                    <w14:schemeClr w14:val="tx1"/>
                  </w14:solidFill>
                </w14:textFill>
              </w:rPr>
            </w:pPr>
            <w:r>
              <w:rPr>
                <w:rFonts w:hint="eastAsia" w:ascii="Times New Roman" w:hAnsi="Times New Roman" w:eastAsia="宋体" w:cs="Times New Roman"/>
                <w:color w:val="000000" w:themeColor="text1"/>
                <w:kern w:val="0"/>
                <w:sz w:val="24"/>
                <w:szCs w:val="28"/>
                <w14:textFill>
                  <w14:solidFill>
                    <w14:schemeClr w14:val="tx1"/>
                  </w14:solidFill>
                </w14:textFill>
              </w:rPr>
              <w:t>环境分区管控：</w:t>
            </w:r>
          </w:p>
          <w:p w14:paraId="1F2ECCD5">
            <w:pPr>
              <w:pStyle w:val="93"/>
              <w:rPr>
                <w:rFonts w:hint="eastAsia"/>
                <w:color w:val="auto"/>
                <w:lang w:eastAsia="zh-CN"/>
              </w:rPr>
            </w:pPr>
            <w:r>
              <w:rPr>
                <w:color w:val="auto"/>
              </w:rPr>
              <w:t>根据安徽省“三线一单”公众服务平台查询，</w:t>
            </w:r>
            <w:r>
              <w:rPr>
                <w:rFonts w:hint="eastAsia"/>
                <w:color w:val="auto"/>
              </w:rPr>
              <w:t>经与“三线一单”成果数据分析，与</w:t>
            </w:r>
            <w:r>
              <w:rPr>
                <w:color w:val="auto"/>
              </w:rPr>
              <w:t>1</w:t>
            </w:r>
            <w:r>
              <w:rPr>
                <w:rFonts w:hint="eastAsia"/>
                <w:color w:val="auto"/>
              </w:rPr>
              <w:t>个环境管控单元存在交叠，其中优先保护类0个，重点管控类0个，一般管控类1个。环境管控单元名称</w:t>
            </w:r>
            <w:r>
              <w:rPr>
                <w:rFonts w:hint="eastAsia"/>
                <w:color w:val="auto"/>
                <w:lang w:eastAsia="zh-CN"/>
              </w:rPr>
              <w:t>：</w:t>
            </w:r>
            <w:r>
              <w:rPr>
                <w:rFonts w:hint="eastAsia"/>
                <w:color w:val="auto"/>
              </w:rPr>
              <w:t>一般管控单元</w:t>
            </w:r>
            <w:r>
              <w:rPr>
                <w:rFonts w:hint="eastAsia"/>
                <w:color w:val="auto"/>
                <w:lang w:val="en-US" w:eastAsia="zh-CN"/>
              </w:rPr>
              <w:t>5</w:t>
            </w:r>
            <w:r>
              <w:rPr>
                <w:rFonts w:hint="eastAsia"/>
                <w:color w:val="auto"/>
                <w:lang w:eastAsia="zh-CN"/>
              </w:rPr>
              <w:t>， 环境管控单元编码：</w:t>
            </w:r>
            <w:r>
              <w:rPr>
                <w:rFonts w:hint="eastAsia"/>
                <w:color w:val="auto"/>
              </w:rPr>
              <w:t>ZH34040630004</w:t>
            </w:r>
            <w:r>
              <w:rPr>
                <w:rFonts w:hint="eastAsia"/>
                <w:color w:val="auto"/>
                <w:lang w:eastAsia="zh-CN"/>
              </w:rPr>
              <w:t>，无污染物排放管控要求。</w:t>
            </w:r>
          </w:p>
          <w:p w14:paraId="7B274912">
            <w:pPr>
              <w:pStyle w:val="93"/>
              <w:ind w:left="0" w:leftChars="0" w:firstLine="0" w:firstLineChars="0"/>
            </w:pPr>
            <w:r>
              <w:drawing>
                <wp:inline distT="0" distB="0" distL="114300" distR="114300">
                  <wp:extent cx="5000625" cy="4187825"/>
                  <wp:effectExtent l="0" t="0" r="9525" b="31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000625" cy="4187825"/>
                          </a:xfrm>
                          <a:prstGeom prst="rect">
                            <a:avLst/>
                          </a:prstGeom>
                          <a:noFill/>
                          <a:ln>
                            <a:noFill/>
                          </a:ln>
                        </pic:spPr>
                      </pic:pic>
                    </a:graphicData>
                  </a:graphic>
                </wp:inline>
              </w:drawing>
            </w:r>
          </w:p>
          <w:p w14:paraId="05C08271">
            <w:pPr>
              <w:numPr>
                <w:ilvl w:val="0"/>
                <w:numId w:val="3"/>
              </w:numPr>
              <w:spacing w:line="360" w:lineRule="auto"/>
              <w:ind w:left="0" w:leftChars="0" w:firstLine="560" w:firstLineChars="0"/>
              <w:jc w:val="center"/>
              <w:rPr>
                <w:rFonts w:hint="default" w:eastAsiaTheme="minorEastAsia"/>
                <w:highlight w:val="none"/>
                <w:lang w:val="en-US" w:eastAsia="zh-CN"/>
              </w:rPr>
            </w:pPr>
            <w:r>
              <w:rPr>
                <w:rFonts w:hint="eastAsia"/>
                <w:highlight w:val="none"/>
                <w:lang w:val="en-US" w:eastAsia="zh-CN"/>
              </w:rPr>
              <w:t xml:space="preserve">  </w:t>
            </w:r>
            <w:r>
              <w:rPr>
                <w:rFonts w:hint="eastAsia"/>
                <w:sz w:val="24"/>
                <w:szCs w:val="24"/>
                <w:highlight w:val="none"/>
                <w:lang w:val="en-US" w:eastAsia="zh-CN"/>
              </w:rPr>
              <w:t>“三线一单”管控点位图</w:t>
            </w:r>
          </w:p>
          <w:p w14:paraId="7E62845C">
            <w:pPr>
              <w:spacing w:beforeLines="50" w:line="360" w:lineRule="auto"/>
              <w:ind w:firstLine="482" w:firstLineChars="200"/>
              <w:jc w:val="left"/>
              <w:rPr>
                <w:rFonts w:ascii="Times New Roman" w:hAnsi="Times New Roman" w:cs="Times New Roman"/>
                <w:b/>
                <w:bCs/>
                <w:color w:val="auto"/>
                <w:sz w:val="24"/>
                <w:szCs w:val="24"/>
              </w:rPr>
            </w:pPr>
            <w:r>
              <w:rPr>
                <w:rFonts w:ascii="Times New Roman" w:hAnsi="Times New Roman" w:cs="Times New Roman"/>
                <w:b/>
                <w:bCs/>
                <w:color w:val="auto"/>
                <w:sz w:val="24"/>
                <w:szCs w:val="24"/>
              </w:rPr>
              <w:t>与《</w:t>
            </w:r>
            <w:r>
              <w:rPr>
                <w:rFonts w:hint="eastAsia" w:ascii="Times New Roman" w:hAnsi="Times New Roman" w:cs="Times New Roman"/>
                <w:b/>
                <w:bCs/>
                <w:color w:val="auto"/>
                <w:sz w:val="24"/>
                <w:szCs w:val="24"/>
              </w:rPr>
              <w:t>淮南市</w:t>
            </w:r>
            <w:r>
              <w:rPr>
                <w:rFonts w:ascii="Times New Roman" w:hAnsi="Times New Roman" w:cs="Times New Roman"/>
                <w:b/>
                <w:bCs/>
                <w:color w:val="auto"/>
                <w:sz w:val="24"/>
                <w:szCs w:val="24"/>
              </w:rPr>
              <w:t>“三线一单”生态环境分区管控方案》相符性</w:t>
            </w:r>
          </w:p>
          <w:p w14:paraId="7F9C7697">
            <w:pPr>
              <w:spacing w:beforeLines="50" w:line="360" w:lineRule="auto"/>
              <w:ind w:firstLine="480" w:firstLineChars="200"/>
              <w:jc w:val="left"/>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rPr>
              <w:t>根据《</w:t>
            </w:r>
            <w:r>
              <w:rPr>
                <w:rFonts w:ascii="Times New Roman" w:hAnsi="Times New Roman" w:eastAsia="宋体" w:cs="Times New Roman"/>
                <w:color w:val="auto"/>
                <w:kern w:val="0"/>
                <w:sz w:val="24"/>
                <w:szCs w:val="24"/>
              </w:rPr>
              <w:t>长江经济带战略环境评价</w:t>
            </w:r>
            <w:r>
              <w:rPr>
                <w:rFonts w:hint="eastAsia" w:ascii="Times New Roman" w:hAnsi="Times New Roman" w:eastAsia="宋体" w:cs="Times New Roman"/>
                <w:color w:val="auto"/>
                <w:kern w:val="0"/>
                <w:sz w:val="24"/>
                <w:szCs w:val="24"/>
              </w:rPr>
              <w:t>—淮南市“三线一单”研究报告》及成果图集</w:t>
            </w:r>
            <w:r>
              <w:rPr>
                <w:rFonts w:hint="eastAsia" w:ascii="Times New Roman" w:hAnsi="Times New Roman" w:eastAsia="宋体" w:cs="Times New Roman"/>
                <w:color w:val="auto"/>
                <w:kern w:val="0"/>
                <w:sz w:val="24"/>
                <w:szCs w:val="24"/>
                <w:lang w:eastAsia="zh-CN"/>
              </w:rPr>
              <w:t>，本项目位于淮南市环境管控一般管控单元，管控要求及符合性如下：</w:t>
            </w:r>
          </w:p>
          <w:p w14:paraId="13B6DF5F">
            <w:pPr>
              <w:autoSpaceDE w:val="0"/>
              <w:autoSpaceDN w:val="0"/>
              <w:spacing w:line="360" w:lineRule="auto"/>
              <w:jc w:val="center"/>
            </w:pPr>
            <w:r>
              <w:drawing>
                <wp:inline distT="0" distB="0" distL="114300" distR="114300">
                  <wp:extent cx="4827270" cy="6943725"/>
                  <wp:effectExtent l="0" t="0" r="11430"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4827270" cy="6943725"/>
                          </a:xfrm>
                          <a:prstGeom prst="rect">
                            <a:avLst/>
                          </a:prstGeom>
                          <a:noFill/>
                          <a:ln>
                            <a:noFill/>
                          </a:ln>
                        </pic:spPr>
                      </pic:pic>
                    </a:graphicData>
                  </a:graphic>
                </wp:inline>
              </w:drawing>
            </w:r>
          </w:p>
          <w:p w14:paraId="3FBE0CA6">
            <w:pPr>
              <w:numPr>
                <w:ilvl w:val="0"/>
                <w:numId w:val="3"/>
              </w:numPr>
              <w:spacing w:line="360" w:lineRule="auto"/>
              <w:ind w:left="0" w:leftChars="0" w:firstLine="560" w:firstLineChars="0"/>
              <w:jc w:val="center"/>
              <w:rPr>
                <w:rFonts w:hint="default" w:eastAsiaTheme="minorEastAsia"/>
                <w:highlight w:val="none"/>
                <w:lang w:val="en-US" w:eastAsia="zh-CN"/>
              </w:rPr>
            </w:pPr>
            <w:r>
              <w:rPr>
                <w:rFonts w:hint="eastAsia"/>
                <w:highlight w:val="none"/>
                <w:lang w:val="en-US" w:eastAsia="zh-CN"/>
              </w:rPr>
              <w:t xml:space="preserve">  </w:t>
            </w:r>
            <w:r>
              <w:rPr>
                <w:rFonts w:hint="eastAsia"/>
                <w:sz w:val="24"/>
                <w:szCs w:val="24"/>
                <w:highlight w:val="none"/>
                <w:lang w:val="en-US" w:eastAsia="zh-CN"/>
              </w:rPr>
              <w:t>本项目在淮南市环境管控单元中的位置关系图</w:t>
            </w:r>
          </w:p>
          <w:p w14:paraId="69B7A61D">
            <w:pPr>
              <w:pStyle w:val="95"/>
              <w:numPr>
                <w:ilvl w:val="1"/>
                <w:numId w:val="2"/>
              </w:numPr>
              <w:tabs>
                <w:tab w:val="left" w:pos="2100"/>
                <w:tab w:val="clear" w:pos="1440"/>
              </w:tabs>
              <w:spacing w:line="240" w:lineRule="auto"/>
              <w:ind w:left="3300" w:leftChars="0" w:hanging="1200" w:firstLineChars="0"/>
              <w:jc w:val="both"/>
              <w:rPr>
                <w:rFonts w:ascii="Times New Roman" w:hAnsi="Times New Roman" w:eastAsia="黑体" w:cs="Times New Roman"/>
                <w:kern w:val="0"/>
                <w:sz w:val="24"/>
                <w:szCs w:val="24"/>
              </w:rPr>
            </w:pPr>
            <w:r>
              <w:rPr>
                <w:rFonts w:hint="eastAsia" w:ascii="Times New Roman" w:hAnsi="黑体" w:eastAsia="黑体" w:cs="Times New Roman"/>
                <w:kern w:val="0"/>
                <w:sz w:val="24"/>
                <w:szCs w:val="24"/>
                <w:lang w:eastAsia="zh-CN"/>
              </w:rPr>
              <w:t>项目</w:t>
            </w:r>
            <w:r>
              <w:rPr>
                <w:rFonts w:ascii="Times New Roman" w:hAnsi="黑体" w:eastAsia="黑体" w:cs="Times New Roman"/>
                <w:kern w:val="0"/>
                <w:sz w:val="24"/>
                <w:szCs w:val="24"/>
              </w:rPr>
              <w:t>与环境分区管控要求的协调性分析</w:t>
            </w:r>
          </w:p>
          <w:tbl>
            <w:tblPr>
              <w:tblStyle w:val="26"/>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159"/>
              <w:gridCol w:w="2802"/>
              <w:gridCol w:w="1966"/>
              <w:gridCol w:w="1964"/>
            </w:tblGrid>
            <w:tr w14:paraId="120C794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167" w:type="dxa"/>
                  <w:vAlign w:val="center"/>
                </w:tcPr>
                <w:p w14:paraId="45C6DE14">
                  <w:pPr>
                    <w:autoSpaceDE w:val="0"/>
                    <w:autoSpaceDN w:val="0"/>
                    <w:spacing w:line="276" w:lineRule="auto"/>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环境要素</w:t>
                  </w:r>
                </w:p>
              </w:tc>
              <w:tc>
                <w:tcPr>
                  <w:tcW w:w="2822" w:type="dxa"/>
                  <w:vAlign w:val="center"/>
                </w:tcPr>
                <w:p w14:paraId="763A16E6">
                  <w:pPr>
                    <w:autoSpaceDE w:val="0"/>
                    <w:autoSpaceDN w:val="0"/>
                    <w:spacing w:line="276"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环境管控要求</w:t>
                  </w:r>
                </w:p>
              </w:tc>
              <w:tc>
                <w:tcPr>
                  <w:tcW w:w="1979" w:type="dxa"/>
                  <w:vAlign w:val="center"/>
                </w:tcPr>
                <w:p w14:paraId="4065910C">
                  <w:pPr>
                    <w:autoSpaceDE w:val="0"/>
                    <w:autoSpaceDN w:val="0"/>
                    <w:spacing w:line="276" w:lineRule="auto"/>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本项目情况</w:t>
                  </w:r>
                </w:p>
              </w:tc>
              <w:tc>
                <w:tcPr>
                  <w:tcW w:w="1979" w:type="dxa"/>
                  <w:vAlign w:val="center"/>
                </w:tcPr>
                <w:p w14:paraId="352DB64E">
                  <w:pPr>
                    <w:autoSpaceDE w:val="0"/>
                    <w:autoSpaceDN w:val="0"/>
                    <w:spacing w:line="276" w:lineRule="auto"/>
                    <w:jc w:val="cente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协调性分析</w:t>
                  </w:r>
                </w:p>
              </w:tc>
            </w:tr>
            <w:tr w14:paraId="232AD5B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167" w:type="dxa"/>
                  <w:vAlign w:val="center"/>
                </w:tcPr>
                <w:p w14:paraId="59985268">
                  <w:pPr>
                    <w:autoSpaceDE w:val="0"/>
                    <w:autoSpaceDN w:val="0"/>
                    <w:spacing w:line="276"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eastAsia="zh-CN"/>
                    </w:rPr>
                    <w:t>水环境</w:t>
                  </w:r>
                </w:p>
              </w:tc>
              <w:tc>
                <w:tcPr>
                  <w:tcW w:w="2822" w:type="dxa"/>
                  <w:vAlign w:val="center"/>
                </w:tcPr>
                <w:p w14:paraId="0D4FEC7A">
                  <w:pPr>
                    <w:autoSpaceDE w:val="0"/>
                    <w:autoSpaceDN w:val="0"/>
                    <w:spacing w:line="276"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依据《中华人民共和国水污染防治法》《水污染防治行动计划》《安徽省水污染防治工作方案》及各市水污染防治工作方案对一般管控区实施管控；依据《安徽省淮河流域水污染防治条例》对淮河流域实施管控</w:t>
                  </w:r>
                </w:p>
              </w:tc>
              <w:tc>
                <w:tcPr>
                  <w:tcW w:w="1979" w:type="dxa"/>
                  <w:vAlign w:val="center"/>
                </w:tcPr>
                <w:p w14:paraId="2D1D80E1">
                  <w:pPr>
                    <w:autoSpaceDE w:val="0"/>
                    <w:autoSpaceDN w:val="0"/>
                    <w:spacing w:line="276" w:lineRule="auto"/>
                    <w:jc w:val="center"/>
                    <w:rPr>
                      <w:rFonts w:hint="eastAsia" w:ascii="Times New Roman" w:hAnsi="Times New Roman" w:eastAsia="宋体" w:cs="Times New Roman"/>
                      <w:kern w:val="0"/>
                      <w:szCs w:val="21"/>
                      <w:highlight w:val="none"/>
                      <w:lang w:eastAsia="zh-CN"/>
                    </w:rPr>
                  </w:pPr>
                  <w:r>
                    <w:rPr>
                      <w:rFonts w:ascii="Times New Roman" w:hAnsi="Times New Roman" w:eastAsia="宋体" w:cs="Times New Roman"/>
                      <w:kern w:val="0"/>
                      <w:szCs w:val="21"/>
                    </w:rPr>
                    <w:t>本项目所在地不涉及饮用水水源地和对环境</w:t>
                  </w:r>
                  <w:r>
                    <w:rPr>
                      <w:rFonts w:hint="eastAsia" w:ascii="Times New Roman" w:hAnsi="Times New Roman" w:eastAsia="宋体" w:cs="Times New Roman"/>
                      <w:kern w:val="0"/>
                      <w:szCs w:val="21"/>
                      <w:highlight w:val="none"/>
                    </w:rPr>
                    <w:t>有特殊要求的功能区。</w:t>
                  </w:r>
                  <w:r>
                    <w:rPr>
                      <w:rFonts w:hint="eastAsia" w:ascii="Times New Roman" w:hAnsi="Times New Roman" w:eastAsia="宋体" w:cs="Times New Roman"/>
                      <w:kern w:val="0"/>
                      <w:szCs w:val="21"/>
                      <w:highlight w:val="none"/>
                      <w:lang w:eastAsia="zh-CN"/>
                    </w:rPr>
                    <w:t>施工人员</w:t>
                  </w:r>
                  <w:r>
                    <w:rPr>
                      <w:rFonts w:hint="eastAsia" w:ascii="Times New Roman" w:hAnsi="Times New Roman" w:eastAsia="宋体" w:cs="Times New Roman"/>
                      <w:kern w:val="0"/>
                      <w:szCs w:val="21"/>
                      <w:highlight w:val="none"/>
                    </w:rPr>
                    <w:t>生活污水依托</w:t>
                  </w:r>
                  <w:r>
                    <w:rPr>
                      <w:rFonts w:hint="eastAsia" w:ascii="Times New Roman" w:hAnsi="Times New Roman" w:eastAsia="宋体" w:cs="Times New Roman"/>
                      <w:kern w:val="0"/>
                      <w:szCs w:val="21"/>
                      <w:highlight w:val="none"/>
                      <w:lang w:eastAsia="zh-CN"/>
                    </w:rPr>
                    <w:t>施工场地化粪池处理后定期清掏用于周边农田肥田。</w:t>
                  </w:r>
                </w:p>
                <w:p w14:paraId="2E8EBBDB">
                  <w:pPr>
                    <w:autoSpaceDE w:val="0"/>
                    <w:autoSpaceDN w:val="0"/>
                    <w:spacing w:line="276" w:lineRule="auto"/>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highlight w:val="none"/>
                    </w:rPr>
                    <w:t>钻井废水经泥浆</w:t>
                  </w:r>
                  <w:r>
                    <w:rPr>
                      <w:rFonts w:ascii="Times New Roman" w:hAnsi="Times New Roman" w:eastAsia="宋体" w:cs="Times New Roman"/>
                      <w:kern w:val="0"/>
                      <w:szCs w:val="21"/>
                      <w:highlight w:val="none"/>
                    </w:rPr>
                    <w:t>池后回用于</w:t>
                  </w:r>
                  <w:r>
                    <w:rPr>
                      <w:rFonts w:hint="eastAsia" w:ascii="Times New Roman" w:hAnsi="Times New Roman" w:eastAsia="宋体" w:cs="Times New Roman"/>
                      <w:kern w:val="0"/>
                      <w:szCs w:val="21"/>
                      <w:highlight w:val="none"/>
                    </w:rPr>
                    <w:t>钻井</w:t>
                  </w:r>
                  <w:r>
                    <w:rPr>
                      <w:rFonts w:hint="eastAsia" w:ascii="Times New Roman" w:hAnsi="Times New Roman" w:eastAsia="宋体" w:cs="Times New Roman"/>
                      <w:kern w:val="0"/>
                      <w:szCs w:val="21"/>
                      <w:highlight w:val="none"/>
                      <w:lang w:eastAsia="zh-CN"/>
                    </w:rPr>
                    <w:t>，无钻井废水排放。</w:t>
                  </w:r>
                </w:p>
              </w:tc>
              <w:tc>
                <w:tcPr>
                  <w:tcW w:w="1979" w:type="dxa"/>
                  <w:vAlign w:val="center"/>
                </w:tcPr>
                <w:p w14:paraId="65691C71">
                  <w:pPr>
                    <w:autoSpaceDE w:val="0"/>
                    <w:autoSpaceDN w:val="0"/>
                    <w:spacing w:line="276" w:lineRule="auto"/>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符合</w:t>
                  </w:r>
                </w:p>
              </w:tc>
            </w:tr>
            <w:tr w14:paraId="07CDB39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167" w:type="dxa"/>
                  <w:vAlign w:val="center"/>
                </w:tcPr>
                <w:p w14:paraId="480B24DC">
                  <w:pPr>
                    <w:autoSpaceDE w:val="0"/>
                    <w:autoSpaceDN w:val="0"/>
                    <w:spacing w:line="276" w:lineRule="auto"/>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大气环境</w:t>
                  </w:r>
                </w:p>
              </w:tc>
              <w:tc>
                <w:tcPr>
                  <w:tcW w:w="2822" w:type="dxa"/>
                  <w:vAlign w:val="center"/>
                </w:tcPr>
                <w:p w14:paraId="5CA63EAA">
                  <w:pPr>
                    <w:autoSpaceDE w:val="0"/>
                    <w:autoSpaceDN w:val="0"/>
                    <w:spacing w:line="276" w:lineRule="auto"/>
                    <w:jc w:val="cente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依据《</w:t>
                  </w:r>
                  <w:r>
                    <w:rPr>
                      <w:rFonts w:hint="eastAsia" w:ascii="Times New Roman" w:hAnsi="Times New Roman" w:eastAsia="宋体" w:cs="Times New Roman"/>
                      <w:kern w:val="0"/>
                      <w:szCs w:val="21"/>
                    </w:rPr>
                    <w:fldChar w:fldCharType="begin"/>
                  </w:r>
                  <w:r>
                    <w:rPr>
                      <w:rFonts w:hint="eastAsia" w:ascii="Times New Roman" w:hAnsi="Times New Roman" w:eastAsia="宋体" w:cs="Times New Roman"/>
                      <w:kern w:val="0"/>
                      <w:szCs w:val="21"/>
                    </w:rPr>
                    <w:instrText xml:space="preserve"> HYPERLINK "http://www.so.com/link?m=atqHUsVCrKgKvazQ1diDVK9MSZbKQoCRbJCwaRCjw2QUYOsGw7e0g5ebA0Ym7QAL6wuzl%2BHXq6VmwcazwiBBPgmMY8cBRnT6dyTav3%2FaiJlwyO2WNZ99m3CR7pFV2v0i72jgp9NNJUjqwDwh1PYtiZ%2F5i2BHGs2ruvKdPUtV1dVDG7GLyjrxR%2B8JFtCK0To62u%2Bs1vGD9AcG7JnNs1%2FGWMKE9Lz8%3D" \t "_blank" </w:instrText>
                  </w:r>
                  <w:r>
                    <w:rPr>
                      <w:rFonts w:hint="eastAsia" w:ascii="Times New Roman" w:hAnsi="Times New Roman" w:eastAsia="宋体" w:cs="Times New Roman"/>
                      <w:kern w:val="0"/>
                      <w:szCs w:val="21"/>
                    </w:rPr>
                    <w:fldChar w:fldCharType="separate"/>
                  </w:r>
                  <w:r>
                    <w:rPr>
                      <w:rFonts w:hint="eastAsia" w:ascii="Times New Roman" w:hAnsi="Times New Roman" w:eastAsia="宋体" w:cs="Times New Roman"/>
                      <w:kern w:val="0"/>
                      <w:szCs w:val="21"/>
                    </w:rPr>
                    <w:t>中华人民共和国大气污染防治法</w:t>
                  </w:r>
                  <w:r>
                    <w:rPr>
                      <w:rFonts w:hint="eastAsia" w:ascii="Times New Roman" w:hAnsi="Times New Roman" w:eastAsia="宋体" w:cs="Times New Roman"/>
                      <w:kern w:val="0"/>
                      <w:szCs w:val="21"/>
                    </w:rPr>
                    <w:fldChar w:fldCharType="end"/>
                  </w:r>
                  <w:r>
                    <w:rPr>
                      <w:rFonts w:hint="eastAsia" w:ascii="Times New Roman" w:hAnsi="Times New Roman" w:eastAsia="宋体" w:cs="Times New Roman"/>
                      <w:kern w:val="0"/>
                      <w:szCs w:val="21"/>
                    </w:rPr>
                    <w:t>》《打赢蓝天保卫战三年行动计划》《安徽省打赢蓝天保卫战三年行动计划实施方案》等法律法规和规章对一般管控区实施管控。上年度PM2.5不达标城市新建、改建和扩建项目大气污染物实施“倍量替代”，执行特别排放标准的行业实施提标升级改造。</w:t>
                  </w:r>
                </w:p>
              </w:tc>
              <w:tc>
                <w:tcPr>
                  <w:tcW w:w="1979" w:type="dxa"/>
                  <w:vAlign w:val="center"/>
                </w:tcPr>
                <w:p w14:paraId="79CBAE9E">
                  <w:pPr>
                    <w:autoSpaceDE w:val="0"/>
                    <w:autoSpaceDN w:val="0"/>
                    <w:spacing w:line="276" w:lineRule="auto"/>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rPr>
                    <w:t>本项目仅施工期产生少量颗粒物，通过洒水抑尘等方式减小粉尘影响</w:t>
                  </w:r>
                  <w:r>
                    <w:rPr>
                      <w:rFonts w:hint="eastAsia" w:ascii="Times New Roman" w:hAnsi="Times New Roman" w:eastAsia="宋体" w:cs="Times New Roman"/>
                      <w:kern w:val="0"/>
                      <w:szCs w:val="21"/>
                      <w:lang w:eastAsia="zh-CN"/>
                    </w:rPr>
                    <w:t>。</w:t>
                  </w:r>
                </w:p>
              </w:tc>
              <w:tc>
                <w:tcPr>
                  <w:tcW w:w="1979" w:type="dxa"/>
                  <w:vAlign w:val="center"/>
                </w:tcPr>
                <w:p w14:paraId="79F8EAA5">
                  <w:pPr>
                    <w:autoSpaceDE w:val="0"/>
                    <w:autoSpaceDN w:val="0"/>
                    <w:spacing w:line="276" w:lineRule="auto"/>
                    <w:jc w:val="center"/>
                    <w:rPr>
                      <w:rFonts w:hint="eastAsia" w:ascii="Times New Roman" w:hAnsi="Times New Roman" w:eastAsia="宋体" w:cs="Times New Roman"/>
                      <w:kern w:val="0"/>
                      <w:szCs w:val="21"/>
                    </w:rPr>
                  </w:pPr>
                  <w:r>
                    <w:rPr>
                      <w:rFonts w:hint="eastAsia" w:ascii="Times New Roman" w:hAnsi="Times New Roman" w:eastAsia="宋体" w:cs="Times New Roman"/>
                      <w:kern w:val="0"/>
                      <w:szCs w:val="21"/>
                      <w:lang w:eastAsia="zh-CN"/>
                    </w:rPr>
                    <w:t>符合</w:t>
                  </w:r>
                </w:p>
              </w:tc>
            </w:tr>
            <w:tr w14:paraId="13191BA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167" w:type="dxa"/>
                  <w:vAlign w:val="center"/>
                </w:tcPr>
                <w:p w14:paraId="7E469488">
                  <w:pPr>
                    <w:autoSpaceDE w:val="0"/>
                    <w:autoSpaceDN w:val="0"/>
                    <w:spacing w:line="276" w:lineRule="auto"/>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土壤环境</w:t>
                  </w:r>
                </w:p>
              </w:tc>
              <w:tc>
                <w:tcPr>
                  <w:tcW w:w="2822" w:type="dxa"/>
                  <w:vAlign w:val="center"/>
                </w:tcPr>
                <w:p w14:paraId="63DBD27E">
                  <w:pPr>
                    <w:autoSpaceDE w:val="0"/>
                    <w:autoSpaceDN w:val="0"/>
                    <w:spacing w:line="276" w:lineRule="auto"/>
                    <w:jc w:val="center"/>
                    <w:rPr>
                      <w:rFonts w:hint="eastAsia" w:ascii="Times New Roman" w:hAnsi="Times New Roman" w:eastAsia="宋体" w:cs="Times New Roman"/>
                      <w:kern w:val="0"/>
                      <w:szCs w:val="21"/>
                    </w:rPr>
                  </w:pPr>
                  <w:r>
                    <w:rPr>
                      <w:rFonts w:hint="eastAsia" w:ascii="Times New Roman" w:hAnsi="Times New Roman" w:eastAsia="宋体" w:cs="Times New Roman"/>
                      <w:color w:val="000000" w:themeColor="text1"/>
                      <w:kern w:val="0"/>
                      <w:szCs w:val="21"/>
                      <w:lang w:bidi="en-US"/>
                      <w14:textFill>
                        <w14:solidFill>
                          <w14:schemeClr w14:val="tx1"/>
                        </w14:solidFill>
                      </w14:textFill>
                    </w:rPr>
                    <w:t>依据《中华人民共和国土壤污染防治法》《土壤污染防治行动计划》《安徽省土壤污染防治工作方案》《安徽省“十四五”生态环境保护规划》等要求及各市土壤污染防治工作方案对一般管控区实施管控。</w:t>
                  </w:r>
                </w:p>
              </w:tc>
              <w:tc>
                <w:tcPr>
                  <w:tcW w:w="1979" w:type="dxa"/>
                  <w:vAlign w:val="center"/>
                </w:tcPr>
                <w:p w14:paraId="66B71FD2">
                  <w:pPr>
                    <w:autoSpaceDE w:val="0"/>
                    <w:autoSpaceDN w:val="0"/>
                    <w:spacing w:line="276" w:lineRule="auto"/>
                    <w:jc w:val="center"/>
                    <w:rPr>
                      <w:rFonts w:ascii="Times New Roman" w:hAnsi="Times New Roman" w:eastAsia="宋体" w:cs="Times New Roman"/>
                      <w:kern w:val="0"/>
                      <w:szCs w:val="21"/>
                    </w:rPr>
                  </w:pPr>
                  <w:r>
                    <w:rPr>
                      <w:rFonts w:ascii="Times New Roman" w:hAnsi="Times New Roman" w:eastAsia="宋体" w:cs="Times New Roman"/>
                      <w:color w:val="auto"/>
                      <w:kern w:val="0"/>
                      <w:szCs w:val="21"/>
                    </w:rPr>
                    <w:t>本项目</w:t>
                  </w:r>
                  <w:r>
                    <w:rPr>
                      <w:rFonts w:hint="eastAsia" w:ascii="Times New Roman" w:hAnsi="Times New Roman" w:eastAsia="宋体" w:cs="Times New Roman"/>
                      <w:color w:val="auto"/>
                      <w:kern w:val="0"/>
                      <w:szCs w:val="21"/>
                      <w:lang w:eastAsia="zh-CN"/>
                    </w:rPr>
                    <w:t>施工时使用水基泥浆进行钻孔施工，</w:t>
                  </w:r>
                  <w:r>
                    <w:rPr>
                      <w:rFonts w:hint="eastAsia" w:ascii="Times New Roman" w:hAnsi="Times New Roman" w:eastAsia="宋体" w:cs="Times New Roman"/>
                      <w:color w:val="auto"/>
                      <w:kern w:val="0"/>
                      <w:szCs w:val="21"/>
                    </w:rPr>
                    <w:t>泥浆添加剂</w:t>
                  </w:r>
                  <w:r>
                    <w:rPr>
                      <w:rFonts w:hint="eastAsia" w:ascii="Times New Roman" w:hAnsi="Times New Roman" w:eastAsia="宋体" w:cs="Times New Roman"/>
                      <w:color w:val="auto"/>
                      <w:kern w:val="0"/>
                      <w:szCs w:val="21"/>
                      <w:lang w:eastAsia="zh-CN"/>
                    </w:rPr>
                    <w:t>不含</w:t>
                  </w:r>
                  <w:r>
                    <w:rPr>
                      <w:rFonts w:hint="eastAsia" w:ascii="Times New Roman" w:hAnsi="Times New Roman" w:eastAsia="宋体" w:cs="Times New Roman"/>
                      <w:color w:val="auto"/>
                      <w:kern w:val="0"/>
                      <w:szCs w:val="21"/>
                    </w:rPr>
                    <w:t>有毒有害成分，</w:t>
                  </w:r>
                  <w:r>
                    <w:rPr>
                      <w:rFonts w:hint="eastAsia" w:ascii="Times New Roman" w:hAnsi="Times New Roman" w:eastAsia="宋体" w:cs="Times New Roman"/>
                      <w:color w:val="auto"/>
                      <w:kern w:val="0"/>
                      <w:szCs w:val="21"/>
                      <w:lang w:eastAsia="zh-CN"/>
                    </w:rPr>
                    <w:t>固井</w:t>
                  </w:r>
                  <w:r>
                    <w:rPr>
                      <w:rFonts w:hint="eastAsia" w:ascii="Times New Roman" w:hAnsi="Times New Roman" w:eastAsia="宋体" w:cs="Times New Roman"/>
                      <w:color w:val="auto"/>
                      <w:kern w:val="0"/>
                      <w:szCs w:val="21"/>
                    </w:rPr>
                    <w:t>用水泥为普通/复合硅酸盐水泥，质量符合国家标准。</w:t>
                  </w:r>
                </w:p>
              </w:tc>
              <w:tc>
                <w:tcPr>
                  <w:tcW w:w="1979" w:type="dxa"/>
                  <w:vAlign w:val="center"/>
                </w:tcPr>
                <w:p w14:paraId="2CB0A51A">
                  <w:pPr>
                    <w:autoSpaceDE w:val="0"/>
                    <w:autoSpaceDN w:val="0"/>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kern w:val="0"/>
                      <w:szCs w:val="21"/>
                      <w:lang w:eastAsia="zh-CN"/>
                    </w:rPr>
                    <w:t>符合</w:t>
                  </w:r>
                </w:p>
              </w:tc>
            </w:tr>
          </w:tbl>
          <w:p w14:paraId="707DEC4F">
            <w:pPr>
              <w:autoSpaceDE w:val="0"/>
              <w:autoSpaceDN w:val="0"/>
              <w:spacing w:line="360" w:lineRule="auto"/>
              <w:ind w:firstLine="482" w:firstLineChars="200"/>
              <w:rPr>
                <w:rFonts w:hint="eastAsia"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lang w:val="en-US" w:eastAsia="zh-CN"/>
              </w:rPr>
              <w:t>（8）、与《安徽省煤矿瓦斯综合治理与利用办法</w:t>
            </w:r>
            <w:r>
              <w:rPr>
                <w:rFonts w:hint="default" w:ascii="Times New Roman" w:hAnsi="Times New Roman" w:eastAsia="宋体" w:cs="Times New Roman"/>
                <w:b/>
                <w:bCs/>
                <w:kern w:val="0"/>
                <w:sz w:val="24"/>
                <w:szCs w:val="24"/>
                <w:lang w:val="en-US" w:eastAsia="zh-CN"/>
              </w:rPr>
              <w:t>(</w:t>
            </w:r>
            <w:r>
              <w:rPr>
                <w:rFonts w:hint="eastAsia" w:ascii="Times New Roman" w:hAnsi="Times New Roman" w:eastAsia="宋体" w:cs="Times New Roman"/>
                <w:b/>
                <w:bCs/>
                <w:kern w:val="0"/>
                <w:sz w:val="24"/>
                <w:szCs w:val="24"/>
                <w:lang w:val="en-US" w:eastAsia="zh-CN"/>
              </w:rPr>
              <w:t>修订版</w:t>
            </w:r>
            <w:r>
              <w:rPr>
                <w:rFonts w:hint="default" w:ascii="Times New Roman" w:hAnsi="Times New Roman" w:eastAsia="宋体" w:cs="Times New Roman"/>
                <w:b/>
                <w:bCs/>
                <w:kern w:val="0"/>
                <w:sz w:val="24"/>
                <w:szCs w:val="24"/>
                <w:lang w:val="en-US" w:eastAsia="zh-CN"/>
              </w:rPr>
              <w:t>)</w:t>
            </w:r>
            <w:r>
              <w:rPr>
                <w:rFonts w:hint="eastAsia" w:ascii="Times New Roman" w:hAnsi="Times New Roman" w:eastAsia="宋体" w:cs="Times New Roman"/>
                <w:b/>
                <w:bCs/>
                <w:kern w:val="0"/>
                <w:sz w:val="24"/>
                <w:szCs w:val="24"/>
                <w:lang w:val="en-US" w:eastAsia="zh-CN"/>
              </w:rPr>
              <w:t>》符合性分析</w:t>
            </w:r>
          </w:p>
          <w:p w14:paraId="3BCD4F77">
            <w:pPr>
              <w:pStyle w:val="95"/>
              <w:numPr>
                <w:ilvl w:val="1"/>
                <w:numId w:val="2"/>
              </w:numPr>
              <w:tabs>
                <w:tab w:val="left" w:pos="1260"/>
                <w:tab w:val="clear" w:pos="1440"/>
              </w:tabs>
              <w:spacing w:line="240" w:lineRule="auto"/>
              <w:ind w:left="3300" w:leftChars="0" w:hanging="2880" w:firstLineChars="0"/>
              <w:jc w:val="left"/>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与《</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安徽省煤矿瓦斯综合治理与利用办法(修订版)</w:t>
            </w:r>
            <w:r>
              <w:rPr>
                <w:rFonts w:hint="default" w:ascii="Times New Roman" w:hAnsi="Times New Roman" w:eastAsia="宋体" w:cs="Times New Roman"/>
                <w:color w:val="000000" w:themeColor="text1"/>
                <w:kern w:val="0"/>
                <w:sz w:val="24"/>
                <w:szCs w:val="24"/>
                <w14:textFill>
                  <w14:solidFill>
                    <w14:schemeClr w14:val="tx1"/>
                  </w14:solidFill>
                </w14:textFill>
              </w:rPr>
              <w:t>》相符性分析</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12"/>
              <w:gridCol w:w="4245"/>
              <w:gridCol w:w="431"/>
            </w:tblGrid>
            <w:tr w14:paraId="4422F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36" w:type="pct"/>
                  <w:vAlign w:val="center"/>
                </w:tcPr>
                <w:p w14:paraId="10448763">
                  <w:pPr>
                    <w:spacing w:line="276" w:lineRule="auto"/>
                    <w:jc w:val="center"/>
                    <w:rPr>
                      <w:rFonts w:hint="eastAsia" w:ascii="Times New Roman" w:hAnsi="Times New Roman" w:eastAsia="宋体" w:cs="Times New Roman"/>
                      <w:b/>
                      <w:color w:val="000000" w:themeColor="text1"/>
                      <w:szCs w:val="21"/>
                      <w:lang w:eastAsia="zh-CN"/>
                      <w14:textFill>
                        <w14:solidFill>
                          <w14:schemeClr w14:val="tx1"/>
                        </w14:solidFill>
                      </w14:textFill>
                    </w:rPr>
                  </w:pPr>
                  <w:r>
                    <w:rPr>
                      <w:rFonts w:hint="eastAsia" w:ascii="Times New Roman" w:hAnsi="宋体" w:eastAsia="宋体" w:cs="Times New Roman"/>
                      <w:b/>
                      <w:color w:val="000000" w:themeColor="text1"/>
                      <w:szCs w:val="21"/>
                      <w:lang w:eastAsia="zh-CN"/>
                      <w14:textFill>
                        <w14:solidFill>
                          <w14:schemeClr w14:val="tx1"/>
                        </w14:solidFill>
                      </w14:textFill>
                    </w:rPr>
                    <w:t>文件要求</w:t>
                  </w:r>
                </w:p>
              </w:tc>
              <w:tc>
                <w:tcPr>
                  <w:tcW w:w="2690" w:type="pct"/>
                  <w:vAlign w:val="center"/>
                </w:tcPr>
                <w:p w14:paraId="776C65E0">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宋体" w:eastAsia="宋体" w:cs="Times New Roman"/>
                      <w:b/>
                      <w:color w:val="000000" w:themeColor="text1"/>
                      <w:szCs w:val="21"/>
                      <w:lang w:eastAsia="zh-CN"/>
                      <w14:textFill>
                        <w14:solidFill>
                          <w14:schemeClr w14:val="tx1"/>
                        </w14:solidFill>
                      </w14:textFill>
                    </w:rPr>
                    <w:t>本项目</w:t>
                  </w:r>
                  <w:r>
                    <w:rPr>
                      <w:rFonts w:ascii="Times New Roman" w:hAnsi="宋体" w:eastAsia="宋体" w:cs="Times New Roman"/>
                      <w:b/>
                      <w:color w:val="000000" w:themeColor="text1"/>
                      <w:szCs w:val="21"/>
                      <w14:textFill>
                        <w14:solidFill>
                          <w14:schemeClr w14:val="tx1"/>
                        </w14:solidFill>
                      </w14:textFill>
                    </w:rPr>
                    <w:t>项目情况</w:t>
                  </w:r>
                </w:p>
              </w:tc>
              <w:tc>
                <w:tcPr>
                  <w:tcW w:w="273" w:type="pct"/>
                  <w:vAlign w:val="center"/>
                </w:tcPr>
                <w:p w14:paraId="66C2A57E">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宋体" w:eastAsia="宋体" w:cs="Times New Roman"/>
                      <w:b/>
                      <w:color w:val="000000" w:themeColor="text1"/>
                      <w:szCs w:val="21"/>
                      <w14:textFill>
                        <w14:solidFill>
                          <w14:schemeClr w14:val="tx1"/>
                        </w14:solidFill>
                      </w14:textFill>
                    </w:rPr>
                    <w:t>是否符合</w:t>
                  </w:r>
                </w:p>
              </w:tc>
            </w:tr>
            <w:tr w14:paraId="4B4C6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4" w:hRule="atLeast"/>
                <w:jc w:val="center"/>
              </w:trPr>
              <w:tc>
                <w:tcPr>
                  <w:tcW w:w="2036" w:type="pct"/>
                  <w:vAlign w:val="center"/>
                </w:tcPr>
                <w:p w14:paraId="4CD23957">
                  <w:pPr>
                    <w:spacing w:line="360" w:lineRule="auto"/>
                    <w:jc w:val="left"/>
                    <w:rPr>
                      <w:rFonts w:hint="eastAsia" w:ascii="Times New Roman" w:hAnsi="宋体" w:eastAsia="宋体" w:cs="Times New Roman"/>
                      <w:color w:val="000000" w:themeColor="text1"/>
                      <w:szCs w:val="21"/>
                      <w:lang w:val="en-US" w:eastAsia="zh-CN"/>
                      <w14:textFill>
                        <w14:solidFill>
                          <w14:schemeClr w14:val="tx1"/>
                        </w14:solidFill>
                      </w14:textFill>
                    </w:rPr>
                  </w:pPr>
                  <w:r>
                    <w:rPr>
                      <w:rFonts w:hint="eastAsia" w:ascii="Times New Roman" w:hAnsi="宋体" w:eastAsia="宋体" w:cs="Times New Roman"/>
                      <w:color w:val="000000" w:themeColor="text1"/>
                      <w:szCs w:val="21"/>
                      <w:lang w:val="en-US" w:eastAsia="zh-CN"/>
                      <w14:textFill>
                        <w14:solidFill>
                          <w14:schemeClr w14:val="tx1"/>
                        </w14:solidFill>
                      </w14:textFill>
                    </w:rPr>
                    <w:t>煤矿企业和有关科研机构应当加大斯抽采利用技术及施工工艺研究和装备研发，提高瓦斯抽采率和瓦斯利用率</w:t>
                  </w:r>
                </w:p>
              </w:tc>
              <w:tc>
                <w:tcPr>
                  <w:tcW w:w="2690" w:type="pct"/>
                  <w:vMerge w:val="restart"/>
                  <w:vAlign w:val="center"/>
                </w:tcPr>
                <w:p w14:paraId="5162E44E">
                  <w:pPr>
                    <w:spacing w:line="360" w:lineRule="auto"/>
                    <w:jc w:val="both"/>
                    <w:rPr>
                      <w:rFonts w:hint="eastAsia" w:ascii="Times New Roman" w:hAnsi="宋体" w:eastAsia="宋体" w:cs="Times New Roman"/>
                      <w:color w:val="000000" w:themeColor="text1"/>
                      <w:szCs w:val="21"/>
                      <w:lang w:val="en-US" w:eastAsia="zh-CN"/>
                      <w14:textFill>
                        <w14:solidFill>
                          <w14:schemeClr w14:val="tx1"/>
                        </w14:solidFill>
                      </w14:textFill>
                    </w:rPr>
                  </w:pPr>
                  <w:r>
                    <w:rPr>
                      <w:rFonts w:hint="eastAsia" w:ascii="Times New Roman" w:hAnsi="宋体" w:eastAsia="宋体" w:cs="Times New Roman"/>
                      <w:color w:val="000000" w:themeColor="text1"/>
                      <w:szCs w:val="21"/>
                      <w:lang w:val="en-US" w:eastAsia="zh-CN"/>
                      <w14:textFill>
                        <w14:solidFill>
                          <w14:schemeClr w14:val="tx1"/>
                        </w14:solidFill>
                      </w14:textFill>
                    </w:rPr>
                    <w:t>淮河能源控股集团有限公司为应对深部煤层瓦斯灾害，与淮南煤炭研究院所合作，提前做好深部煤层瓦斯治理技术储备，创新瓦斯治理模式，建设单位自2018年开始实验地面瓦斯治理井技术。潘一煤矿是潘谢矿区瓦斯灾害最严重的矿井，为退出产能矿井，潘一煤矿东区也是全国重点实验室的重要组成部分，本项目是潘一煤矿开展</w:t>
                  </w:r>
                  <w:r>
                    <w:rPr>
                      <w:rFonts w:hint="default" w:ascii="Times New Roman" w:hAnsi="宋体" w:eastAsia="宋体" w:cs="Times New Roman"/>
                      <w:color w:val="000000" w:themeColor="text1"/>
                      <w:szCs w:val="21"/>
                      <w:lang w:val="en-US" w:eastAsia="zh-CN"/>
                      <w14:textFill>
                        <w14:solidFill>
                          <w14:schemeClr w14:val="tx1"/>
                        </w14:solidFill>
                      </w14:textFill>
                    </w:rPr>
                    <w:t>松软低透煤层高瓦斯压力治理工程</w:t>
                  </w:r>
                  <w:r>
                    <w:rPr>
                      <w:rFonts w:hint="eastAsia" w:ascii="Times New Roman" w:hAnsi="宋体" w:eastAsia="宋体" w:cs="Times New Roman"/>
                      <w:color w:val="000000" w:themeColor="text1"/>
                      <w:szCs w:val="21"/>
                      <w:lang w:val="en-US" w:eastAsia="zh-CN"/>
                      <w14:textFill>
                        <w14:solidFill>
                          <w14:schemeClr w14:val="tx1"/>
                        </w14:solidFill>
                      </w14:textFill>
                    </w:rPr>
                    <w:t>试验项目中的一项项试验工程，旨在试用新装备，使用深穿透饱和体积压裂技术及快速放喷策略，以提高地面预抽效率。</w:t>
                  </w:r>
                </w:p>
              </w:tc>
              <w:tc>
                <w:tcPr>
                  <w:tcW w:w="273" w:type="pct"/>
                  <w:vAlign w:val="center"/>
                </w:tcPr>
                <w:p w14:paraId="36B33DEE">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宋体" w:eastAsia="宋体" w:cs="Times New Roman"/>
                      <w:color w:val="000000" w:themeColor="text1"/>
                      <w:szCs w:val="21"/>
                      <w14:textFill>
                        <w14:solidFill>
                          <w14:schemeClr w14:val="tx1"/>
                        </w14:solidFill>
                      </w14:textFill>
                    </w:rPr>
                    <w:t>符合</w:t>
                  </w:r>
                </w:p>
              </w:tc>
            </w:tr>
            <w:tr w14:paraId="69E59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6" w:hRule="atLeast"/>
                <w:jc w:val="center"/>
              </w:trPr>
              <w:tc>
                <w:tcPr>
                  <w:tcW w:w="2036" w:type="pct"/>
                  <w:vAlign w:val="center"/>
                </w:tcPr>
                <w:p w14:paraId="2EACCFA2">
                  <w:pPr>
                    <w:spacing w:line="360" w:lineRule="auto"/>
                    <w:jc w:val="left"/>
                    <w:rPr>
                      <w:rFonts w:hint="eastAsia" w:ascii="Times New Roman" w:hAnsi="宋体" w:eastAsia="宋体" w:cs="Times New Roman"/>
                      <w:color w:val="000000" w:themeColor="text1"/>
                      <w:szCs w:val="21"/>
                      <w:lang w:val="en-US" w:eastAsia="zh-CN"/>
                      <w14:textFill>
                        <w14:solidFill>
                          <w14:schemeClr w14:val="tx1"/>
                        </w14:solidFill>
                      </w14:textFill>
                    </w:rPr>
                  </w:pPr>
                  <w:r>
                    <w:rPr>
                      <w:rFonts w:hint="eastAsia" w:ascii="Times New Roman" w:hAnsi="宋体" w:eastAsia="宋体" w:cs="Times New Roman"/>
                      <w:color w:val="000000" w:themeColor="text1"/>
                      <w:szCs w:val="21"/>
                      <w:lang w:val="en-US" w:eastAsia="zh-CN"/>
                      <w14:textFill>
                        <w14:solidFill>
                          <w14:schemeClr w14:val="tx1"/>
                        </w14:solidFill>
                      </w14:textFill>
                    </w:rPr>
                    <w:t>支持煤矿企业及煤层气开发利用企业与有关科研院所合作，开展废弃矿区</w:t>
                  </w:r>
                  <w:r>
                    <w:rPr>
                      <w:rFonts w:hint="default" w:ascii="Times New Roman" w:hAnsi="宋体" w:eastAsia="宋体" w:cs="Times New Roman"/>
                      <w:color w:val="000000" w:themeColor="text1"/>
                      <w:szCs w:val="21"/>
                      <w:lang w:val="en-US" w:eastAsia="zh-CN"/>
                      <w14:textFill>
                        <w14:solidFill>
                          <w14:schemeClr w14:val="tx1"/>
                        </w14:solidFill>
                      </w14:textFill>
                    </w:rPr>
                    <w:t>(</w:t>
                  </w:r>
                  <w:r>
                    <w:rPr>
                      <w:rFonts w:hint="eastAsia" w:ascii="Times New Roman" w:hAnsi="宋体" w:eastAsia="宋体" w:cs="Times New Roman"/>
                      <w:color w:val="000000" w:themeColor="text1"/>
                      <w:szCs w:val="21"/>
                      <w:lang w:val="en-US" w:eastAsia="zh-CN"/>
                      <w14:textFill>
                        <w14:solidFill>
                          <w14:schemeClr w14:val="tx1"/>
                        </w14:solidFill>
                      </w14:textFill>
                    </w:rPr>
                    <w:t>采区</w:t>
                  </w:r>
                  <w:r>
                    <w:rPr>
                      <w:rFonts w:hint="default" w:ascii="Times New Roman" w:hAnsi="宋体" w:eastAsia="宋体" w:cs="Times New Roman"/>
                      <w:color w:val="000000" w:themeColor="text1"/>
                      <w:szCs w:val="21"/>
                      <w:lang w:val="en-US" w:eastAsia="zh-CN"/>
                      <w14:textFill>
                        <w14:solidFill>
                          <w14:schemeClr w14:val="tx1"/>
                        </w14:solidFill>
                      </w14:textFill>
                    </w:rPr>
                    <w:t xml:space="preserve">) </w:t>
                  </w:r>
                  <w:r>
                    <w:rPr>
                      <w:rFonts w:hint="eastAsia" w:ascii="Times New Roman" w:hAnsi="宋体" w:eastAsia="宋体" w:cs="Times New Roman"/>
                      <w:color w:val="000000" w:themeColor="text1"/>
                      <w:szCs w:val="21"/>
                      <w:lang w:val="en-US" w:eastAsia="zh-CN"/>
                      <w14:textFill>
                        <w14:solidFill>
                          <w14:schemeClr w14:val="tx1"/>
                        </w14:solidFill>
                      </w14:textFill>
                    </w:rPr>
                    <w:t>瓦斯抽采、全浓度瓦斯应用等技术工艺研究和装备研发。</w:t>
                  </w:r>
                </w:p>
              </w:tc>
              <w:tc>
                <w:tcPr>
                  <w:tcW w:w="2690" w:type="pct"/>
                  <w:vMerge w:val="continue"/>
                  <w:vAlign w:val="center"/>
                </w:tcPr>
                <w:p w14:paraId="7B1E62EB">
                  <w:pPr>
                    <w:spacing w:line="360" w:lineRule="auto"/>
                    <w:jc w:val="center"/>
                    <w:rPr>
                      <w:rFonts w:hint="eastAsia" w:ascii="Times New Roman" w:hAnsi="宋体" w:eastAsia="宋体" w:cs="Times New Roman"/>
                      <w:color w:val="000000" w:themeColor="text1"/>
                      <w:szCs w:val="21"/>
                      <w:lang w:val="en-US" w:eastAsia="zh-CN"/>
                      <w14:textFill>
                        <w14:solidFill>
                          <w14:schemeClr w14:val="tx1"/>
                        </w14:solidFill>
                      </w14:textFill>
                    </w:rPr>
                  </w:pPr>
                </w:p>
              </w:tc>
              <w:tc>
                <w:tcPr>
                  <w:tcW w:w="273" w:type="pct"/>
                  <w:vAlign w:val="center"/>
                </w:tcPr>
                <w:p w14:paraId="401E87BD">
                  <w:pPr>
                    <w:spacing w:line="360" w:lineRule="auto"/>
                    <w:jc w:val="center"/>
                    <w:rPr>
                      <w:rFonts w:hint="eastAsia" w:ascii="Times New Roman" w:hAnsi="宋体" w:eastAsia="宋体" w:cs="Times New Roman"/>
                      <w:color w:val="000000" w:themeColor="text1"/>
                      <w:szCs w:val="21"/>
                      <w:lang w:val="en-US" w:eastAsia="zh-CN"/>
                      <w14:textFill>
                        <w14:solidFill>
                          <w14:schemeClr w14:val="tx1"/>
                        </w14:solidFill>
                      </w14:textFill>
                    </w:rPr>
                  </w:pPr>
                  <w:r>
                    <w:rPr>
                      <w:rFonts w:hint="eastAsia" w:ascii="Times New Roman" w:hAnsi="宋体" w:eastAsia="宋体" w:cs="Times New Roman"/>
                      <w:color w:val="000000" w:themeColor="text1"/>
                      <w:szCs w:val="21"/>
                      <w:lang w:val="en-US" w:eastAsia="zh-CN"/>
                      <w14:textFill>
                        <w14:solidFill>
                          <w14:schemeClr w14:val="tx1"/>
                        </w14:solidFill>
                      </w14:textFill>
                    </w:rPr>
                    <w:t>符合</w:t>
                  </w:r>
                </w:p>
              </w:tc>
            </w:tr>
            <w:tr w14:paraId="06F8F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36" w:type="pct"/>
                  <w:vAlign w:val="center"/>
                </w:tcPr>
                <w:p w14:paraId="0A42D7CB">
                  <w:pPr>
                    <w:spacing w:line="360" w:lineRule="auto"/>
                    <w:jc w:val="center"/>
                    <w:rPr>
                      <w:rFonts w:hint="eastAsia" w:ascii="Times New Roman" w:hAnsi="宋体" w:eastAsia="宋体" w:cs="Times New Roman"/>
                      <w:color w:val="000000" w:themeColor="text1"/>
                      <w:szCs w:val="21"/>
                      <w:lang w:val="en-US" w:eastAsia="zh-CN"/>
                      <w14:textFill>
                        <w14:solidFill>
                          <w14:schemeClr w14:val="tx1"/>
                        </w14:solidFill>
                      </w14:textFill>
                    </w:rPr>
                  </w:pPr>
                  <w:r>
                    <w:rPr>
                      <w:rFonts w:hint="eastAsia" w:ascii="Times New Roman" w:hAnsi="宋体" w:eastAsia="宋体" w:cs="Times New Roman"/>
                      <w:color w:val="000000" w:themeColor="text1"/>
                      <w:szCs w:val="21"/>
                      <w:lang w:val="en-US" w:eastAsia="zh-CN"/>
                      <w14:textFill>
                        <w14:solidFill>
                          <w14:schemeClr w14:val="tx1"/>
                        </w14:solidFill>
                      </w14:textFill>
                    </w:rPr>
                    <w:t>煤矿瓦斯抽采利用项目包括井下抽采系统，地面钻井抽采、泵站，输配气管网及井场、阀室等其它配套安全设施。</w:t>
                  </w:r>
                </w:p>
              </w:tc>
              <w:tc>
                <w:tcPr>
                  <w:tcW w:w="2690" w:type="pct"/>
                  <w:vAlign w:val="center"/>
                </w:tcPr>
                <w:p w14:paraId="457F7903">
                  <w:pPr>
                    <w:spacing w:line="360" w:lineRule="auto"/>
                    <w:jc w:val="center"/>
                    <w:rPr>
                      <w:rFonts w:hint="eastAsia" w:ascii="Times New Roman" w:hAnsi="宋体" w:eastAsia="宋体" w:cs="Times New Roman"/>
                      <w:color w:val="000000" w:themeColor="text1"/>
                      <w:szCs w:val="21"/>
                      <w:lang w:val="en-US" w:eastAsia="zh-CN"/>
                      <w14:textFill>
                        <w14:solidFill>
                          <w14:schemeClr w14:val="tx1"/>
                        </w14:solidFill>
                      </w14:textFill>
                    </w:rPr>
                  </w:pPr>
                  <w:r>
                    <w:rPr>
                      <w:rFonts w:hint="eastAsia" w:ascii="Times New Roman" w:hAnsi="宋体" w:eastAsia="宋体" w:cs="Times New Roman"/>
                      <w:color w:val="000000" w:themeColor="text1"/>
                      <w:szCs w:val="21"/>
                      <w:lang w:val="en-US" w:eastAsia="zh-CN"/>
                      <w14:textFill>
                        <w14:solidFill>
                          <w14:schemeClr w14:val="tx1"/>
                        </w14:solidFill>
                      </w14:textFill>
                    </w:rPr>
                    <w:t>本项目为地面钻井抽采，配套建设瓦斯安全输送管道，管道连通至潘一东区瓦斯发电站，输送过程配置安全输送设施。</w:t>
                  </w:r>
                </w:p>
                <w:p w14:paraId="3388CA1A">
                  <w:pPr>
                    <w:spacing w:line="360" w:lineRule="auto"/>
                    <w:jc w:val="center"/>
                    <w:rPr>
                      <w:rFonts w:hint="eastAsia" w:ascii="Times New Roman" w:hAnsi="宋体" w:eastAsia="宋体" w:cs="Times New Roman"/>
                      <w:color w:val="000000" w:themeColor="text1"/>
                      <w:szCs w:val="21"/>
                      <w:lang w:val="en-US" w:eastAsia="zh-CN"/>
                      <w14:textFill>
                        <w14:solidFill>
                          <w14:schemeClr w14:val="tx1"/>
                        </w14:solidFill>
                      </w14:textFill>
                    </w:rPr>
                  </w:pPr>
                </w:p>
              </w:tc>
              <w:tc>
                <w:tcPr>
                  <w:tcW w:w="273" w:type="pct"/>
                  <w:vAlign w:val="center"/>
                </w:tcPr>
                <w:p w14:paraId="330DC516">
                  <w:pPr>
                    <w:spacing w:line="360" w:lineRule="auto"/>
                    <w:jc w:val="center"/>
                    <w:rPr>
                      <w:rFonts w:hint="eastAsia" w:ascii="Times New Roman" w:hAnsi="宋体" w:eastAsia="宋体" w:cs="Times New Roman"/>
                      <w:color w:val="000000" w:themeColor="text1"/>
                      <w:szCs w:val="21"/>
                      <w:lang w:val="en-US" w:eastAsia="zh-CN"/>
                      <w14:textFill>
                        <w14:solidFill>
                          <w14:schemeClr w14:val="tx1"/>
                        </w14:solidFill>
                      </w14:textFill>
                    </w:rPr>
                  </w:pPr>
                  <w:r>
                    <w:rPr>
                      <w:rFonts w:hint="eastAsia" w:ascii="Times New Roman" w:hAnsi="宋体" w:eastAsia="宋体" w:cs="Times New Roman"/>
                      <w:color w:val="000000" w:themeColor="text1"/>
                      <w:szCs w:val="21"/>
                      <w:lang w:val="en-US" w:eastAsia="zh-CN"/>
                      <w14:textFill>
                        <w14:solidFill>
                          <w14:schemeClr w14:val="tx1"/>
                        </w14:solidFill>
                      </w14:textFill>
                    </w:rPr>
                    <w:t>符合</w:t>
                  </w:r>
                </w:p>
              </w:tc>
            </w:tr>
          </w:tbl>
          <w:p w14:paraId="53037A4E">
            <w:pPr>
              <w:autoSpaceDE w:val="0"/>
              <w:autoSpaceDN w:val="0"/>
              <w:spacing w:line="360" w:lineRule="auto"/>
              <w:rPr>
                <w:rFonts w:ascii="Times New Roman" w:hAnsi="Times New Roman" w:eastAsia="宋体" w:cs="Times New Roman"/>
                <w:color w:val="FF0000"/>
                <w:kern w:val="0"/>
                <w:sz w:val="24"/>
                <w:szCs w:val="24"/>
              </w:rPr>
            </w:pPr>
          </w:p>
        </w:tc>
      </w:tr>
    </w:tbl>
    <w:p w14:paraId="48C5EA49">
      <w:pPr>
        <w:spacing w:line="360" w:lineRule="auto"/>
        <w:outlineLvl w:val="0"/>
        <w:rPr>
          <w:rFonts w:ascii="Times New Roman" w:hAnsi="Times New Roman" w:eastAsia="黑体" w:cs="Times New Roman"/>
          <w:color w:val="FF0000"/>
          <w:sz w:val="30"/>
          <w:szCs w:val="24"/>
        </w:rPr>
        <w:sectPr>
          <w:footerReference r:id="rId5" w:type="default"/>
          <w:pgSz w:w="11906" w:h="16838"/>
          <w:pgMar w:top="1701" w:right="1531" w:bottom="1701" w:left="1531" w:header="851" w:footer="992" w:gutter="0"/>
          <w:pgNumType w:start="1"/>
          <w:cols w:space="720" w:num="1"/>
          <w:docGrid w:type="lines" w:linePitch="312" w:charSpace="0"/>
        </w:sectPr>
      </w:pPr>
    </w:p>
    <w:p w14:paraId="72BC8950">
      <w:pPr>
        <w:widowControl/>
        <w:spacing w:before="100" w:beforeAutospacing="1" w:after="100" w:afterAutospacing="1"/>
        <w:jc w:val="center"/>
        <w:outlineLvl w:val="0"/>
        <w:rPr>
          <w:rFonts w:ascii="黑体" w:hAnsi="黑体" w:eastAsia="黑体" w:cs="Times New Roman"/>
          <w:snapToGrid w:val="0"/>
          <w:color w:val="000000" w:themeColor="text1"/>
          <w:kern w:val="0"/>
          <w:sz w:val="30"/>
          <w:szCs w:val="30"/>
          <w14:textFill>
            <w14:solidFill>
              <w14:schemeClr w14:val="tx1"/>
            </w14:solidFill>
          </w14:textFill>
        </w:rPr>
      </w:pPr>
      <w:r>
        <w:rPr>
          <w:rFonts w:hint="eastAsia" w:ascii="黑体" w:hAnsi="黑体" w:eastAsia="黑体" w:cs="Times New Roman"/>
          <w:snapToGrid w:val="0"/>
          <w:color w:val="000000" w:themeColor="text1"/>
          <w:kern w:val="0"/>
          <w:sz w:val="30"/>
          <w:szCs w:val="30"/>
          <w14:textFill>
            <w14:solidFill>
              <w14:schemeClr w14:val="tx1"/>
            </w14:solidFill>
          </w14:textFill>
        </w:rPr>
        <w:t>二、建设内容</w:t>
      </w:r>
    </w:p>
    <w:tbl>
      <w:tblPr>
        <w:tblStyle w:val="2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18"/>
        <w:gridCol w:w="8094"/>
      </w:tblGrid>
      <w:tr w14:paraId="1E775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89" w:type="pct"/>
            <w:vAlign w:val="center"/>
          </w:tcPr>
          <w:p w14:paraId="228C6226">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地理位置</w:t>
            </w:r>
          </w:p>
        </w:tc>
        <w:tc>
          <w:tcPr>
            <w:tcW w:w="4810" w:type="pct"/>
            <w:vAlign w:val="center"/>
          </w:tcPr>
          <w:p w14:paraId="74DA05D1">
            <w:pPr>
              <w:spacing w:line="360" w:lineRule="auto"/>
              <w:ind w:firstLine="480" w:firstLineChars="200"/>
              <w:rPr>
                <w:rFonts w:hint="eastAsia" w:ascii="Times New Roman" w:hAnsi="Times New Roman" w:eastAsia="宋体" w:cs="Times New Roman"/>
                <w:bCs/>
                <w:color w:val="auto"/>
                <w:sz w:val="24"/>
                <w:szCs w:val="24"/>
                <w:lang w:eastAsia="zh-CN"/>
              </w:rPr>
            </w:pPr>
            <w:r>
              <w:rPr>
                <w:rFonts w:hint="eastAsia" w:ascii="Times New Roman" w:hAnsi="宋体" w:eastAsia="宋体" w:cs="Times New Roman"/>
                <w:color w:val="auto"/>
                <w:sz w:val="24"/>
                <w:szCs w:val="24"/>
                <w:lang w:eastAsia="zh-CN"/>
              </w:rPr>
              <w:t>淮南矿区深部松软低透煤层高瓦斯压力治理工程潘一煤矿21324工作面地面预抽井项目共布置</w:t>
            </w:r>
            <w:r>
              <w:rPr>
                <w:rFonts w:hint="eastAsia" w:ascii="Times New Roman" w:hAnsi="宋体" w:eastAsia="宋体" w:cs="Times New Roman"/>
                <w:color w:val="auto"/>
                <w:sz w:val="24"/>
                <w:szCs w:val="24"/>
                <w:lang w:val="en-US" w:eastAsia="zh-CN"/>
              </w:rPr>
              <w:t>1</w:t>
            </w:r>
            <w:r>
              <w:rPr>
                <w:rFonts w:hint="eastAsia" w:ascii="Times New Roman" w:hAnsi="宋体" w:eastAsia="宋体" w:cs="Times New Roman"/>
                <w:color w:val="auto"/>
                <w:sz w:val="24"/>
                <w:szCs w:val="24"/>
                <w:lang w:eastAsia="zh-CN"/>
              </w:rPr>
              <w:t>个井场</w:t>
            </w:r>
            <w:r>
              <w:rPr>
                <w:rFonts w:hint="eastAsia" w:ascii="Times New Roman" w:hAnsi="宋体" w:eastAsia="宋体" w:cs="Times New Roman"/>
                <w:color w:val="auto"/>
                <w:sz w:val="24"/>
                <w:szCs w:val="24"/>
                <w:lang w:val="en-US" w:eastAsia="zh-CN"/>
              </w:rPr>
              <w:t>施工场地</w:t>
            </w:r>
            <w:r>
              <w:rPr>
                <w:rFonts w:hint="eastAsia" w:ascii="Times New Roman" w:hAnsi="宋体" w:eastAsia="宋体" w:cs="Times New Roman"/>
                <w:color w:val="auto"/>
                <w:sz w:val="24"/>
                <w:szCs w:val="24"/>
                <w:lang w:eastAsia="zh-CN"/>
              </w:rPr>
              <w:t>，布置</w:t>
            </w:r>
            <w:r>
              <w:rPr>
                <w:rFonts w:hint="eastAsia" w:ascii="Times New Roman" w:hAnsi="宋体" w:eastAsia="宋体" w:cs="Times New Roman"/>
                <w:color w:val="auto"/>
                <w:sz w:val="24"/>
                <w:szCs w:val="24"/>
                <w:lang w:val="en-US" w:eastAsia="zh-CN"/>
              </w:rPr>
              <w:t>2</w:t>
            </w:r>
            <w:r>
              <w:rPr>
                <w:rFonts w:hint="eastAsia" w:ascii="Times New Roman" w:hAnsi="宋体" w:eastAsia="宋体" w:cs="Times New Roman"/>
                <w:color w:val="auto"/>
                <w:sz w:val="24"/>
                <w:szCs w:val="24"/>
                <w:lang w:eastAsia="zh-CN"/>
              </w:rPr>
              <w:t>口钻井</w:t>
            </w:r>
            <w:r>
              <w:rPr>
                <w:rFonts w:hint="eastAsia" w:ascii="Times New Roman" w:hAnsi="宋体" w:eastAsia="宋体" w:cs="Times New Roman"/>
                <w:color w:val="auto"/>
                <w:sz w:val="24"/>
                <w:szCs w:val="24"/>
                <w:lang w:val="en-US" w:eastAsia="zh-CN"/>
              </w:rPr>
              <w:t>，设置1条</w:t>
            </w:r>
            <w:r>
              <w:rPr>
                <w:rFonts w:hint="eastAsia" w:ascii="Times New Roman" w:hAnsi="宋体" w:eastAsia="宋体" w:cs="Times New Roman"/>
                <w:color w:val="auto"/>
                <w:sz w:val="24"/>
                <w:szCs w:val="24"/>
                <w:lang w:eastAsia="zh-CN"/>
              </w:rPr>
              <w:t>输气管路，</w:t>
            </w:r>
            <w:r>
              <w:rPr>
                <w:rFonts w:hint="eastAsia" w:ascii="Times New Roman" w:hAnsi="宋体" w:eastAsia="宋体" w:cs="Times New Roman"/>
                <w:color w:val="auto"/>
                <w:sz w:val="24"/>
                <w:szCs w:val="24"/>
                <w:lang w:val="en-US" w:eastAsia="zh-CN"/>
              </w:rPr>
              <w:t>总</w:t>
            </w:r>
            <w:r>
              <w:rPr>
                <w:rFonts w:hint="eastAsia" w:ascii="Times New Roman" w:hAnsi="宋体" w:eastAsia="宋体" w:cs="Times New Roman"/>
                <w:color w:val="auto"/>
                <w:sz w:val="24"/>
                <w:szCs w:val="24"/>
                <w:lang w:eastAsia="zh-CN"/>
              </w:rPr>
              <w:t>长约</w:t>
            </w:r>
            <w:r>
              <w:rPr>
                <w:rFonts w:hint="eastAsia" w:ascii="Times New Roman" w:hAnsi="宋体" w:eastAsia="宋体" w:cs="Times New Roman"/>
                <w:color w:val="auto"/>
                <w:sz w:val="24"/>
                <w:szCs w:val="24"/>
                <w:lang w:val="en-US" w:eastAsia="zh-CN"/>
              </w:rPr>
              <w:t>1070m</w:t>
            </w:r>
            <w:r>
              <w:rPr>
                <w:rFonts w:hint="eastAsia" w:ascii="Times New Roman" w:hAnsi="宋体" w:eastAsia="宋体" w:cs="Times New Roman"/>
                <w:color w:val="auto"/>
                <w:sz w:val="24"/>
                <w:szCs w:val="24"/>
                <w:lang w:eastAsia="zh-CN"/>
              </w:rPr>
              <w:t>（含井场内支管），施工井场和输气管路均位于安徽省淮南市潘集区夹沟镇新集村附近。详细地理位置见附图。</w:t>
            </w:r>
          </w:p>
        </w:tc>
      </w:tr>
      <w:tr w14:paraId="0345A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578" w:hRule="atLeast"/>
          <w:jc w:val="center"/>
        </w:trPr>
        <w:tc>
          <w:tcPr>
            <w:tcW w:w="189" w:type="pct"/>
            <w:vAlign w:val="center"/>
          </w:tcPr>
          <w:p w14:paraId="3BFA6745">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项目组成及规模</w:t>
            </w:r>
          </w:p>
        </w:tc>
        <w:tc>
          <w:tcPr>
            <w:tcW w:w="4810" w:type="pct"/>
            <w:vAlign w:val="center"/>
          </w:tcPr>
          <w:p w14:paraId="1BFA48C0">
            <w:pPr>
              <w:spacing w:line="360" w:lineRule="auto"/>
              <w:ind w:firstLine="480" w:firstLineChars="200"/>
              <w:rPr>
                <w:rFonts w:hint="default"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1、项目背景</w:t>
            </w:r>
          </w:p>
          <w:p w14:paraId="4B49373E">
            <w:pPr>
              <w:pStyle w:val="96"/>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en-US" w:eastAsia="zh-CN" w:bidi="ar-SA"/>
              </w:rPr>
              <w:t>潘一煤矿为</w:t>
            </w:r>
            <w:r>
              <w:rPr>
                <w:rFonts w:hint="eastAsia" w:ascii="Times New Roman" w:eastAsia="宋体" w:cs="Times New Roman"/>
                <w:color w:val="auto"/>
                <w:kern w:val="2"/>
                <w:sz w:val="24"/>
                <w:szCs w:val="24"/>
                <w:lang w:val="en-US" w:eastAsia="zh-CN" w:bidi="ar-SA"/>
              </w:rPr>
              <w:t>淮南矿业集团有限责任公司所属矿井，</w:t>
            </w:r>
            <w:r>
              <w:rPr>
                <w:rFonts w:hint="eastAsia" w:ascii="Times New Roman" w:hAnsi="宋体" w:eastAsia="宋体" w:cs="Times New Roman"/>
                <w:color w:val="auto"/>
                <w:kern w:val="2"/>
                <w:sz w:val="24"/>
                <w:szCs w:val="24"/>
                <w:lang w:val="en-US" w:eastAsia="zh-CN" w:bidi="ar-SA"/>
              </w:rPr>
              <w:t>退出产能矿井之一，2018年</w:t>
            </w:r>
            <w:r>
              <w:rPr>
                <w:rFonts w:hint="eastAsia" w:ascii="Times New Roman" w:eastAsia="宋体" w:cs="Times New Roman"/>
                <w:color w:val="auto"/>
                <w:kern w:val="2"/>
                <w:sz w:val="24"/>
                <w:szCs w:val="24"/>
                <w:lang w:val="en-US" w:eastAsia="zh-CN" w:bidi="ar-SA"/>
              </w:rPr>
              <w:t>因国家政策调整原因，潘一煤矿为</w:t>
            </w:r>
            <w:r>
              <w:rPr>
                <w:rFonts w:hint="eastAsia" w:ascii="Times New Roman" w:hAnsi="宋体" w:eastAsia="宋体" w:cs="Times New Roman"/>
                <w:color w:val="auto"/>
                <w:kern w:val="2"/>
                <w:sz w:val="24"/>
                <w:szCs w:val="24"/>
                <w:lang w:val="en-US" w:eastAsia="zh-CN" w:bidi="ar-SA"/>
              </w:rPr>
              <w:t>退出产能矿井之一</w:t>
            </w:r>
            <w:r>
              <w:rPr>
                <w:rFonts w:hint="eastAsia" w:ascii="Times New Roman" w:eastAsia="宋体" w:cs="Times New Roman"/>
                <w:color w:val="auto"/>
                <w:kern w:val="2"/>
                <w:sz w:val="24"/>
                <w:szCs w:val="24"/>
                <w:lang w:val="en-US" w:eastAsia="zh-CN" w:bidi="ar-SA"/>
              </w:rPr>
              <w:t>，同年</w:t>
            </w:r>
            <w:r>
              <w:rPr>
                <w:rFonts w:hint="eastAsia" w:ascii="Times New Roman" w:hAnsi="宋体" w:eastAsia="宋体" w:cs="Times New Roman"/>
                <w:color w:val="auto"/>
                <w:kern w:val="2"/>
                <w:sz w:val="24"/>
                <w:szCs w:val="24"/>
                <w:lang w:val="en-US" w:eastAsia="zh-CN" w:bidi="ar-SA"/>
              </w:rPr>
              <w:t>10月停止生产并通过了化解过剩产能验收，各井筒均按照要求进行了封闭，采矿许可证、安全生产许可证均按要求进行了注销。</w:t>
            </w:r>
          </w:p>
          <w:p w14:paraId="0AAE83AE">
            <w:pPr>
              <w:spacing w:line="360" w:lineRule="auto"/>
              <w:ind w:firstLine="480" w:firstLineChars="200"/>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en-US" w:eastAsia="zh-CN" w:bidi="ar-SA"/>
              </w:rPr>
              <w:t>按照国家矿山安全监察局关于开展深部矿井重大灾害治理工程试验的工作要求，集团公司编制了《淮南矿区松软低透煤层高瓦斯压力治理工程试验方案》。考虑到潘一煤矿是潘谢矿区瓦斯灾害最严重的矿井，具有代表性，潘一煤矿东区又是全重实验室的重要组成部分，且潘一煤矿为退出产能矿井，在潘一煤矿东区（属于潘一煤矿其中的一个区）井下开展工业性试验，不受采掘、运输等生产活动影响，试验条件得天独厚，因此拟在潘一煤矿开展</w:t>
            </w:r>
            <w:r>
              <w:rPr>
                <w:rFonts w:hint="default" w:ascii="Times New Roman" w:hAnsi="宋体" w:eastAsia="宋体" w:cs="Times New Roman"/>
                <w:color w:val="auto"/>
                <w:kern w:val="2"/>
                <w:sz w:val="24"/>
                <w:szCs w:val="24"/>
                <w:lang w:val="en-US" w:eastAsia="zh-CN" w:bidi="ar-SA"/>
              </w:rPr>
              <w:t>松软低透煤层高瓦斯压力治理工程</w:t>
            </w:r>
            <w:r>
              <w:rPr>
                <w:rFonts w:hint="eastAsia" w:ascii="Times New Roman" w:hAnsi="宋体" w:eastAsia="宋体" w:cs="Times New Roman"/>
                <w:color w:val="auto"/>
                <w:kern w:val="2"/>
                <w:sz w:val="24"/>
                <w:szCs w:val="24"/>
                <w:lang w:val="en-US" w:eastAsia="zh-CN" w:bidi="ar-SA"/>
              </w:rPr>
              <w:t>试验，潘一煤矿21324</w:t>
            </w:r>
            <w:r>
              <w:rPr>
                <w:rFonts w:hint="default" w:ascii="Times New Roman" w:hAnsi="宋体" w:eastAsia="宋体" w:cs="Times New Roman"/>
                <w:color w:val="auto"/>
                <w:kern w:val="2"/>
                <w:sz w:val="24"/>
                <w:szCs w:val="24"/>
                <w:lang w:val="en-US" w:eastAsia="zh-CN" w:bidi="ar-SA"/>
              </w:rPr>
              <w:t>工作面</w:t>
            </w:r>
            <w:r>
              <w:rPr>
                <w:rFonts w:hint="eastAsia" w:ascii="Times New Roman" w:hAnsi="宋体" w:eastAsia="宋体" w:cs="Times New Roman"/>
                <w:color w:val="auto"/>
                <w:kern w:val="2"/>
                <w:sz w:val="24"/>
                <w:szCs w:val="24"/>
                <w:lang w:val="en-US" w:eastAsia="zh-CN" w:bidi="ar-SA"/>
              </w:rPr>
              <w:t>地面预抽井是其中一项试验工程。采用地面井预抽区域防突措施，可降低煤层瓦斯压力，为高瓦斯矿井安全生产提供技术支持与经验。</w:t>
            </w:r>
          </w:p>
          <w:p w14:paraId="5BE0479C">
            <w:pPr>
              <w:spacing w:line="360" w:lineRule="auto"/>
              <w:ind w:firstLine="480" w:firstLineChars="200"/>
              <w:rPr>
                <w:rFonts w:hint="eastAsia" w:ascii="Times New Roman" w:hAnsi="宋体" w:eastAsia="宋体" w:cs="Times New Roman"/>
                <w:color w:val="auto"/>
                <w:sz w:val="24"/>
                <w:szCs w:val="24"/>
                <w:highlight w:val="none"/>
                <w:lang w:eastAsia="zh-CN"/>
              </w:rPr>
            </w:pPr>
            <w:r>
              <w:rPr>
                <w:rFonts w:hint="eastAsia" w:ascii="Times New Roman" w:hAnsi="宋体" w:eastAsia="宋体" w:cs="Times New Roman"/>
                <w:color w:val="auto"/>
                <w:kern w:val="2"/>
                <w:sz w:val="24"/>
                <w:szCs w:val="24"/>
                <w:lang w:val="en-US" w:eastAsia="zh-CN" w:bidi="ar-SA"/>
              </w:rPr>
              <w:t>本项目施工瓦斯地面区域治理范围为21314首采面，设计治理的目标煤层为4-1煤层。</w:t>
            </w:r>
            <w:r>
              <w:rPr>
                <w:rFonts w:hint="eastAsia" w:ascii="Times New Roman" w:hAnsi="宋体" w:eastAsia="宋体" w:cs="Times New Roman"/>
                <w:color w:val="auto"/>
                <w:sz w:val="24"/>
                <w:szCs w:val="24"/>
                <w:highlight w:val="none"/>
                <w:lang w:eastAsia="zh-CN"/>
              </w:rPr>
              <w:t>项目于202</w:t>
            </w:r>
            <w:r>
              <w:rPr>
                <w:rFonts w:hint="eastAsia" w:ascii="Times New Roman" w:hAnsi="宋体" w:eastAsia="宋体" w:cs="Times New Roman"/>
                <w:color w:val="auto"/>
                <w:sz w:val="24"/>
                <w:szCs w:val="24"/>
                <w:highlight w:val="none"/>
                <w:lang w:val="en-US" w:eastAsia="zh-CN"/>
              </w:rPr>
              <w:t>5</w:t>
            </w:r>
            <w:r>
              <w:rPr>
                <w:rFonts w:hint="eastAsia" w:ascii="Times New Roman" w:hAnsi="宋体" w:eastAsia="宋体" w:cs="Times New Roman"/>
                <w:color w:val="auto"/>
                <w:sz w:val="24"/>
                <w:szCs w:val="24"/>
                <w:highlight w:val="none"/>
                <w:lang w:eastAsia="zh-CN"/>
              </w:rPr>
              <w:t>年</w:t>
            </w:r>
            <w:r>
              <w:rPr>
                <w:rFonts w:hint="eastAsia" w:ascii="Times New Roman" w:hAnsi="宋体" w:eastAsia="宋体" w:cs="Times New Roman"/>
                <w:color w:val="auto"/>
                <w:sz w:val="24"/>
                <w:szCs w:val="24"/>
                <w:highlight w:val="none"/>
                <w:lang w:val="en-US" w:eastAsia="zh-CN"/>
              </w:rPr>
              <w:t>2</w:t>
            </w:r>
            <w:r>
              <w:rPr>
                <w:rFonts w:hint="eastAsia" w:ascii="Times New Roman" w:hAnsi="宋体" w:eastAsia="宋体" w:cs="Times New Roman"/>
                <w:color w:val="auto"/>
                <w:sz w:val="24"/>
                <w:szCs w:val="24"/>
                <w:highlight w:val="none"/>
                <w:lang w:eastAsia="zh-CN"/>
              </w:rPr>
              <w:t>月</w:t>
            </w:r>
            <w:r>
              <w:rPr>
                <w:rFonts w:hint="eastAsia" w:ascii="Times New Roman" w:hAnsi="宋体" w:eastAsia="宋体" w:cs="Times New Roman"/>
                <w:color w:val="auto"/>
                <w:sz w:val="24"/>
                <w:szCs w:val="24"/>
                <w:highlight w:val="none"/>
                <w:lang w:val="en-US" w:eastAsia="zh-CN"/>
              </w:rPr>
              <w:t>6</w:t>
            </w:r>
            <w:r>
              <w:rPr>
                <w:rFonts w:hint="eastAsia" w:ascii="Times New Roman" w:hAnsi="宋体" w:eastAsia="宋体" w:cs="Times New Roman"/>
                <w:color w:val="auto"/>
                <w:sz w:val="24"/>
                <w:szCs w:val="24"/>
                <w:highlight w:val="none"/>
                <w:lang w:eastAsia="zh-CN"/>
              </w:rPr>
              <w:t>日经潘集区发展和改革委员会备案，代码为2502-340406-04-01-454467。</w:t>
            </w:r>
          </w:p>
          <w:p w14:paraId="6D9B6C8F">
            <w:pPr>
              <w:spacing w:line="360" w:lineRule="auto"/>
              <w:ind w:firstLine="480" w:firstLineChars="200"/>
              <w:rPr>
                <w:rFonts w:ascii="Times New Roman" w:hAnsi="宋体" w:eastAsia="宋体" w:cs="Times New Roman"/>
                <w:color w:val="auto"/>
                <w:sz w:val="24"/>
                <w:szCs w:val="24"/>
              </w:rPr>
            </w:pPr>
            <w:r>
              <w:rPr>
                <w:rFonts w:ascii="Times New Roman" w:hAnsi="Times New Roman" w:eastAsia="宋体" w:cs="Times New Roman"/>
                <w:color w:val="auto"/>
                <w:kern w:val="0"/>
                <w:sz w:val="24"/>
                <w:szCs w:val="24"/>
              </w:rPr>
              <w:t>根据《中华人民共和国环境保护</w:t>
            </w:r>
            <w:r>
              <w:rPr>
                <w:rFonts w:ascii="Times New Roman" w:hAnsi="宋体" w:eastAsia="宋体" w:cs="Times New Roman"/>
                <w:color w:val="auto"/>
                <w:sz w:val="24"/>
                <w:szCs w:val="24"/>
              </w:rPr>
              <w:t>法》《建设项目环境保护管理条列》和《建设项目环境影响评价分类管理名录》（</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rPr>
              <w:t>21</w:t>
            </w:r>
            <w:r>
              <w:rPr>
                <w:rFonts w:ascii="Times New Roman" w:hAnsi="宋体" w:eastAsia="宋体" w:cs="Times New Roman"/>
                <w:color w:val="auto"/>
                <w:sz w:val="24"/>
                <w:szCs w:val="24"/>
              </w:rPr>
              <w:t>年版），本项目属于</w:t>
            </w:r>
            <w:r>
              <w:rPr>
                <w:rFonts w:hint="eastAsia" w:ascii="Times New Roman" w:hAnsi="Times New Roman" w:eastAsia="宋体" w:cs="Times New Roman"/>
                <w:color w:val="auto"/>
                <w:sz w:val="24"/>
                <w:szCs w:val="24"/>
                <w:lang w:eastAsia="zh-CN"/>
              </w:rPr>
              <w:t>“</w:t>
            </w:r>
            <w:r>
              <w:rPr>
                <w:rFonts w:hint="eastAsia" w:ascii="宋体" w:hAnsi="宋体" w:eastAsia="宋体" w:cs="宋体"/>
                <w:color w:val="000000"/>
                <w:kern w:val="0"/>
                <w:sz w:val="24"/>
                <w:szCs w:val="24"/>
                <w:lang w:val="en-US" w:eastAsia="zh-CN" w:bidi="ar"/>
              </w:rPr>
              <w:t>四、煤炭开采和洗选业</w:t>
            </w:r>
            <w:r>
              <w:rPr>
                <w:rFonts w:hint="default" w:ascii="Times New Roman" w:hAnsi="Times New Roman" w:eastAsia="宋体" w:cs="Times New Roman"/>
                <w:color w:val="000000"/>
                <w:kern w:val="0"/>
                <w:sz w:val="24"/>
                <w:szCs w:val="24"/>
                <w:lang w:val="en-US" w:eastAsia="zh-CN" w:bidi="ar"/>
              </w:rPr>
              <w:t>06</w:t>
            </w:r>
            <w:r>
              <w:rPr>
                <w:rFonts w:hint="eastAsia" w:ascii="宋体" w:hAnsi="宋体" w:eastAsia="宋体" w:cs="宋体"/>
                <w:color w:val="000000"/>
                <w:kern w:val="0"/>
                <w:sz w:val="24"/>
                <w:szCs w:val="24"/>
                <w:lang w:val="en-US" w:eastAsia="zh-CN" w:bidi="ar"/>
              </w:rPr>
              <w:t>中‘</w:t>
            </w:r>
            <w:r>
              <w:rPr>
                <w:rFonts w:hint="default" w:ascii="Times New Roman" w:hAnsi="Times New Roman" w:eastAsia="宋体" w:cs="Times New Roman"/>
                <w:color w:val="000000"/>
                <w:kern w:val="0"/>
                <w:sz w:val="24"/>
                <w:szCs w:val="24"/>
                <w:lang w:val="en-US" w:eastAsia="zh-CN" w:bidi="ar"/>
              </w:rPr>
              <w:t xml:space="preserve">6 </w:t>
            </w:r>
            <w:r>
              <w:rPr>
                <w:rFonts w:hint="eastAsia" w:ascii="宋体" w:hAnsi="宋体" w:eastAsia="宋体" w:cs="宋体"/>
                <w:color w:val="000000"/>
                <w:kern w:val="0"/>
                <w:sz w:val="24"/>
                <w:szCs w:val="24"/>
                <w:lang w:val="en-US" w:eastAsia="zh-CN" w:bidi="ar"/>
              </w:rPr>
              <w:t xml:space="preserve">烟煤和无烟煤开采选洗 </w:t>
            </w:r>
            <w:r>
              <w:rPr>
                <w:rFonts w:hint="default" w:ascii="Times New Roman" w:hAnsi="Times New Roman" w:eastAsia="宋体" w:cs="Times New Roman"/>
                <w:color w:val="000000"/>
                <w:kern w:val="0"/>
                <w:sz w:val="24"/>
                <w:szCs w:val="24"/>
                <w:lang w:val="en-US" w:eastAsia="zh-CN" w:bidi="ar"/>
              </w:rPr>
              <w:t>061</w:t>
            </w:r>
            <w:r>
              <w:rPr>
                <w:rFonts w:hint="eastAsia" w:ascii="宋体" w:hAnsi="宋体" w:eastAsia="宋体" w:cs="宋体"/>
                <w:color w:val="000000"/>
                <w:kern w:val="0"/>
                <w:sz w:val="24"/>
                <w:szCs w:val="24"/>
                <w:lang w:val="en-US" w:eastAsia="zh-CN" w:bidi="ar"/>
              </w:rPr>
              <w:t>’中风井场地、瓦斯抽放站</w:t>
            </w:r>
            <w:r>
              <w:rPr>
                <w:rFonts w:hint="eastAsia" w:ascii="Times New Roman" w:hAnsi="Times New Roman" w:eastAsia="宋体" w:cs="Times New Roman"/>
                <w:color w:val="auto"/>
                <w:sz w:val="24"/>
                <w:szCs w:val="24"/>
                <w:lang w:eastAsia="zh-CN"/>
              </w:rPr>
              <w:t>”</w:t>
            </w:r>
            <w:r>
              <w:rPr>
                <w:rFonts w:ascii="Times New Roman" w:hAnsi="宋体" w:eastAsia="宋体" w:cs="Times New Roman"/>
                <w:color w:val="auto"/>
                <w:sz w:val="24"/>
                <w:szCs w:val="24"/>
              </w:rPr>
              <w:t>，</w:t>
            </w:r>
            <w:r>
              <w:rPr>
                <w:rFonts w:hint="eastAsia" w:ascii="Times New Roman" w:hAnsi="宋体" w:eastAsia="宋体" w:cs="Times New Roman"/>
                <w:color w:val="auto"/>
                <w:sz w:val="24"/>
                <w:szCs w:val="24"/>
              </w:rPr>
              <w:t>应</w:t>
            </w:r>
            <w:r>
              <w:rPr>
                <w:rFonts w:ascii="Times New Roman" w:hAnsi="宋体" w:eastAsia="宋体" w:cs="Times New Roman"/>
                <w:color w:val="auto"/>
                <w:sz w:val="24"/>
                <w:szCs w:val="24"/>
              </w:rPr>
              <w:t>编制环境影响报告表</w:t>
            </w:r>
            <w:r>
              <w:rPr>
                <w:rFonts w:hint="eastAsia" w:ascii="Times New Roman" w:hAnsi="宋体" w:eastAsia="宋体" w:cs="Times New Roman"/>
                <w:color w:val="auto"/>
                <w:sz w:val="24"/>
                <w:szCs w:val="24"/>
                <w:lang w:eastAsia="zh-CN"/>
              </w:rPr>
              <w:t>。</w:t>
            </w:r>
            <w:r>
              <w:rPr>
                <w:rFonts w:hint="eastAsia" w:ascii="Times New Roman" w:hAnsi="宋体" w:eastAsia="宋体" w:cs="Times New Roman"/>
                <w:color w:val="auto"/>
                <w:kern w:val="0"/>
                <w:sz w:val="24"/>
                <w:szCs w:val="24"/>
                <w:lang w:eastAsia="zh-CN"/>
              </w:rPr>
              <w:t>淮南矿业集团煤层气开发利用有限公司</w:t>
            </w:r>
            <w:r>
              <w:rPr>
                <w:rFonts w:ascii="Times New Roman" w:hAnsi="宋体" w:eastAsia="宋体" w:cs="Times New Roman"/>
                <w:color w:val="auto"/>
                <w:sz w:val="24"/>
                <w:szCs w:val="24"/>
              </w:rPr>
              <w:t>委托我公司对</w:t>
            </w:r>
            <w:r>
              <w:rPr>
                <w:rFonts w:hint="eastAsia" w:ascii="Times New Roman" w:hAnsi="Times New Roman" w:eastAsia="宋体" w:cs="Times New Roman"/>
                <w:color w:val="auto"/>
                <w:sz w:val="24"/>
                <w:szCs w:val="24"/>
                <w:lang w:eastAsia="zh-CN"/>
              </w:rPr>
              <w:t>“</w:t>
            </w:r>
            <w:r>
              <w:rPr>
                <w:rFonts w:hint="eastAsia" w:ascii="Times New Roman" w:hAnsi="宋体" w:eastAsia="宋体" w:cs="Times New Roman"/>
                <w:color w:val="auto"/>
                <w:sz w:val="24"/>
                <w:szCs w:val="24"/>
                <w:lang w:eastAsia="zh-CN"/>
              </w:rPr>
              <w:t>淮南矿区深部松软低透煤层高瓦斯压力治理工程潘一煤矿21324工作面地面预抽井项目</w:t>
            </w:r>
            <w:r>
              <w:rPr>
                <w:rFonts w:hint="eastAsia" w:ascii="Times New Roman" w:hAnsi="Times New Roman" w:eastAsia="宋体" w:cs="Times New Roman"/>
                <w:color w:val="auto"/>
                <w:sz w:val="24"/>
                <w:szCs w:val="24"/>
                <w:lang w:eastAsia="zh-CN"/>
              </w:rPr>
              <w:t>”</w:t>
            </w:r>
            <w:r>
              <w:rPr>
                <w:rFonts w:ascii="Times New Roman" w:hAnsi="宋体" w:eastAsia="宋体" w:cs="Times New Roman"/>
                <w:color w:val="auto"/>
                <w:sz w:val="24"/>
                <w:szCs w:val="24"/>
              </w:rPr>
              <w:t>进行环境影响评价工作。接受委托后我单位即组织有关技术人员进行现场踏勘、收集资料。依据国家环境保护有关文件，编制了该项目环境影响报告表，报请生态环境行政主管部门审查、审批，以期为项目管理提供参考依据。</w:t>
            </w:r>
            <w:r>
              <w:rPr>
                <w:rFonts w:hint="eastAsia" w:ascii="Times New Roman" w:hAnsi="宋体" w:eastAsia="宋体" w:cs="Times New Roman"/>
                <w:color w:val="auto"/>
                <w:sz w:val="24"/>
                <w:szCs w:val="24"/>
              </w:rPr>
              <w:t>项目</w:t>
            </w:r>
            <w:r>
              <w:rPr>
                <w:rFonts w:ascii="Times New Roman" w:hAnsi="宋体" w:eastAsia="宋体" w:cs="Times New Roman"/>
                <w:color w:val="auto"/>
                <w:sz w:val="24"/>
                <w:szCs w:val="24"/>
              </w:rPr>
              <w:t>环评类别判定依据如下。</w:t>
            </w:r>
          </w:p>
          <w:p w14:paraId="023C7387">
            <w:pPr>
              <w:pStyle w:val="95"/>
              <w:numPr>
                <w:ilvl w:val="1"/>
                <w:numId w:val="2"/>
              </w:numPr>
              <w:tabs>
                <w:tab w:val="left" w:pos="2100"/>
                <w:tab w:val="clear" w:pos="1440"/>
              </w:tabs>
              <w:spacing w:line="240" w:lineRule="auto"/>
              <w:ind w:left="3300" w:leftChars="0" w:hanging="1200" w:firstLineChars="0"/>
              <w:jc w:val="both"/>
              <w:rPr>
                <w:rFonts w:hint="eastAsia" w:ascii="宋体" w:hAnsi="宋体" w:eastAsia="宋体" w:cs="宋体"/>
                <w:color w:val="auto"/>
                <w:sz w:val="24"/>
                <w:szCs w:val="20"/>
              </w:rPr>
            </w:pPr>
            <w:r>
              <w:rPr>
                <w:rFonts w:hint="eastAsia" w:ascii="宋体" w:hAnsi="宋体" w:eastAsia="宋体" w:cs="宋体"/>
                <w:color w:val="auto"/>
                <w:sz w:val="24"/>
                <w:szCs w:val="20"/>
              </w:rPr>
              <w:t>建设项目环境影响评价分类管理名录</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534"/>
              <w:gridCol w:w="1423"/>
              <w:gridCol w:w="2612"/>
              <w:gridCol w:w="1309"/>
            </w:tblGrid>
            <w:tr w14:paraId="574CD6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08" w:type="pct"/>
                  <w:tcBorders>
                    <w:top w:val="single" w:color="auto" w:sz="12" w:space="0"/>
                    <w:left w:val="nil"/>
                    <w:bottom w:val="single" w:color="auto" w:sz="6" w:space="0"/>
                    <w:right w:val="single" w:color="auto" w:sz="6" w:space="0"/>
                    <w:tl2br w:val="single" w:color="auto" w:sz="6" w:space="0"/>
                  </w:tcBorders>
                  <w:vAlign w:val="center"/>
                </w:tcPr>
                <w:p w14:paraId="544D9114">
                  <w:pPr>
                    <w:spacing w:line="276" w:lineRule="auto"/>
                    <w:jc w:val="right"/>
                    <w:rPr>
                      <w:rFonts w:ascii="Times New Roman" w:hAnsi="Times New Roman" w:eastAsia="宋体" w:cs="Times New Roman"/>
                      <w:b/>
                      <w:color w:val="auto"/>
                      <w:szCs w:val="21"/>
                    </w:rPr>
                  </w:pPr>
                  <w:r>
                    <w:rPr>
                      <w:rFonts w:ascii="Times New Roman" w:hAnsi="Times New Roman" w:eastAsia="宋体" w:cs="Times New Roman"/>
                      <w:b/>
                      <w:color w:val="auto"/>
                      <w:szCs w:val="21"/>
                    </w:rPr>
                    <w:t>环评类别</w:t>
                  </w:r>
                </w:p>
                <w:p w14:paraId="381BF780">
                  <w:pPr>
                    <w:spacing w:line="276" w:lineRule="auto"/>
                    <w:rPr>
                      <w:rFonts w:ascii="Times New Roman" w:hAnsi="Times New Roman" w:eastAsia="宋体" w:cs="Times New Roman"/>
                      <w:b/>
                      <w:color w:val="auto"/>
                      <w:szCs w:val="21"/>
                    </w:rPr>
                  </w:pPr>
                  <w:r>
                    <w:rPr>
                      <w:rFonts w:ascii="Times New Roman" w:hAnsi="Times New Roman" w:eastAsia="宋体" w:cs="Times New Roman"/>
                      <w:b/>
                      <w:color w:val="auto"/>
                      <w:szCs w:val="21"/>
                    </w:rPr>
                    <w:t>项目类别</w:t>
                  </w:r>
                </w:p>
              </w:tc>
              <w:tc>
                <w:tcPr>
                  <w:tcW w:w="903" w:type="pct"/>
                  <w:tcBorders>
                    <w:top w:val="single" w:color="auto" w:sz="12" w:space="0"/>
                    <w:left w:val="single" w:color="auto" w:sz="6" w:space="0"/>
                    <w:bottom w:val="single" w:color="auto" w:sz="6" w:space="0"/>
                    <w:right w:val="single" w:color="auto" w:sz="6" w:space="0"/>
                  </w:tcBorders>
                  <w:vAlign w:val="center"/>
                </w:tcPr>
                <w:p w14:paraId="5CA415D8">
                  <w:pPr>
                    <w:spacing w:line="276" w:lineRule="auto"/>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报告书</w:t>
                  </w:r>
                </w:p>
              </w:tc>
              <w:tc>
                <w:tcPr>
                  <w:tcW w:w="1658" w:type="pct"/>
                  <w:tcBorders>
                    <w:top w:val="single" w:color="auto" w:sz="12" w:space="0"/>
                    <w:left w:val="single" w:color="auto" w:sz="6" w:space="0"/>
                    <w:bottom w:val="single" w:color="auto" w:sz="6" w:space="0"/>
                    <w:right w:val="single" w:color="auto" w:sz="6" w:space="0"/>
                  </w:tcBorders>
                  <w:shd w:val="clear" w:color="auto" w:fill="D9D9D9"/>
                  <w:vAlign w:val="center"/>
                </w:tcPr>
                <w:p w14:paraId="0E600A0B">
                  <w:pPr>
                    <w:spacing w:line="276" w:lineRule="auto"/>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报告表</w:t>
                  </w:r>
                </w:p>
              </w:tc>
              <w:tc>
                <w:tcPr>
                  <w:tcW w:w="830" w:type="pct"/>
                  <w:tcBorders>
                    <w:top w:val="single" w:color="auto" w:sz="12" w:space="0"/>
                    <w:left w:val="single" w:color="auto" w:sz="6" w:space="0"/>
                    <w:bottom w:val="single" w:color="auto" w:sz="6" w:space="0"/>
                    <w:right w:val="nil"/>
                  </w:tcBorders>
                  <w:vAlign w:val="center"/>
                </w:tcPr>
                <w:p w14:paraId="1C438C7B">
                  <w:pPr>
                    <w:spacing w:line="276" w:lineRule="auto"/>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登记表</w:t>
                  </w:r>
                </w:p>
              </w:tc>
            </w:tr>
            <w:tr w14:paraId="412ADC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4"/>
                  <w:tcBorders>
                    <w:top w:val="single" w:color="auto" w:sz="6" w:space="0"/>
                    <w:left w:val="nil"/>
                    <w:bottom w:val="single" w:color="auto" w:sz="6" w:space="0"/>
                    <w:right w:val="nil"/>
                  </w:tcBorders>
                  <w:vAlign w:val="center"/>
                </w:tcPr>
                <w:p w14:paraId="08B6D769">
                  <w:pPr>
                    <w:spacing w:line="276" w:lineRule="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4"/>
                    </w:rPr>
                    <w:t>四</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lang w:eastAsia="zh-CN"/>
                    </w:rPr>
                    <w:t>煤炭开采和洗选业</w:t>
                  </w:r>
                  <w:r>
                    <w:rPr>
                      <w:rFonts w:hint="eastAsia" w:ascii="Times New Roman" w:hAnsi="Times New Roman" w:eastAsia="宋体" w:cs="Times New Roman"/>
                      <w:color w:val="auto"/>
                      <w:szCs w:val="24"/>
                      <w:lang w:val="en-US" w:eastAsia="zh-CN"/>
                    </w:rPr>
                    <w:t>06</w:t>
                  </w:r>
                </w:p>
              </w:tc>
            </w:tr>
            <w:tr w14:paraId="71D837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08" w:type="pct"/>
                  <w:tcBorders>
                    <w:top w:val="single" w:color="auto" w:sz="6" w:space="0"/>
                    <w:left w:val="nil"/>
                    <w:bottom w:val="single" w:color="auto" w:sz="12" w:space="0"/>
                    <w:right w:val="single" w:color="auto" w:sz="6" w:space="0"/>
                  </w:tcBorders>
                  <w:vAlign w:val="center"/>
                </w:tcPr>
                <w:p w14:paraId="7403FFA4">
                  <w:pPr>
                    <w:autoSpaceDE w:val="0"/>
                    <w:autoSpaceDN w:val="0"/>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4"/>
                      <w:lang w:val="en-US" w:eastAsia="zh-CN"/>
                    </w:rPr>
                    <w:t>6</w:t>
                  </w:r>
                  <w:r>
                    <w:rPr>
                      <w:rFonts w:hint="eastAsia" w:ascii="Times New Roman" w:hAnsi="Times New Roman" w:eastAsia="宋体" w:cs="Times New Roman"/>
                      <w:color w:val="auto"/>
                      <w:szCs w:val="24"/>
                    </w:rPr>
                    <w:t xml:space="preserve"> 烟煤和无烟煤开采洗选 061:褐煤开采洗选 062:其他煤炭采选 069</w:t>
                  </w:r>
                </w:p>
              </w:tc>
              <w:tc>
                <w:tcPr>
                  <w:tcW w:w="903" w:type="pct"/>
                  <w:tcBorders>
                    <w:top w:val="single" w:color="auto" w:sz="6" w:space="0"/>
                    <w:left w:val="single" w:color="auto" w:sz="6" w:space="0"/>
                    <w:bottom w:val="single" w:color="auto" w:sz="12" w:space="0"/>
                    <w:right w:val="single" w:color="auto" w:sz="6" w:space="0"/>
                  </w:tcBorders>
                  <w:vAlign w:val="center"/>
                </w:tcPr>
                <w:p w14:paraId="09E2EC38">
                  <w:pPr>
                    <w:autoSpaceDE w:val="0"/>
                    <w:autoSpaceDN w:val="0"/>
                    <w:spacing w:line="276" w:lineRule="auto"/>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4"/>
                      <w:lang w:eastAsia="zh-CN"/>
                    </w:rPr>
                    <w:t>煤炭开采</w:t>
                  </w:r>
                </w:p>
              </w:tc>
              <w:tc>
                <w:tcPr>
                  <w:tcW w:w="1658" w:type="pct"/>
                  <w:tcBorders>
                    <w:top w:val="single" w:color="auto" w:sz="6" w:space="0"/>
                    <w:left w:val="single" w:color="auto" w:sz="6" w:space="0"/>
                    <w:bottom w:val="single" w:color="auto" w:sz="12" w:space="0"/>
                    <w:right w:val="single" w:color="auto" w:sz="6" w:space="0"/>
                  </w:tcBorders>
                  <w:shd w:val="clear" w:color="auto" w:fill="D9D9D9"/>
                  <w:vAlign w:val="center"/>
                </w:tcPr>
                <w:p w14:paraId="5B3CD999">
                  <w:pPr>
                    <w:autoSpaceDE w:val="0"/>
                    <w:autoSpaceDN w:val="0"/>
                    <w:spacing w:line="276"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4"/>
                    </w:rPr>
                    <w:t>煤炭洗选、配煤:煤炭储存、集运</w:t>
                  </w:r>
                  <w:r>
                    <w:rPr>
                      <w:rFonts w:hint="eastAsia" w:ascii="Times New Roman" w:hAnsi="Times New Roman" w:eastAsia="宋体" w:cs="Times New Roman"/>
                      <w:color w:val="auto"/>
                      <w:szCs w:val="24"/>
                      <w:lang w:eastAsia="zh-CN"/>
                    </w:rPr>
                    <w:t>；</w:t>
                  </w:r>
                  <w:r>
                    <w:rPr>
                      <w:rFonts w:hint="eastAsia" w:ascii="Times New Roman" w:hAnsi="Times New Roman" w:eastAsia="宋体" w:cs="Times New Roman"/>
                      <w:color w:val="auto"/>
                      <w:szCs w:val="24"/>
                    </w:rPr>
                    <w:t>风井场地、瓦斯抽放站</w:t>
                  </w:r>
                  <w:r>
                    <w:rPr>
                      <w:rFonts w:hint="eastAsia" w:ascii="Times New Roman" w:hAnsi="Times New Roman" w:eastAsia="宋体" w:cs="Times New Roman"/>
                      <w:color w:val="auto"/>
                      <w:szCs w:val="24"/>
                      <w:lang w:eastAsia="zh-CN"/>
                    </w:rPr>
                    <w:t>；</w:t>
                  </w:r>
                  <w:r>
                    <w:rPr>
                      <w:rFonts w:hint="eastAsia" w:ascii="Times New Roman" w:hAnsi="Times New Roman" w:eastAsia="宋体" w:cs="Times New Roman"/>
                      <w:color w:val="auto"/>
                      <w:szCs w:val="24"/>
                    </w:rPr>
                    <w:t>矿区修复治理工程(含煤矿火烧区治理工程</w:t>
                  </w:r>
                </w:p>
              </w:tc>
              <w:tc>
                <w:tcPr>
                  <w:tcW w:w="830" w:type="pct"/>
                  <w:tcBorders>
                    <w:top w:val="single" w:color="auto" w:sz="6" w:space="0"/>
                    <w:left w:val="single" w:color="auto" w:sz="6" w:space="0"/>
                    <w:bottom w:val="single" w:color="auto" w:sz="12" w:space="0"/>
                    <w:right w:val="nil"/>
                  </w:tcBorders>
                  <w:vAlign w:val="center"/>
                </w:tcPr>
                <w:p w14:paraId="28F39114">
                  <w:pPr>
                    <w:spacing w:line="276" w:lineRule="auto"/>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bl>
          <w:p w14:paraId="745735D7">
            <w:pPr>
              <w:spacing w:line="360" w:lineRule="auto"/>
              <w:ind w:firstLine="482" w:firstLineChars="200"/>
              <w:rPr>
                <w:rFonts w:hint="eastAsia" w:ascii="Times New Roman" w:hAnsi="宋体" w:eastAsia="宋体" w:cs="Times New Roman"/>
                <w:b/>
                <w:color w:val="auto"/>
                <w:sz w:val="24"/>
                <w:szCs w:val="24"/>
                <w:lang w:eastAsia="zh-CN"/>
              </w:rPr>
            </w:pPr>
            <w:r>
              <w:rPr>
                <w:rFonts w:hint="eastAsia" w:ascii="Times New Roman" w:hAnsi="宋体" w:eastAsia="宋体" w:cs="Times New Roman"/>
                <w:b/>
                <w:color w:val="auto"/>
                <w:sz w:val="24"/>
                <w:szCs w:val="24"/>
                <w:lang w:val="en-US" w:eastAsia="zh-CN"/>
              </w:rPr>
              <w:t>2、</w:t>
            </w:r>
            <w:r>
              <w:rPr>
                <w:rFonts w:hint="eastAsia" w:ascii="Times New Roman" w:hAnsi="宋体" w:eastAsia="宋体" w:cs="Times New Roman"/>
                <w:b/>
                <w:color w:val="auto"/>
                <w:sz w:val="24"/>
                <w:szCs w:val="24"/>
              </w:rPr>
              <w:t>项目</w:t>
            </w:r>
            <w:r>
              <w:rPr>
                <w:rFonts w:hint="eastAsia" w:ascii="Times New Roman" w:hAnsi="宋体" w:eastAsia="宋体" w:cs="Times New Roman"/>
                <w:b/>
                <w:color w:val="auto"/>
                <w:sz w:val="24"/>
                <w:szCs w:val="24"/>
                <w:lang w:eastAsia="zh-CN"/>
              </w:rPr>
              <w:t>建设内容</w:t>
            </w:r>
          </w:p>
          <w:p w14:paraId="5A841A04">
            <w:pPr>
              <w:spacing w:line="360" w:lineRule="auto"/>
              <w:ind w:firstLine="480" w:firstLineChars="200"/>
              <w:rPr>
                <w:rFonts w:hint="eastAsia" w:ascii="Times New Roman" w:hAnsi="宋体" w:eastAsia="宋体" w:cs="Times New Roman"/>
                <w:color w:val="auto"/>
                <w:sz w:val="24"/>
                <w:szCs w:val="24"/>
                <w:lang w:eastAsia="zh-CN"/>
              </w:rPr>
            </w:pPr>
            <w:r>
              <w:rPr>
                <w:rFonts w:hint="eastAsia" w:ascii="Times New Roman" w:hAnsi="宋体" w:eastAsia="宋体" w:cs="Times New Roman"/>
                <w:color w:val="auto"/>
                <w:sz w:val="24"/>
                <w:szCs w:val="24"/>
                <w:lang w:eastAsia="zh-CN"/>
              </w:rPr>
              <w:t>本次工程为临时工程，</w:t>
            </w:r>
            <w:r>
              <w:rPr>
                <w:rFonts w:hint="eastAsia" w:ascii="Times New Roman" w:hAnsi="宋体" w:eastAsia="宋体" w:cs="Times New Roman"/>
                <w:color w:val="auto"/>
                <w:sz w:val="24"/>
                <w:szCs w:val="24"/>
                <w:lang w:val="en-US" w:eastAsia="zh-CN"/>
              </w:rPr>
              <w:t>设置1</w:t>
            </w:r>
            <w:r>
              <w:rPr>
                <w:rFonts w:hint="eastAsia" w:ascii="Times New Roman" w:hAnsi="宋体" w:eastAsia="宋体" w:cs="Times New Roman"/>
                <w:color w:val="auto"/>
                <w:sz w:val="24"/>
                <w:szCs w:val="24"/>
                <w:lang w:eastAsia="zh-CN"/>
              </w:rPr>
              <w:t>个井场</w:t>
            </w:r>
            <w:r>
              <w:rPr>
                <w:rFonts w:hint="eastAsia" w:ascii="Times New Roman" w:hAnsi="宋体" w:eastAsia="宋体" w:cs="Times New Roman"/>
                <w:color w:val="auto"/>
                <w:sz w:val="24"/>
                <w:szCs w:val="24"/>
                <w:lang w:val="en-US" w:eastAsia="zh-CN"/>
              </w:rPr>
              <w:t>施工场地</w:t>
            </w:r>
            <w:r>
              <w:rPr>
                <w:rFonts w:hint="eastAsia" w:ascii="Times New Roman" w:hAnsi="宋体" w:eastAsia="宋体" w:cs="Times New Roman"/>
                <w:color w:val="auto"/>
                <w:sz w:val="24"/>
                <w:szCs w:val="24"/>
                <w:lang w:eastAsia="zh-CN"/>
              </w:rPr>
              <w:t>，钻井</w:t>
            </w:r>
            <w:r>
              <w:rPr>
                <w:rFonts w:hint="eastAsia" w:ascii="Times New Roman" w:hAnsi="宋体" w:eastAsia="宋体" w:cs="Times New Roman"/>
                <w:color w:val="auto"/>
                <w:sz w:val="24"/>
                <w:szCs w:val="24"/>
                <w:lang w:val="en-US" w:eastAsia="zh-CN"/>
              </w:rPr>
              <w:t>2</w:t>
            </w:r>
            <w:r>
              <w:rPr>
                <w:rFonts w:hint="eastAsia" w:ascii="Times New Roman" w:hAnsi="宋体" w:eastAsia="宋体" w:cs="Times New Roman"/>
                <w:color w:val="auto"/>
                <w:sz w:val="24"/>
                <w:szCs w:val="24"/>
                <w:lang w:eastAsia="zh-CN"/>
              </w:rPr>
              <w:t>口总工程量为</w:t>
            </w:r>
            <w:r>
              <w:rPr>
                <w:rFonts w:hint="eastAsia" w:ascii="Times New Roman" w:hAnsi="宋体" w:eastAsia="宋体" w:cs="Times New Roman"/>
                <w:color w:val="auto"/>
                <w:sz w:val="24"/>
                <w:szCs w:val="24"/>
                <w:lang w:val="en-US" w:eastAsia="zh-CN"/>
              </w:rPr>
              <w:t>5311</w:t>
            </w:r>
            <w:r>
              <w:rPr>
                <w:rFonts w:hint="eastAsia" w:ascii="Times New Roman" w:hAnsi="宋体" w:eastAsia="宋体" w:cs="Times New Roman"/>
                <w:color w:val="auto"/>
                <w:sz w:val="24"/>
                <w:szCs w:val="24"/>
                <w:lang w:eastAsia="zh-CN"/>
              </w:rPr>
              <w:t>m；射孔、压裂</w:t>
            </w:r>
            <w:r>
              <w:rPr>
                <w:rFonts w:hint="eastAsia" w:ascii="Times New Roman" w:hAnsi="宋体" w:eastAsia="宋体" w:cs="Times New Roman"/>
                <w:color w:val="auto"/>
                <w:sz w:val="24"/>
                <w:szCs w:val="24"/>
                <w:lang w:val="en-US" w:eastAsia="zh-CN"/>
              </w:rPr>
              <w:t>34</w:t>
            </w:r>
            <w:r>
              <w:rPr>
                <w:rFonts w:hint="eastAsia" w:ascii="Times New Roman" w:hAnsi="宋体" w:eastAsia="宋体" w:cs="Times New Roman"/>
                <w:color w:val="auto"/>
                <w:sz w:val="24"/>
                <w:szCs w:val="24"/>
                <w:lang w:eastAsia="zh-CN"/>
              </w:rPr>
              <w:t>段；排采工程</w:t>
            </w:r>
            <w:r>
              <w:rPr>
                <w:rFonts w:hint="eastAsia" w:ascii="Times New Roman" w:hAnsi="宋体" w:eastAsia="宋体" w:cs="Times New Roman"/>
                <w:color w:val="auto"/>
                <w:sz w:val="24"/>
                <w:szCs w:val="24"/>
                <w:lang w:val="en-US" w:eastAsia="zh-CN"/>
              </w:rPr>
              <w:t>2</w:t>
            </w:r>
            <w:r>
              <w:rPr>
                <w:rFonts w:hint="eastAsia" w:ascii="Times New Roman" w:hAnsi="宋体" w:eastAsia="宋体" w:cs="Times New Roman"/>
                <w:color w:val="auto"/>
                <w:sz w:val="24"/>
                <w:szCs w:val="24"/>
                <w:lang w:eastAsia="zh-CN"/>
              </w:rPr>
              <w:t>项；输气管路</w:t>
            </w:r>
            <w:r>
              <w:rPr>
                <w:rFonts w:hint="eastAsia" w:ascii="Times New Roman" w:hAnsi="宋体" w:eastAsia="宋体" w:cs="Times New Roman"/>
                <w:color w:val="auto"/>
                <w:sz w:val="24"/>
                <w:szCs w:val="24"/>
                <w:lang w:val="en-US" w:eastAsia="zh-CN"/>
              </w:rPr>
              <w:t>1070m</w:t>
            </w:r>
            <w:r>
              <w:rPr>
                <w:rFonts w:hint="eastAsia" w:ascii="Times New Roman" w:hAnsi="宋体" w:eastAsia="宋体" w:cs="Times New Roman"/>
                <w:color w:val="auto"/>
                <w:sz w:val="24"/>
                <w:szCs w:val="24"/>
                <w:lang w:eastAsia="zh-CN"/>
              </w:rPr>
              <w:t>（含井场内支管）</w:t>
            </w:r>
          </w:p>
          <w:p w14:paraId="259CDCA6">
            <w:pPr>
              <w:spacing w:line="360" w:lineRule="auto"/>
              <w:ind w:firstLine="480" w:firstLineChars="200"/>
              <w:rPr>
                <w:rFonts w:hint="eastAsia" w:ascii="Times New Roman" w:hAnsi="宋体" w:eastAsia="宋体" w:cs="Times New Roman"/>
                <w:color w:val="auto"/>
                <w:sz w:val="24"/>
                <w:szCs w:val="24"/>
              </w:rPr>
            </w:pPr>
            <w:r>
              <w:rPr>
                <w:rFonts w:hint="eastAsia" w:ascii="Times New Roman" w:hAnsi="宋体" w:eastAsia="宋体" w:cs="Times New Roman"/>
                <w:color w:val="auto"/>
                <w:sz w:val="24"/>
                <w:szCs w:val="24"/>
                <w:lang w:eastAsia="zh-CN"/>
              </w:rPr>
              <w:t>本</w:t>
            </w:r>
            <w:r>
              <w:rPr>
                <w:rFonts w:hint="eastAsia" w:ascii="Times New Roman" w:hAnsi="宋体" w:eastAsia="宋体" w:cs="Times New Roman"/>
                <w:color w:val="auto"/>
                <w:sz w:val="24"/>
                <w:szCs w:val="24"/>
              </w:rPr>
              <w:t>项目主要</w:t>
            </w:r>
            <w:r>
              <w:rPr>
                <w:rFonts w:hint="eastAsia" w:ascii="Times New Roman" w:hAnsi="宋体" w:eastAsia="宋体" w:cs="Times New Roman"/>
                <w:color w:val="auto"/>
                <w:sz w:val="24"/>
                <w:szCs w:val="24"/>
                <w:lang w:eastAsia="zh-CN"/>
              </w:rPr>
              <w:t>施工</w:t>
            </w:r>
            <w:r>
              <w:rPr>
                <w:rFonts w:hint="eastAsia" w:ascii="Times New Roman" w:hAnsi="宋体" w:eastAsia="宋体" w:cs="Times New Roman"/>
                <w:color w:val="auto"/>
                <w:sz w:val="24"/>
                <w:szCs w:val="24"/>
              </w:rPr>
              <w:t>内容见下表。</w:t>
            </w:r>
          </w:p>
          <w:p w14:paraId="17B00EB1">
            <w:pPr>
              <w:pStyle w:val="95"/>
              <w:numPr>
                <w:ilvl w:val="1"/>
                <w:numId w:val="2"/>
              </w:numPr>
              <w:tabs>
                <w:tab w:val="left" w:pos="2100"/>
                <w:tab w:val="clear" w:pos="1440"/>
              </w:tabs>
              <w:spacing w:line="240" w:lineRule="auto"/>
              <w:ind w:left="3300" w:leftChars="0" w:hanging="1200" w:firstLineChars="0"/>
              <w:jc w:val="both"/>
              <w:rPr>
                <w:rFonts w:hint="eastAsia" w:ascii="宋体" w:hAnsi="宋体" w:eastAsia="宋体" w:cs="宋体"/>
                <w:color w:val="auto"/>
                <w:sz w:val="24"/>
                <w:szCs w:val="20"/>
              </w:rPr>
            </w:pPr>
            <w:r>
              <w:rPr>
                <w:rFonts w:hint="eastAsia" w:ascii="宋体" w:hAnsi="宋体" w:eastAsia="宋体" w:cs="宋体"/>
                <w:color w:val="auto"/>
                <w:sz w:val="24"/>
                <w:szCs w:val="20"/>
              </w:rPr>
              <w:t>建设内容及规模一览表</w:t>
            </w:r>
          </w:p>
          <w:tbl>
            <w:tblPr>
              <w:tblStyle w:val="2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2"/>
              <w:gridCol w:w="427"/>
              <w:gridCol w:w="444"/>
              <w:gridCol w:w="6285"/>
            </w:tblGrid>
            <w:tr w14:paraId="2A37C3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58" w:type="pct"/>
                  <w:vAlign w:val="center"/>
                </w:tcPr>
                <w:p w14:paraId="71D4E09D">
                  <w:pPr>
                    <w:autoSpaceDE w:val="0"/>
                    <w:autoSpaceDN w:val="0"/>
                    <w:adjustRightInd w:val="0"/>
                    <w:snapToGri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工程类别</w:t>
                  </w:r>
                </w:p>
              </w:tc>
              <w:tc>
                <w:tcPr>
                  <w:tcW w:w="552" w:type="pct"/>
                  <w:gridSpan w:val="2"/>
                  <w:vAlign w:val="center"/>
                </w:tcPr>
                <w:p w14:paraId="70A72A83">
                  <w:pPr>
                    <w:autoSpaceDE w:val="0"/>
                    <w:autoSpaceDN w:val="0"/>
                    <w:adjustRightInd w:val="0"/>
                    <w:snapToGrid w:val="0"/>
                    <w:jc w:val="both"/>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项目</w:t>
                  </w:r>
                </w:p>
                <w:p w14:paraId="6EF6536D">
                  <w:pPr>
                    <w:autoSpaceDE w:val="0"/>
                    <w:autoSpaceDN w:val="0"/>
                    <w:adjustRightInd w:val="0"/>
                    <w:snapToGrid w:val="0"/>
                    <w:jc w:val="both"/>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名称</w:t>
                  </w:r>
                </w:p>
              </w:tc>
              <w:tc>
                <w:tcPr>
                  <w:tcW w:w="3988" w:type="pct"/>
                  <w:vAlign w:val="center"/>
                </w:tcPr>
                <w:p w14:paraId="03AC35CF">
                  <w:pPr>
                    <w:autoSpaceDE w:val="0"/>
                    <w:autoSpaceDN w:val="0"/>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工程</w:t>
                  </w:r>
                  <w:r>
                    <w:rPr>
                      <w:rFonts w:ascii="Times New Roman" w:hAnsi="Times New Roman" w:eastAsia="宋体" w:cs="Times New Roman"/>
                      <w:color w:val="auto"/>
                      <w:szCs w:val="21"/>
                      <w:highlight w:val="none"/>
                    </w:rPr>
                    <w:t>内容</w:t>
                  </w:r>
                </w:p>
              </w:tc>
            </w:tr>
            <w:tr w14:paraId="198C7A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vMerge w:val="restart"/>
                  <w:vAlign w:val="center"/>
                </w:tcPr>
                <w:p w14:paraId="0877B378">
                  <w:pPr>
                    <w:autoSpaceDE w:val="0"/>
                    <w:autoSpaceDN w:val="0"/>
                    <w:adjustRightInd w:val="0"/>
                    <w:snapToGrid w:val="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主体</w:t>
                  </w:r>
                </w:p>
                <w:p w14:paraId="6E514943">
                  <w:pPr>
                    <w:autoSpaceDE w:val="0"/>
                    <w:autoSpaceDN w:val="0"/>
                    <w:adjustRightInd w:val="0"/>
                    <w:snapToGrid w:val="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工程</w:t>
                  </w:r>
                </w:p>
              </w:tc>
              <w:tc>
                <w:tcPr>
                  <w:tcW w:w="552" w:type="pct"/>
                  <w:gridSpan w:val="2"/>
                  <w:vAlign w:val="center"/>
                </w:tcPr>
                <w:p w14:paraId="4720591C">
                  <w:pPr>
                    <w:autoSpaceDE w:val="0"/>
                    <w:autoSpaceDN w:val="0"/>
                    <w:adjustRightInd w:val="0"/>
                    <w:snapToGrid w:val="0"/>
                    <w:jc w:val="left"/>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钻井工程</w:t>
                  </w:r>
                </w:p>
              </w:tc>
              <w:tc>
                <w:tcPr>
                  <w:tcW w:w="3988" w:type="pct"/>
                </w:tcPr>
                <w:p w14:paraId="5629982D">
                  <w:pPr>
                    <w:pStyle w:val="2"/>
                    <w:ind w:left="12" w:leftChars="0" w:hanging="12" w:firstLineChars="0"/>
                  </w:pPr>
                  <w:r>
                    <w:rPr>
                      <w:rFonts w:hint="eastAsia" w:ascii="Times New Roman" w:hAnsi="Times New Roman" w:eastAsia="宋体" w:cs="Times New Roman"/>
                      <w:b w:val="0"/>
                      <w:bCs w:val="0"/>
                      <w:color w:val="auto"/>
                      <w:kern w:val="2"/>
                      <w:sz w:val="21"/>
                      <w:szCs w:val="21"/>
                      <w:highlight w:val="none"/>
                      <w:lang w:val="en-US" w:eastAsia="zh-CN" w:bidi="ar-SA"/>
                    </w:rPr>
                    <w:t>钻井工程布置1个井场，设计2口“L”型钻井，编号为PY-2132-1和PY-2132-2，PY-2132-1终点标高-919.1m，PY-2132-2终点标高-943.7m，总工程量为5296m</w:t>
                  </w:r>
                  <w:r>
                    <w:rPr>
                      <w:rFonts w:hint="eastAsia" w:eastAsia="宋体" w:cs="Times New Roman"/>
                      <w:b w:val="0"/>
                      <w:bCs w:val="0"/>
                      <w:color w:val="auto"/>
                      <w:kern w:val="2"/>
                      <w:sz w:val="21"/>
                      <w:szCs w:val="21"/>
                      <w:highlight w:val="none"/>
                      <w:lang w:val="en-US" w:eastAsia="zh-CN" w:bidi="ar-SA"/>
                    </w:rPr>
                    <w:t>。</w:t>
                  </w:r>
                  <w:r>
                    <w:rPr>
                      <w:rFonts w:hint="eastAsia" w:ascii="Times New Roman" w:hAnsi="Times New Roman" w:eastAsia="宋体" w:cs="Times New Roman"/>
                      <w:b w:val="0"/>
                      <w:bCs w:val="0"/>
                      <w:color w:val="auto"/>
                      <w:kern w:val="2"/>
                      <w:sz w:val="21"/>
                      <w:szCs w:val="21"/>
                      <w:highlight w:val="none"/>
                      <w:lang w:val="en-US" w:eastAsia="zh-CN" w:bidi="ar-SA"/>
                    </w:rPr>
                    <w:t>井身结构采用三开结构，一开钻至基岩面以下不少于10m（稳定基岩）；二开钻至设计着陆点；三开为水平段钻进，至设计停钻点。井场设置钻井作业区、蓄水池、废浆池、干化池、</w:t>
                  </w:r>
                  <w:r>
                    <w:rPr>
                      <w:rFonts w:hint="eastAsia" w:eastAsia="宋体" w:cs="Times New Roman"/>
                      <w:b w:val="0"/>
                      <w:bCs w:val="0"/>
                      <w:color w:val="auto"/>
                      <w:kern w:val="2"/>
                      <w:sz w:val="21"/>
                      <w:szCs w:val="21"/>
                      <w:highlight w:val="none"/>
                      <w:lang w:val="en-US" w:eastAsia="zh-CN" w:bidi="ar-SA"/>
                    </w:rPr>
                    <w:t>固控系统（泥浆循环系统）</w:t>
                  </w:r>
                  <w:r>
                    <w:rPr>
                      <w:rFonts w:hint="eastAsia" w:ascii="Times New Roman" w:hAnsi="Times New Roman" w:eastAsia="宋体" w:cs="Times New Roman"/>
                      <w:b w:val="0"/>
                      <w:bCs w:val="0"/>
                      <w:color w:val="auto"/>
                      <w:kern w:val="2"/>
                      <w:sz w:val="21"/>
                      <w:szCs w:val="21"/>
                      <w:highlight w:val="none"/>
                      <w:lang w:val="en-US" w:eastAsia="zh-CN" w:bidi="ar-SA"/>
                    </w:rPr>
                    <w:t>、原料间、控制配电室等。</w:t>
                  </w:r>
                </w:p>
              </w:tc>
            </w:tr>
            <w:tr w14:paraId="2AAB76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vMerge w:val="continue"/>
                  <w:vAlign w:val="center"/>
                </w:tcPr>
                <w:p w14:paraId="4B75E01F">
                  <w:pPr>
                    <w:autoSpaceDE w:val="0"/>
                    <w:autoSpaceDN w:val="0"/>
                    <w:adjustRightInd w:val="0"/>
                    <w:snapToGrid w:val="0"/>
                    <w:jc w:val="left"/>
                    <w:rPr>
                      <w:rFonts w:ascii="Times New Roman" w:hAnsi="Times New Roman" w:eastAsia="宋体" w:cs="Times New Roman"/>
                      <w:color w:val="auto"/>
                      <w:szCs w:val="21"/>
                      <w:highlight w:val="none"/>
                    </w:rPr>
                  </w:pPr>
                </w:p>
              </w:tc>
              <w:tc>
                <w:tcPr>
                  <w:tcW w:w="552" w:type="pct"/>
                  <w:gridSpan w:val="2"/>
                  <w:vAlign w:val="center"/>
                </w:tcPr>
                <w:p w14:paraId="465F4FCC">
                  <w:pPr>
                    <w:autoSpaceDE w:val="0"/>
                    <w:autoSpaceDN w:val="0"/>
                    <w:adjustRightInd w:val="0"/>
                    <w:snapToGrid w:val="0"/>
                    <w:jc w:val="left"/>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压裂工程</w:t>
                  </w:r>
                </w:p>
              </w:tc>
              <w:tc>
                <w:tcPr>
                  <w:tcW w:w="3988" w:type="pct"/>
                </w:tcPr>
                <w:p w14:paraId="1A4CE4CB">
                  <w:pPr>
                    <w:autoSpaceDE w:val="0"/>
                    <w:autoSpaceDN w:val="0"/>
                    <w:adjustRightInd w:val="0"/>
                    <w:snapToGrid w:val="0"/>
                    <w:jc w:val="left"/>
                    <w:rPr>
                      <w:rFonts w:hint="eastAsia"/>
                      <w:color w:val="auto"/>
                      <w:highlight w:val="none"/>
                      <w:lang w:eastAsia="zh-CN"/>
                    </w:rPr>
                  </w:pPr>
                  <w:r>
                    <w:rPr>
                      <w:rFonts w:hint="eastAsia"/>
                      <w:color w:val="auto"/>
                      <w:highlight w:val="none"/>
                    </w:rPr>
                    <w:t>通过垂直</w:t>
                  </w:r>
                  <w:r>
                    <w:rPr>
                      <w:rFonts w:hint="eastAsia" w:ascii="Times New Roman" w:hAnsi="Times New Roman" w:eastAsia="宋体" w:cs="Times New Roman"/>
                      <w:b w:val="0"/>
                      <w:bCs w:val="0"/>
                      <w:color w:val="auto"/>
                      <w:kern w:val="2"/>
                      <w:sz w:val="21"/>
                      <w:szCs w:val="21"/>
                      <w:highlight w:val="none"/>
                      <w:lang w:val="en-US" w:eastAsia="zh-CN" w:bidi="ar-SA"/>
                    </w:rPr>
                    <w:t>向下（上）、螺旋定向射孔，采用深穿透饱和体积压裂技术、泵送桥塞+射孔联作工艺对水平段进行分段射孔、分段压裂施工，实现水平井井眼与目标煤层的沟通，并</w:t>
                  </w:r>
                  <w:r>
                    <w:rPr>
                      <w:rFonts w:hint="eastAsia"/>
                      <w:color w:val="auto"/>
                      <w:highlight w:val="none"/>
                    </w:rPr>
                    <w:t>在煤层中建立高导流能力的石英砂支撑裂缝，提高煤层泄流面积</w:t>
                  </w:r>
                  <w:r>
                    <w:rPr>
                      <w:rFonts w:hint="eastAsia"/>
                      <w:color w:val="auto"/>
                      <w:highlight w:val="none"/>
                      <w:lang w:eastAsia="zh-CN"/>
                    </w:rPr>
                    <w:t>。</w:t>
                  </w:r>
                </w:p>
                <w:p w14:paraId="420C747D">
                  <w:pPr>
                    <w:autoSpaceDE w:val="0"/>
                    <w:autoSpaceDN w:val="0"/>
                    <w:adjustRightInd w:val="0"/>
                    <w:snapToGrid w:val="0"/>
                    <w:jc w:val="left"/>
                    <w:rPr>
                      <w:rFonts w:hint="eastAsia"/>
                      <w:lang w:eastAsia="zh-CN"/>
                    </w:rPr>
                  </w:pPr>
                  <w:r>
                    <w:rPr>
                      <w:rFonts w:hint="eastAsia"/>
                      <w:color w:val="auto"/>
                      <w:highlight w:val="none"/>
                      <w:lang w:eastAsia="zh-CN"/>
                    </w:rPr>
                    <w:t>本次</w:t>
                  </w:r>
                  <w:r>
                    <w:rPr>
                      <w:rFonts w:hint="eastAsia"/>
                      <w:color w:val="auto"/>
                      <w:highlight w:val="none"/>
                    </w:rPr>
                    <w:t>压裂层位</w:t>
                  </w:r>
                  <w:r>
                    <w:rPr>
                      <w:rFonts w:hint="eastAsia"/>
                      <w:color w:val="auto"/>
                      <w:highlight w:val="none"/>
                      <w:lang w:eastAsia="zh-CN"/>
                    </w:rPr>
                    <w:t>为</w:t>
                  </w:r>
                  <w:r>
                    <w:rPr>
                      <w:rFonts w:hint="eastAsia"/>
                      <w:color w:val="auto"/>
                      <w:highlight w:val="none"/>
                      <w:lang w:val="en-US" w:eastAsia="zh-CN"/>
                    </w:rPr>
                    <w:t>4-</w:t>
                  </w:r>
                  <w:r>
                    <w:rPr>
                      <w:rFonts w:hint="eastAsia"/>
                      <w:color w:val="auto"/>
                      <w:highlight w:val="none"/>
                    </w:rPr>
                    <w:t>1煤层</w:t>
                  </w:r>
                  <w:r>
                    <w:rPr>
                      <w:rFonts w:hint="eastAsia"/>
                      <w:color w:val="auto"/>
                      <w:highlight w:val="none"/>
                      <w:lang w:eastAsia="zh-CN"/>
                    </w:rPr>
                    <w:t>，</w:t>
                  </w:r>
                  <w:r>
                    <w:rPr>
                      <w:rFonts w:hint="eastAsia"/>
                      <w:color w:val="auto"/>
                      <w:highlight w:val="none"/>
                    </w:rPr>
                    <w:t>射孔、压裂</w:t>
                  </w:r>
                  <w:r>
                    <w:rPr>
                      <w:rFonts w:hint="eastAsia"/>
                      <w:color w:val="auto"/>
                      <w:highlight w:val="none"/>
                      <w:lang w:val="en-US" w:eastAsia="zh-CN"/>
                    </w:rPr>
                    <w:t>34</w:t>
                  </w:r>
                  <w:r>
                    <w:rPr>
                      <w:rFonts w:hint="eastAsia"/>
                      <w:color w:val="auto"/>
                      <w:highlight w:val="none"/>
                    </w:rPr>
                    <w:t>段</w:t>
                  </w:r>
                  <w:r>
                    <w:rPr>
                      <w:rFonts w:hint="eastAsia"/>
                      <w:color w:val="auto"/>
                      <w:highlight w:val="none"/>
                      <w:lang w:eastAsia="zh-CN"/>
                    </w:rPr>
                    <w:t>，</w:t>
                  </w:r>
                  <w:r>
                    <w:rPr>
                      <w:rFonts w:hint="eastAsia"/>
                      <w:color w:val="auto"/>
                      <w:highlight w:val="none"/>
                    </w:rPr>
                    <w:t>压裂方式</w:t>
                  </w:r>
                  <w:r>
                    <w:rPr>
                      <w:rFonts w:hint="eastAsia"/>
                      <w:color w:val="auto"/>
                      <w:highlight w:val="none"/>
                      <w:lang w:eastAsia="zh-CN"/>
                    </w:rPr>
                    <w:t>采用</w:t>
                  </w:r>
                  <w:r>
                    <w:rPr>
                      <w:rFonts w:hint="eastAsia"/>
                      <w:color w:val="auto"/>
                      <w:highlight w:val="none"/>
                    </w:rPr>
                    <w:t>光套管压裂</w:t>
                  </w:r>
                  <w:r>
                    <w:rPr>
                      <w:rFonts w:hint="eastAsia"/>
                      <w:color w:val="auto"/>
                      <w:highlight w:val="none"/>
                      <w:lang w:eastAsia="zh-CN"/>
                    </w:rPr>
                    <w:t>。</w:t>
                  </w:r>
                  <w:r>
                    <w:rPr>
                      <w:rFonts w:hint="eastAsia"/>
                      <w:color w:val="auto"/>
                      <w:highlight w:val="none"/>
                    </w:rPr>
                    <w:t>压裂</w:t>
                  </w:r>
                  <w:r>
                    <w:rPr>
                      <w:rFonts w:hint="eastAsia"/>
                      <w:color w:val="auto"/>
                      <w:highlight w:val="none"/>
                      <w:lang w:eastAsia="zh-CN"/>
                    </w:rPr>
                    <w:t>采用水作为压裂液并加砂，采用石英砂作为压裂支撑剂。</w:t>
                  </w:r>
                </w:p>
              </w:tc>
            </w:tr>
            <w:tr w14:paraId="0168D9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vMerge w:val="continue"/>
                </w:tcPr>
                <w:p w14:paraId="47BA9651">
                  <w:pPr>
                    <w:autoSpaceDE w:val="0"/>
                    <w:autoSpaceDN w:val="0"/>
                    <w:adjustRightInd w:val="0"/>
                    <w:snapToGrid w:val="0"/>
                    <w:jc w:val="left"/>
                    <w:rPr>
                      <w:rFonts w:ascii="Times New Roman" w:hAnsi="Times New Roman" w:eastAsia="宋体" w:cs="Times New Roman"/>
                      <w:color w:val="auto"/>
                      <w:szCs w:val="21"/>
                      <w:highlight w:val="none"/>
                    </w:rPr>
                  </w:pPr>
                </w:p>
              </w:tc>
              <w:tc>
                <w:tcPr>
                  <w:tcW w:w="552" w:type="pct"/>
                  <w:gridSpan w:val="2"/>
                  <w:vAlign w:val="center"/>
                </w:tcPr>
                <w:p w14:paraId="6B41051C">
                  <w:pPr>
                    <w:autoSpaceDE w:val="0"/>
                    <w:autoSpaceDN w:val="0"/>
                    <w:adjustRightInd w:val="0"/>
                    <w:snapToGrid w:val="0"/>
                    <w:jc w:val="left"/>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排采工程</w:t>
                  </w:r>
                </w:p>
              </w:tc>
              <w:tc>
                <w:tcPr>
                  <w:tcW w:w="3988" w:type="pct"/>
                </w:tcPr>
                <w:p w14:paraId="350885DC">
                  <w:pPr>
                    <w:autoSpaceDE w:val="0"/>
                    <w:autoSpaceDN w:val="0"/>
                    <w:adjustRightInd w:val="0"/>
                    <w:snapToGrid w:val="0"/>
                    <w:jc w:val="left"/>
                    <w:rPr>
                      <w:rFonts w:hint="eastAsia" w:ascii="Times New Roman" w:hAnsi="Times New Roman" w:eastAsia="宋体" w:cs="Times New Roman"/>
                      <w:color w:val="auto"/>
                      <w:szCs w:val="21"/>
                      <w:highlight w:val="none"/>
                      <w:lang w:val="en-US" w:eastAsia="zh-CN"/>
                    </w:rPr>
                  </w:pPr>
                  <w:r>
                    <w:rPr>
                      <w:rFonts w:hint="eastAsia"/>
                      <w:color w:val="auto"/>
                      <w:highlight w:val="none"/>
                      <w:lang w:eastAsia="zh-CN"/>
                    </w:rPr>
                    <w:t>本次</w:t>
                  </w:r>
                  <w:r>
                    <w:rPr>
                      <w:rFonts w:hint="eastAsia"/>
                      <w:color w:val="auto"/>
                      <w:spacing w:val="-4"/>
                      <w:highlight w:val="none"/>
                    </w:rPr>
                    <w:t>采用电潜螺杆泵排采方式</w:t>
                  </w:r>
                  <w:r>
                    <w:rPr>
                      <w:rFonts w:hint="eastAsia"/>
                      <w:color w:val="auto"/>
                      <w:spacing w:val="-4"/>
                      <w:highlight w:val="none"/>
                      <w:lang w:eastAsia="zh-CN"/>
                    </w:rPr>
                    <w:t>进行排采施工，在</w:t>
                  </w:r>
                  <w:r>
                    <w:rPr>
                      <w:color w:val="auto"/>
                      <w:highlight w:val="none"/>
                    </w:rPr>
                    <w:t>L</w:t>
                  </w:r>
                  <w:r>
                    <w:rPr>
                      <w:rFonts w:hint="eastAsia"/>
                      <w:color w:val="auto"/>
                      <w:highlight w:val="none"/>
                    </w:rPr>
                    <w:t>型水平井中布置排采设备，排采设备包括地面设备和井下设备。地面设备包括阀门、气体流量计和管线等；井下设备包括永磁潜油电机、减速器、螺杆泵、筛管、生产油管等。</w:t>
                  </w:r>
                </w:p>
              </w:tc>
            </w:tr>
            <w:tr w14:paraId="13201C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vMerge w:val="continue"/>
                </w:tcPr>
                <w:p w14:paraId="5E09D07B">
                  <w:pPr>
                    <w:autoSpaceDE w:val="0"/>
                    <w:autoSpaceDN w:val="0"/>
                    <w:adjustRightInd w:val="0"/>
                    <w:snapToGrid w:val="0"/>
                    <w:jc w:val="left"/>
                    <w:rPr>
                      <w:rFonts w:ascii="Times New Roman" w:hAnsi="Times New Roman" w:eastAsia="宋体" w:cs="Times New Roman"/>
                      <w:color w:val="auto"/>
                      <w:szCs w:val="21"/>
                      <w:highlight w:val="none"/>
                    </w:rPr>
                  </w:pPr>
                </w:p>
              </w:tc>
              <w:tc>
                <w:tcPr>
                  <w:tcW w:w="552" w:type="pct"/>
                  <w:gridSpan w:val="2"/>
                  <w:vAlign w:val="center"/>
                </w:tcPr>
                <w:p w14:paraId="4F5E1CC9">
                  <w:pPr>
                    <w:autoSpaceDE w:val="0"/>
                    <w:autoSpaceDN w:val="0"/>
                    <w:adjustRightInd w:val="0"/>
                    <w:snapToGrid w:val="0"/>
                    <w:jc w:val="left"/>
                    <w:rPr>
                      <w:rFonts w:ascii="Times New Roman" w:hAnsi="Times New Roman" w:eastAsia="宋体" w:cs="Times New Roman"/>
                      <w:color w:val="auto"/>
                      <w:szCs w:val="21"/>
                      <w:highlight w:val="none"/>
                    </w:rPr>
                  </w:pPr>
                  <w:r>
                    <w:rPr>
                      <w:rFonts w:hint="eastAsia"/>
                      <w:color w:val="auto"/>
                      <w:highlight w:val="none"/>
                    </w:rPr>
                    <w:t>输气管路</w:t>
                  </w:r>
                </w:p>
              </w:tc>
              <w:tc>
                <w:tcPr>
                  <w:tcW w:w="3988" w:type="pct"/>
                </w:tcPr>
                <w:p w14:paraId="30A026FC">
                  <w:pPr>
                    <w:autoSpaceDE w:val="0"/>
                    <w:autoSpaceDN w:val="0"/>
                    <w:adjustRightInd w:val="0"/>
                    <w:snapToGrid w:val="0"/>
                    <w:jc w:val="left"/>
                    <w:rPr>
                      <w:rFonts w:hint="eastAsia" w:ascii="Times New Roman" w:hAnsi="Times New Roman" w:cs="Times New Roman" w:eastAsiaTheme="minorEastAsia"/>
                      <w:color w:val="auto"/>
                      <w:szCs w:val="21"/>
                      <w:highlight w:val="none"/>
                      <w:lang w:val="en-US" w:eastAsia="zh-CN"/>
                    </w:rPr>
                  </w:pPr>
                  <w:r>
                    <w:rPr>
                      <w:rFonts w:hint="eastAsia"/>
                      <w:color w:val="auto"/>
                      <w:highlight w:val="none"/>
                      <w:lang w:bidi="ar"/>
                    </w:rPr>
                    <w:t>井场内输气管路采用D</w:t>
                  </w:r>
                  <w:r>
                    <w:rPr>
                      <w:rFonts w:hint="eastAsia"/>
                      <w:color w:val="auto"/>
                      <w:highlight w:val="none"/>
                      <w:lang w:val="en-US" w:eastAsia="zh-CN" w:bidi="ar"/>
                    </w:rPr>
                    <w:t>133</w:t>
                  </w:r>
                  <w:r>
                    <w:rPr>
                      <w:rFonts w:hint="eastAsia"/>
                      <w:color w:val="auto"/>
                      <w:highlight w:val="none"/>
                      <w:lang w:bidi="ar"/>
                    </w:rPr>
                    <w:t>×5无缝钢管，架空敷设，</w:t>
                  </w:r>
                  <w:r>
                    <w:rPr>
                      <w:rFonts w:hint="eastAsia"/>
                      <w:color w:val="auto"/>
                      <w:highlight w:val="none"/>
                      <w:lang w:eastAsia="zh-CN" w:bidi="ar"/>
                    </w:rPr>
                    <w:t>管线长</w:t>
                  </w:r>
                  <w:r>
                    <w:rPr>
                      <w:rFonts w:hint="eastAsia"/>
                      <w:color w:val="auto"/>
                      <w:highlight w:val="none"/>
                      <w:lang w:val="en-US" w:eastAsia="zh-CN" w:bidi="ar"/>
                    </w:rPr>
                    <w:t>120</w:t>
                  </w:r>
                  <w:r>
                    <w:rPr>
                      <w:rFonts w:hint="eastAsia"/>
                      <w:color w:val="auto"/>
                      <w:spacing w:val="-4"/>
                      <w:highlight w:val="none"/>
                    </w:rPr>
                    <w:t>m</w:t>
                  </w:r>
                  <w:r>
                    <w:rPr>
                      <w:rFonts w:hint="eastAsia"/>
                      <w:color w:val="auto"/>
                      <w:highlight w:val="none"/>
                      <w:lang w:val="en-US" w:eastAsia="zh-CN" w:bidi="ar"/>
                    </w:rPr>
                    <w:t>。</w:t>
                  </w:r>
                  <w:r>
                    <w:rPr>
                      <w:rFonts w:hint="eastAsia"/>
                      <w:color w:val="auto"/>
                      <w:highlight w:val="none"/>
                      <w:lang w:bidi="ar"/>
                    </w:rPr>
                    <w:t>管路连接以焊接</w:t>
                  </w:r>
                  <w:r>
                    <w:rPr>
                      <w:rFonts w:hint="eastAsia"/>
                      <w:color w:val="auto"/>
                      <w:highlight w:val="none"/>
                      <w:lang w:eastAsia="zh-CN" w:bidi="ar"/>
                    </w:rPr>
                    <w:t>方式进行。</w:t>
                  </w:r>
                  <w:r>
                    <w:rPr>
                      <w:rFonts w:hint="eastAsia"/>
                      <w:color w:val="auto"/>
                      <w:highlight w:val="none"/>
                      <w:lang w:val="en-US" w:eastAsia="zh-CN" w:bidi="ar"/>
                    </w:rPr>
                    <w:t>井场外</w:t>
                  </w:r>
                  <w:r>
                    <w:rPr>
                      <w:rFonts w:hint="eastAsia"/>
                      <w:color w:val="auto"/>
                      <w:highlight w:val="none"/>
                      <w:lang w:bidi="ar"/>
                    </w:rPr>
                    <w:t>输气</w:t>
                  </w:r>
                  <w:r>
                    <w:rPr>
                      <w:rFonts w:hint="eastAsia"/>
                      <w:color w:val="auto"/>
                      <w:highlight w:val="none"/>
                      <w:lang w:val="en-US" w:eastAsia="zh-CN" w:bidi="ar"/>
                    </w:rPr>
                    <w:t>干</w:t>
                  </w:r>
                  <w:r>
                    <w:rPr>
                      <w:rFonts w:hint="eastAsia"/>
                      <w:color w:val="auto"/>
                      <w:highlight w:val="none"/>
                      <w:lang w:bidi="ar"/>
                    </w:rPr>
                    <w:t>管采用dn</w:t>
                  </w:r>
                  <w:r>
                    <w:rPr>
                      <w:rFonts w:hint="eastAsia"/>
                      <w:color w:val="auto"/>
                      <w:highlight w:val="none"/>
                      <w:lang w:val="en-US" w:eastAsia="zh-CN" w:bidi="ar"/>
                    </w:rPr>
                    <w:t>160</w:t>
                  </w:r>
                  <w:r>
                    <w:rPr>
                      <w:rFonts w:hint="eastAsia"/>
                      <w:color w:val="auto"/>
                      <w:highlight w:val="none"/>
                      <w:lang w:bidi="ar"/>
                    </w:rPr>
                    <w:t xml:space="preserve"> PE100</w:t>
                  </w:r>
                  <w:r>
                    <w:rPr>
                      <w:rFonts w:hint="eastAsia"/>
                      <w:color w:val="auto"/>
                      <w:highlight w:val="none"/>
                      <w:lang w:val="en-US" w:eastAsia="zh-CN" w:bidi="ar"/>
                    </w:rPr>
                    <w:t xml:space="preserve"> SDR11</w:t>
                  </w:r>
                  <w:r>
                    <w:rPr>
                      <w:rFonts w:hint="eastAsia"/>
                      <w:color w:val="auto"/>
                      <w:highlight w:val="none"/>
                      <w:lang w:bidi="ar"/>
                    </w:rPr>
                    <w:t>管路，起点为井场，终点</w:t>
                  </w:r>
                  <w:r>
                    <w:rPr>
                      <w:rFonts w:hint="default"/>
                      <w:color w:val="auto"/>
                      <w:highlight w:val="none"/>
                      <w:lang w:val="en-US"/>
                    </w:rPr>
                    <w:t>潘一煤矿东区</w:t>
                  </w:r>
                  <w:r>
                    <w:rPr>
                      <w:rFonts w:hint="eastAsia"/>
                      <w:color w:val="auto"/>
                      <w:highlight w:val="none"/>
                      <w:lang w:val="en-US" w:eastAsia="zh-CN"/>
                    </w:rPr>
                    <w:t>瓦斯发电站</w:t>
                  </w:r>
                  <w:r>
                    <w:rPr>
                      <w:rFonts w:hint="eastAsia"/>
                      <w:color w:val="auto"/>
                      <w:highlight w:val="none"/>
                      <w:lang w:bidi="ar"/>
                    </w:rPr>
                    <w:t>，路线长约</w:t>
                  </w:r>
                  <w:r>
                    <w:rPr>
                      <w:rFonts w:hint="eastAsia"/>
                      <w:color w:val="auto"/>
                      <w:highlight w:val="none"/>
                      <w:lang w:val="en-US" w:eastAsia="zh-CN" w:bidi="ar"/>
                    </w:rPr>
                    <w:t>950</w:t>
                  </w:r>
                  <w:r>
                    <w:rPr>
                      <w:rFonts w:hint="eastAsia"/>
                      <w:color w:val="auto"/>
                      <w:highlight w:val="none"/>
                      <w:lang w:bidi="ar"/>
                    </w:rPr>
                    <w:t>m，采用定向钻敷设</w:t>
                  </w:r>
                  <w:r>
                    <w:rPr>
                      <w:rFonts w:hint="eastAsia"/>
                      <w:color w:val="auto"/>
                      <w:spacing w:val="-4"/>
                      <w:highlight w:val="none"/>
                    </w:rPr>
                    <w:t>，</w:t>
                  </w:r>
                  <w:r>
                    <w:rPr>
                      <w:rFonts w:hint="eastAsia"/>
                      <w:color w:val="auto"/>
                      <w:highlight w:val="none"/>
                    </w:rPr>
                    <w:t>PE管采用电熔</w:t>
                  </w:r>
                  <w:r>
                    <w:rPr>
                      <w:rFonts w:hint="eastAsia"/>
                      <w:color w:val="auto"/>
                      <w:highlight w:val="none"/>
                      <w:lang w:val="en-US" w:eastAsia="zh-CN"/>
                    </w:rPr>
                    <w:t>或热熔</w:t>
                  </w:r>
                  <w:r>
                    <w:rPr>
                      <w:rFonts w:hint="eastAsia"/>
                      <w:color w:val="auto"/>
                      <w:highlight w:val="none"/>
                    </w:rPr>
                    <w:t>连接</w:t>
                  </w:r>
                  <w:r>
                    <w:rPr>
                      <w:rFonts w:hint="eastAsia"/>
                      <w:color w:val="auto"/>
                      <w:highlight w:val="none"/>
                      <w:lang w:eastAsia="zh-CN"/>
                    </w:rPr>
                    <w:t>，施工</w:t>
                  </w:r>
                  <w:r>
                    <w:rPr>
                      <w:rFonts w:hint="eastAsia"/>
                      <w:color w:val="auto"/>
                      <w:spacing w:val="-4"/>
                      <w:highlight w:val="none"/>
                      <w:lang w:val="en-US" w:eastAsia="zh-CN"/>
                    </w:rPr>
                    <w:t>以定向钻敷设。</w:t>
                  </w:r>
                </w:p>
              </w:tc>
            </w:tr>
            <w:tr w14:paraId="3E22F2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58" w:type="pct"/>
                  <w:vMerge w:val="continue"/>
                </w:tcPr>
                <w:p w14:paraId="3BE3C834">
                  <w:pPr>
                    <w:autoSpaceDE w:val="0"/>
                    <w:autoSpaceDN w:val="0"/>
                    <w:adjustRightInd w:val="0"/>
                    <w:snapToGrid w:val="0"/>
                    <w:jc w:val="left"/>
                    <w:rPr>
                      <w:rFonts w:ascii="Times New Roman" w:hAnsi="Times New Roman" w:eastAsia="宋体" w:cs="Times New Roman"/>
                      <w:color w:val="auto"/>
                      <w:szCs w:val="21"/>
                      <w:highlight w:val="none"/>
                    </w:rPr>
                  </w:pPr>
                </w:p>
              </w:tc>
              <w:tc>
                <w:tcPr>
                  <w:tcW w:w="552" w:type="pct"/>
                  <w:gridSpan w:val="2"/>
                  <w:vAlign w:val="center"/>
                </w:tcPr>
                <w:p w14:paraId="0CFCCC5D">
                  <w:pPr>
                    <w:autoSpaceDE w:val="0"/>
                    <w:autoSpaceDN w:val="0"/>
                    <w:adjustRightInd w:val="0"/>
                    <w:snapToGrid w:val="0"/>
                    <w:jc w:val="left"/>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封井工程</w:t>
                  </w:r>
                </w:p>
              </w:tc>
              <w:tc>
                <w:tcPr>
                  <w:tcW w:w="3988" w:type="pct"/>
                </w:tcPr>
                <w:p w14:paraId="1E4E9203">
                  <w:pPr>
                    <w:autoSpaceDE w:val="0"/>
                    <w:autoSpaceDN w:val="0"/>
                    <w:adjustRightInd w:val="0"/>
                    <w:snapToGrid w:val="0"/>
                    <w:jc w:val="left"/>
                    <w:rPr>
                      <w:rFonts w:hint="eastAsia" w:eastAsiaTheme="minorEastAsia"/>
                      <w:color w:val="auto"/>
                      <w:highlight w:val="none"/>
                      <w:lang w:eastAsia="zh-CN"/>
                    </w:rPr>
                  </w:pPr>
                  <w:r>
                    <w:rPr>
                      <w:rFonts w:hint="eastAsia" w:eastAsiaTheme="minorEastAsia"/>
                      <w:color w:val="auto"/>
                      <w:highlight w:val="none"/>
                      <w:lang w:eastAsia="zh-CN"/>
                    </w:rPr>
                    <w:t>本项目排采施工完成后拆除所有设备并清理现场，采用水泥对钻孔进行全孔封闭，并在井口埋设永久性水泥暗标，作详细记录封孔情况。施工结束后恢复场区原状。</w:t>
                  </w:r>
                </w:p>
              </w:tc>
            </w:tr>
            <w:tr w14:paraId="47ED96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vMerge w:val="restart"/>
                  <w:vAlign w:val="center"/>
                </w:tcPr>
                <w:p w14:paraId="59BC5A87">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储运</w:t>
                  </w:r>
                </w:p>
                <w:p w14:paraId="66CA442A">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工程</w:t>
                  </w:r>
                </w:p>
              </w:tc>
              <w:tc>
                <w:tcPr>
                  <w:tcW w:w="552" w:type="pct"/>
                  <w:gridSpan w:val="2"/>
                  <w:shd w:val="clear" w:color="auto" w:fill="auto"/>
                  <w:vAlign w:val="center"/>
                </w:tcPr>
                <w:p w14:paraId="0146B66B">
                  <w:pPr>
                    <w:autoSpaceDE w:val="0"/>
                    <w:autoSpaceDN w:val="0"/>
                    <w:adjustRightInd w:val="0"/>
                    <w:snapToGrid w:val="0"/>
                    <w:jc w:val="left"/>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材料</w:t>
                  </w:r>
                  <w:r>
                    <w:rPr>
                      <w:rFonts w:hint="eastAsia" w:ascii="Times New Roman" w:hAnsi="Times New Roman" w:eastAsia="宋体" w:cs="Times New Roman"/>
                      <w:color w:val="auto"/>
                      <w:szCs w:val="21"/>
                      <w:lang w:eastAsia="zh-CN"/>
                    </w:rPr>
                    <w:t>库房</w:t>
                  </w:r>
                </w:p>
              </w:tc>
              <w:tc>
                <w:tcPr>
                  <w:tcW w:w="3988" w:type="pct"/>
                  <w:shd w:val="clear" w:color="auto" w:fill="auto"/>
                  <w:vAlign w:val="center"/>
                </w:tcPr>
                <w:p w14:paraId="315FB59F">
                  <w:pPr>
                    <w:autoSpaceDE w:val="0"/>
                    <w:autoSpaceDN w:val="0"/>
                    <w:adjustRightInd w:val="0"/>
                    <w:snapToGrid w:val="0"/>
                    <w:jc w:val="left"/>
                    <w:rPr>
                      <w:rFonts w:hint="eastAsia" w:ascii="Times New Roman" w:hAnsi="Times New Roman" w:eastAsia="宋体" w:cs="Times New Roman"/>
                      <w:color w:val="auto"/>
                      <w:kern w:val="2"/>
                      <w:sz w:val="21"/>
                      <w:szCs w:val="21"/>
                      <w:highlight w:val="yellow"/>
                      <w:lang w:val="en-US" w:eastAsia="zh-CN" w:bidi="ar-SA"/>
                    </w:rPr>
                  </w:pPr>
                  <w:r>
                    <w:rPr>
                      <w:rFonts w:ascii="Times New Roman" w:hAnsi="Times New Roman" w:eastAsia="宋体" w:cs="Times New Roman"/>
                      <w:color w:val="auto"/>
                      <w:szCs w:val="21"/>
                      <w:highlight w:val="none"/>
                    </w:rPr>
                    <w:t>本项目</w:t>
                  </w:r>
                  <w:r>
                    <w:rPr>
                      <w:rFonts w:hint="eastAsia" w:ascii="Times New Roman" w:hAnsi="Times New Roman" w:eastAsia="宋体" w:cs="Times New Roman"/>
                      <w:color w:val="auto"/>
                      <w:szCs w:val="21"/>
                      <w:highlight w:val="none"/>
                      <w:lang w:eastAsia="zh-CN"/>
                    </w:rPr>
                    <w:t>施工场地</w:t>
                  </w:r>
                  <w:r>
                    <w:rPr>
                      <w:rFonts w:ascii="Times New Roman" w:hAnsi="Times New Roman" w:eastAsia="宋体" w:cs="Times New Roman"/>
                      <w:color w:val="auto"/>
                      <w:szCs w:val="21"/>
                      <w:highlight w:val="none"/>
                    </w:rPr>
                    <w:t>设置1处</w:t>
                  </w:r>
                  <w:r>
                    <w:rPr>
                      <w:rFonts w:hint="eastAsia" w:ascii="Times New Roman" w:hAnsi="Times New Roman" w:eastAsia="宋体" w:cs="Times New Roman"/>
                      <w:color w:val="auto"/>
                      <w:szCs w:val="21"/>
                      <w:highlight w:val="none"/>
                      <w:lang w:eastAsia="zh-CN"/>
                    </w:rPr>
                    <w:t>材料</w:t>
                  </w:r>
                  <w:r>
                    <w:rPr>
                      <w:rFonts w:ascii="Times New Roman" w:hAnsi="Times New Roman" w:eastAsia="宋体" w:cs="Times New Roman"/>
                      <w:color w:val="auto"/>
                      <w:szCs w:val="21"/>
                      <w:highlight w:val="none"/>
                    </w:rPr>
                    <w:t>堆放</w:t>
                  </w:r>
                  <w:r>
                    <w:rPr>
                      <w:rFonts w:hint="eastAsia" w:ascii="Times New Roman" w:hAnsi="Times New Roman" w:eastAsia="宋体" w:cs="Times New Roman"/>
                      <w:color w:val="auto"/>
                      <w:szCs w:val="21"/>
                      <w:highlight w:val="none"/>
                      <w:lang w:eastAsia="zh-CN"/>
                    </w:rPr>
                    <w:t>棚</w:t>
                  </w:r>
                  <w:r>
                    <w:rPr>
                      <w:rFonts w:ascii="Times New Roman" w:hAnsi="Times New Roman" w:eastAsia="宋体" w:cs="Times New Roman"/>
                      <w:color w:val="auto"/>
                      <w:szCs w:val="21"/>
                      <w:highlight w:val="none"/>
                    </w:rPr>
                    <w:t>，堆放区面积</w:t>
                  </w:r>
                  <w:r>
                    <w:rPr>
                      <w:rFonts w:hint="eastAsia" w:ascii="Times New Roman" w:hAnsi="Times New Roman" w:eastAsia="宋体" w:cs="Times New Roman"/>
                      <w:color w:val="auto"/>
                      <w:szCs w:val="21"/>
                      <w:highlight w:val="none"/>
                      <w:lang w:eastAsia="zh-CN"/>
                    </w:rPr>
                    <w:t>约</w:t>
                  </w:r>
                  <w:r>
                    <w:rPr>
                      <w:rFonts w:hint="eastAsia"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用于储存纤维素、腐殖酸</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 w:val="21"/>
                      <w:szCs w:val="21"/>
                    </w:rPr>
                    <w:t>膨润土</w:t>
                  </w:r>
                  <w:r>
                    <w:rPr>
                      <w:rFonts w:hint="eastAsia" w:ascii="Times New Roman" w:hAnsi="Times New Roman" w:eastAsia="宋体" w:cs="Times New Roman"/>
                      <w:color w:val="auto"/>
                      <w:sz w:val="21"/>
                      <w:szCs w:val="21"/>
                      <w:lang w:eastAsia="zh-CN"/>
                    </w:rPr>
                    <w:t>、套管、钻具</w:t>
                  </w:r>
                  <w:r>
                    <w:rPr>
                      <w:rFonts w:hint="eastAsia" w:ascii="Times New Roman" w:hAnsi="Times New Roman" w:eastAsia="宋体" w:cs="Times New Roman"/>
                      <w:color w:val="auto"/>
                      <w:szCs w:val="21"/>
                      <w:highlight w:val="none"/>
                    </w:rPr>
                    <w:t>等原辅材料</w:t>
                  </w:r>
                  <w:r>
                    <w:rPr>
                      <w:rFonts w:hint="eastAsia" w:ascii="Times New Roman" w:hAnsi="Times New Roman" w:eastAsia="宋体" w:cs="Times New Roman"/>
                      <w:color w:val="auto"/>
                      <w:szCs w:val="21"/>
                      <w:highlight w:val="none"/>
                      <w:lang w:eastAsia="zh-CN"/>
                    </w:rPr>
                    <w:t>。</w:t>
                  </w:r>
                </w:p>
              </w:tc>
            </w:tr>
            <w:tr w14:paraId="30146E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vMerge w:val="continue"/>
                  <w:vAlign w:val="center"/>
                </w:tcPr>
                <w:p w14:paraId="1245DBE4">
                  <w:pPr>
                    <w:autoSpaceDE w:val="0"/>
                    <w:autoSpaceDN w:val="0"/>
                    <w:adjustRightInd w:val="0"/>
                    <w:snapToGrid w:val="0"/>
                    <w:jc w:val="left"/>
                    <w:rPr>
                      <w:rFonts w:ascii="Times New Roman" w:hAnsi="Times New Roman" w:eastAsia="宋体" w:cs="Times New Roman"/>
                      <w:color w:val="auto"/>
                      <w:szCs w:val="21"/>
                    </w:rPr>
                  </w:pPr>
                </w:p>
              </w:tc>
              <w:tc>
                <w:tcPr>
                  <w:tcW w:w="552" w:type="pct"/>
                  <w:gridSpan w:val="2"/>
                  <w:shd w:val="clear" w:color="auto" w:fill="auto"/>
                  <w:vAlign w:val="center"/>
                </w:tcPr>
                <w:p w14:paraId="716CD777">
                  <w:pPr>
                    <w:autoSpaceDE w:val="0"/>
                    <w:autoSpaceDN w:val="0"/>
                    <w:adjustRightInd w:val="0"/>
                    <w:snapToGrid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eastAsia="zh-CN"/>
                    </w:rPr>
                    <w:t>清水箱</w:t>
                  </w:r>
                </w:p>
              </w:tc>
              <w:tc>
                <w:tcPr>
                  <w:tcW w:w="3988" w:type="pct"/>
                  <w:shd w:val="clear" w:color="auto" w:fill="auto"/>
                  <w:vAlign w:val="center"/>
                </w:tcPr>
                <w:p w14:paraId="2B6B887C">
                  <w:pPr>
                    <w:autoSpaceDE w:val="0"/>
                    <w:autoSpaceDN w:val="0"/>
                    <w:adjustRightInd w:val="0"/>
                    <w:snapToGrid w:val="0"/>
                    <w:jc w:val="left"/>
                    <w:rPr>
                      <w:rFonts w:hint="eastAsia" w:ascii="Times New Roman" w:hAnsi="Times New Roman" w:cs="Times New Roman" w:eastAsiaTheme="minorEastAsia"/>
                      <w:color w:val="auto"/>
                      <w:kern w:val="2"/>
                      <w:sz w:val="21"/>
                      <w:szCs w:val="21"/>
                      <w:highlight w:val="yellow"/>
                      <w:lang w:val="en-US" w:eastAsia="zh-CN" w:bidi="ar-SA"/>
                    </w:rPr>
                  </w:pPr>
                  <w:r>
                    <w:rPr>
                      <w:rFonts w:ascii="Times New Roman" w:hAnsi="Times New Roman" w:eastAsia="宋体" w:cs="Times New Roman"/>
                      <w:color w:val="auto"/>
                      <w:szCs w:val="21"/>
                      <w:highlight w:val="none"/>
                    </w:rPr>
                    <w:t>本项目</w:t>
                  </w:r>
                  <w:r>
                    <w:rPr>
                      <w:rFonts w:hint="eastAsia" w:ascii="Times New Roman" w:hAnsi="Times New Roman" w:eastAsia="宋体" w:cs="Times New Roman"/>
                      <w:color w:val="auto"/>
                      <w:szCs w:val="21"/>
                      <w:highlight w:val="none"/>
                      <w:lang w:eastAsia="zh-CN"/>
                    </w:rPr>
                    <w:t>施工场地设置一个清水池，</w:t>
                  </w:r>
                  <w:r>
                    <w:rPr>
                      <w:rFonts w:hint="eastAsia"/>
                      <w:color w:val="auto"/>
                      <w:highlight w:val="none"/>
                      <w:lang w:eastAsia="zh-CN"/>
                    </w:rPr>
                    <w:t>总容积</w:t>
                  </w:r>
                  <w:r>
                    <w:rPr>
                      <w:rFonts w:hint="eastAsia"/>
                      <w:color w:val="auto"/>
                      <w:highlight w:val="none"/>
                      <w:lang w:val="en-US" w:eastAsia="zh-CN"/>
                    </w:rPr>
                    <w:t>200m</w:t>
                  </w:r>
                  <w:r>
                    <w:rPr>
                      <w:rFonts w:hint="eastAsia"/>
                      <w:color w:val="auto"/>
                      <w:highlight w:val="none"/>
                      <w:vertAlign w:val="superscript"/>
                      <w:lang w:val="en-US" w:eastAsia="zh-CN"/>
                    </w:rPr>
                    <w:t>3</w:t>
                  </w:r>
                  <w:r>
                    <w:rPr>
                      <w:rFonts w:hint="eastAsia"/>
                      <w:color w:val="auto"/>
                      <w:highlight w:val="none"/>
                      <w:lang w:eastAsia="zh-CN"/>
                    </w:rPr>
                    <w:t>，</w:t>
                  </w:r>
                  <w:r>
                    <w:rPr>
                      <w:rFonts w:hint="eastAsia"/>
                      <w:color w:val="auto"/>
                      <w:highlight w:val="none"/>
                      <w:vertAlign w:val="baseline"/>
                      <w:lang w:val="en-US" w:eastAsia="zh-CN"/>
                    </w:rPr>
                    <w:t>用于施工过程中用水存储。</w:t>
                  </w:r>
                </w:p>
              </w:tc>
            </w:tr>
            <w:tr w14:paraId="60B284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58" w:type="pct"/>
                  <w:vMerge w:val="continue"/>
                  <w:vAlign w:val="center"/>
                </w:tcPr>
                <w:p w14:paraId="4BABDF9A">
                  <w:pPr>
                    <w:autoSpaceDE w:val="0"/>
                    <w:autoSpaceDN w:val="0"/>
                    <w:adjustRightInd w:val="0"/>
                    <w:snapToGrid w:val="0"/>
                    <w:jc w:val="left"/>
                    <w:rPr>
                      <w:rFonts w:ascii="Times New Roman" w:hAnsi="Times New Roman" w:eastAsia="宋体" w:cs="Times New Roman"/>
                      <w:color w:val="auto"/>
                      <w:szCs w:val="21"/>
                    </w:rPr>
                  </w:pPr>
                </w:p>
              </w:tc>
              <w:tc>
                <w:tcPr>
                  <w:tcW w:w="552" w:type="pct"/>
                  <w:gridSpan w:val="2"/>
                  <w:vAlign w:val="center"/>
                </w:tcPr>
                <w:p w14:paraId="78DB0ED4">
                  <w:pPr>
                    <w:autoSpaceDE w:val="0"/>
                    <w:autoSpaceDN w:val="0"/>
                    <w:adjustRightInd w:val="0"/>
                    <w:snapToGrid w:val="0"/>
                    <w:jc w:val="left"/>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固控系统</w:t>
                  </w:r>
                </w:p>
              </w:tc>
              <w:tc>
                <w:tcPr>
                  <w:tcW w:w="3988" w:type="pct"/>
                  <w:vAlign w:val="center"/>
                </w:tcPr>
                <w:p w14:paraId="73102006">
                  <w:pPr>
                    <w:autoSpaceDE w:val="0"/>
                    <w:autoSpaceDN w:val="0"/>
                    <w:adjustRightInd w:val="0"/>
                    <w:snapToGrid w:val="0"/>
                    <w:jc w:val="left"/>
                    <w:rPr>
                      <w:rFonts w:hint="eastAsia" w:ascii="Times New Roman" w:hAnsi="Times New Roman" w:cs="Times New Roman" w:eastAsiaTheme="minorEastAsia"/>
                      <w:color w:val="auto"/>
                      <w:szCs w:val="21"/>
                      <w:highlight w:val="yellow"/>
                      <w:lang w:val="en-US" w:eastAsia="zh-CN"/>
                    </w:rPr>
                  </w:pPr>
                  <w:r>
                    <w:rPr>
                      <w:rFonts w:hint="eastAsia" w:ascii="Times New Roman" w:hAnsi="Times New Roman" w:eastAsia="宋体" w:cs="Times New Roman"/>
                      <w:color w:val="auto"/>
                      <w:sz w:val="21"/>
                      <w:szCs w:val="21"/>
                      <w:lang w:val="en-US" w:eastAsia="zh-CN"/>
                    </w:rPr>
                    <w:t>施工场地</w:t>
                  </w:r>
                  <w:r>
                    <w:rPr>
                      <w:rFonts w:hint="default" w:ascii="Times New Roman" w:hAnsi="Times New Roman" w:eastAsia="宋体" w:cs="Times New Roman"/>
                      <w:color w:val="auto"/>
                      <w:sz w:val="21"/>
                      <w:szCs w:val="21"/>
                      <w:lang w:eastAsia="zh-CN"/>
                    </w:rPr>
                    <w:t>布置</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套固控系统，固控系统位于钻井</w:t>
                  </w:r>
                  <w:r>
                    <w:rPr>
                      <w:rFonts w:hint="eastAsia" w:ascii="Times New Roman" w:hAnsi="Times New Roman" w:eastAsia="宋体" w:cs="Times New Roman"/>
                      <w:color w:val="auto"/>
                      <w:sz w:val="21"/>
                      <w:szCs w:val="21"/>
                      <w:lang w:eastAsia="zh-CN"/>
                    </w:rPr>
                    <w:t>井口一侧，</w:t>
                  </w:r>
                  <w:r>
                    <w:rPr>
                      <w:rFonts w:hint="default" w:ascii="Times New Roman" w:hAnsi="Times New Roman" w:eastAsia="宋体" w:cs="Times New Roman"/>
                      <w:color w:val="auto"/>
                      <w:sz w:val="21"/>
                      <w:szCs w:val="21"/>
                      <w:lang w:eastAsia="zh-CN"/>
                    </w:rPr>
                    <w:t>主要用</w:t>
                  </w:r>
                  <w:r>
                    <w:rPr>
                      <w:rFonts w:hint="eastAsia" w:ascii="Times New Roman" w:hAnsi="Times New Roman" w:eastAsia="宋体" w:cs="Times New Roman"/>
                      <w:color w:val="auto"/>
                      <w:sz w:val="21"/>
                      <w:szCs w:val="21"/>
                      <w:lang w:eastAsia="zh-CN"/>
                    </w:rPr>
                    <w:t>于钻井液的</w:t>
                  </w:r>
                  <w:r>
                    <w:rPr>
                      <w:rFonts w:hint="default" w:ascii="Times New Roman" w:hAnsi="Times New Roman" w:eastAsia="宋体" w:cs="Times New Roman"/>
                      <w:color w:val="auto"/>
                      <w:sz w:val="21"/>
                      <w:szCs w:val="21"/>
                      <w:lang w:eastAsia="zh-CN"/>
                    </w:rPr>
                    <w:t>固相控制和固液分离，使得钻井液可以循环利用</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固控系统由4个泥浆罐组成，配有</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eastAsia="zh-CN"/>
                    </w:rPr>
                    <w:t>级净化设备。</w:t>
                  </w:r>
                </w:p>
              </w:tc>
            </w:tr>
            <w:tr w14:paraId="1D33DA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vMerge w:val="continue"/>
                  <w:vAlign w:val="center"/>
                </w:tcPr>
                <w:p w14:paraId="7323ECD9">
                  <w:pPr>
                    <w:autoSpaceDE w:val="0"/>
                    <w:autoSpaceDN w:val="0"/>
                    <w:adjustRightInd w:val="0"/>
                    <w:snapToGrid w:val="0"/>
                    <w:jc w:val="left"/>
                    <w:rPr>
                      <w:rFonts w:ascii="Times New Roman" w:hAnsi="Times New Roman" w:eastAsia="宋体" w:cs="Times New Roman"/>
                      <w:color w:val="auto"/>
                      <w:szCs w:val="21"/>
                    </w:rPr>
                  </w:pPr>
                </w:p>
              </w:tc>
              <w:tc>
                <w:tcPr>
                  <w:tcW w:w="552" w:type="pct"/>
                  <w:gridSpan w:val="2"/>
                  <w:shd w:val="clear" w:color="auto" w:fill="auto"/>
                  <w:vAlign w:val="center"/>
                </w:tcPr>
                <w:p w14:paraId="2A4D3648">
                  <w:pPr>
                    <w:autoSpaceDE w:val="0"/>
                    <w:autoSpaceDN w:val="0"/>
                    <w:adjustRightInd w:val="0"/>
                    <w:snapToGrid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eastAsia="zh-CN"/>
                    </w:rPr>
                    <w:t>废浆池</w:t>
                  </w:r>
                </w:p>
              </w:tc>
              <w:tc>
                <w:tcPr>
                  <w:tcW w:w="3988" w:type="pct"/>
                  <w:shd w:val="clear" w:color="auto" w:fill="auto"/>
                  <w:vAlign w:val="center"/>
                </w:tcPr>
                <w:p w14:paraId="1F678CB1">
                  <w:pPr>
                    <w:autoSpaceDE w:val="0"/>
                    <w:autoSpaceDN w:val="0"/>
                    <w:adjustRightInd w:val="0"/>
                    <w:snapToGrid w:val="0"/>
                    <w:jc w:val="left"/>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Cs w:val="21"/>
                      <w:highlight w:val="none"/>
                    </w:rPr>
                    <w:t>本项目</w:t>
                  </w:r>
                  <w:r>
                    <w:rPr>
                      <w:rFonts w:hint="eastAsia" w:ascii="Times New Roman" w:hAnsi="Times New Roman" w:eastAsia="宋体" w:cs="Times New Roman"/>
                      <w:color w:val="auto"/>
                      <w:szCs w:val="21"/>
                      <w:highlight w:val="none"/>
                      <w:lang w:eastAsia="zh-CN"/>
                    </w:rPr>
                    <w:t>施工场地设置</w:t>
                  </w:r>
                  <w:r>
                    <w:rPr>
                      <w:rFonts w:hint="eastAsia" w:ascii="Times New Roman" w:hAnsi="Times New Roman" w:eastAsia="宋体" w:cs="Times New Roman"/>
                      <w:color w:val="auto"/>
                      <w:szCs w:val="21"/>
                      <w:highlight w:val="none"/>
                      <w:lang w:val="en-US" w:eastAsia="zh-CN"/>
                    </w:rPr>
                    <w:t>1</w:t>
                  </w:r>
                  <w:r>
                    <w:rPr>
                      <w:rFonts w:hint="eastAsia" w:ascii="Times New Roman" w:hAnsi="Times New Roman" w:eastAsia="宋体" w:cs="Times New Roman"/>
                      <w:color w:val="auto"/>
                      <w:szCs w:val="21"/>
                      <w:highlight w:val="none"/>
                      <w:lang w:eastAsia="zh-CN"/>
                    </w:rPr>
                    <w:t>座废浆池，尺寸为</w:t>
                  </w:r>
                  <w:r>
                    <w:rPr>
                      <w:rFonts w:hint="eastAsia" w:eastAsia="宋体"/>
                      <w:color w:val="auto"/>
                      <w:highlight w:val="none"/>
                      <w:lang w:val="en-US" w:eastAsia="zh-CN"/>
                    </w:rPr>
                    <w:t>24</w:t>
                  </w:r>
                  <w:r>
                    <w:rPr>
                      <w:rFonts w:hint="eastAsia"/>
                      <w:color w:val="auto"/>
                      <w:highlight w:val="none"/>
                      <w:lang w:val="en-US" w:eastAsia="zh-CN"/>
                    </w:rPr>
                    <w:t>m*6m*1.5m</w:t>
                  </w:r>
                  <w:r>
                    <w:rPr>
                      <w:rFonts w:hint="eastAsia"/>
                      <w:color w:val="auto"/>
                      <w:highlight w:val="none"/>
                      <w:lang w:eastAsia="zh-CN"/>
                    </w:rPr>
                    <w:t>，总容积</w:t>
                  </w:r>
                  <w:r>
                    <w:rPr>
                      <w:rFonts w:hint="eastAsia"/>
                      <w:color w:val="auto"/>
                      <w:highlight w:val="none"/>
                      <w:lang w:val="en-US" w:eastAsia="zh-CN"/>
                    </w:rPr>
                    <w:t>216m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color w:val="auto"/>
                      <w:highlight w:val="none"/>
                      <w:lang w:eastAsia="zh-CN"/>
                    </w:rPr>
                    <w:t>用于不能使用的泥浆（废浆）暂存。</w:t>
                  </w:r>
                </w:p>
              </w:tc>
            </w:tr>
            <w:tr w14:paraId="27CC83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vMerge w:val="continue"/>
                  <w:vAlign w:val="center"/>
                </w:tcPr>
                <w:p w14:paraId="63B9F391">
                  <w:pPr>
                    <w:autoSpaceDE w:val="0"/>
                    <w:autoSpaceDN w:val="0"/>
                    <w:adjustRightInd w:val="0"/>
                    <w:snapToGrid w:val="0"/>
                    <w:jc w:val="left"/>
                    <w:rPr>
                      <w:rFonts w:ascii="Times New Roman" w:hAnsi="Times New Roman" w:eastAsia="宋体" w:cs="Times New Roman"/>
                      <w:color w:val="auto"/>
                      <w:szCs w:val="21"/>
                    </w:rPr>
                  </w:pPr>
                </w:p>
              </w:tc>
              <w:tc>
                <w:tcPr>
                  <w:tcW w:w="552" w:type="pct"/>
                  <w:gridSpan w:val="2"/>
                  <w:shd w:val="clear" w:color="auto" w:fill="auto"/>
                  <w:vAlign w:val="center"/>
                </w:tcPr>
                <w:p w14:paraId="6CD2A232">
                  <w:pPr>
                    <w:autoSpaceDE w:val="0"/>
                    <w:autoSpaceDN w:val="0"/>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沉砂池</w:t>
                  </w:r>
                </w:p>
              </w:tc>
              <w:tc>
                <w:tcPr>
                  <w:tcW w:w="3988" w:type="pct"/>
                  <w:shd w:val="clear" w:color="auto" w:fill="auto"/>
                  <w:vAlign w:val="center"/>
                </w:tcPr>
                <w:p w14:paraId="092ABC95">
                  <w:pPr>
                    <w:autoSpaceDE w:val="0"/>
                    <w:autoSpaceDN w:val="0"/>
                    <w:adjustRightInd w:val="0"/>
                    <w:snapToGrid w:val="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本项目</w:t>
                  </w:r>
                  <w:r>
                    <w:rPr>
                      <w:rFonts w:hint="eastAsia" w:ascii="Times New Roman" w:hAnsi="Times New Roman" w:eastAsia="宋体" w:cs="Times New Roman"/>
                      <w:color w:val="auto"/>
                      <w:szCs w:val="21"/>
                      <w:highlight w:val="none"/>
                      <w:lang w:eastAsia="zh-CN"/>
                    </w:rPr>
                    <w:t>施工场地设置</w:t>
                  </w:r>
                  <w:r>
                    <w:rPr>
                      <w:rFonts w:hint="eastAsia" w:ascii="Times New Roman" w:hAnsi="Times New Roman" w:eastAsia="宋体" w:cs="Times New Roman"/>
                      <w:color w:val="auto"/>
                      <w:szCs w:val="21"/>
                      <w:highlight w:val="none"/>
                      <w:lang w:val="en-US" w:eastAsia="zh-CN"/>
                    </w:rPr>
                    <w:t>1</w:t>
                  </w:r>
                  <w:r>
                    <w:rPr>
                      <w:rFonts w:hint="eastAsia" w:ascii="Times New Roman" w:hAnsi="Times New Roman" w:eastAsia="宋体" w:cs="Times New Roman"/>
                      <w:color w:val="auto"/>
                      <w:szCs w:val="21"/>
                      <w:highlight w:val="none"/>
                      <w:lang w:eastAsia="zh-CN"/>
                    </w:rPr>
                    <w:t>座沉砂池，尺寸均为</w:t>
                  </w:r>
                  <w:r>
                    <w:rPr>
                      <w:rFonts w:hint="eastAsia" w:eastAsia="宋体"/>
                      <w:color w:val="auto"/>
                      <w:highlight w:val="none"/>
                      <w:lang w:val="en-US" w:eastAsia="zh-CN"/>
                    </w:rPr>
                    <w:t>11</w:t>
                  </w:r>
                  <w:r>
                    <w:rPr>
                      <w:rFonts w:hint="eastAsia"/>
                      <w:color w:val="auto"/>
                      <w:highlight w:val="none"/>
                      <w:lang w:val="en-US" w:eastAsia="zh-CN"/>
                    </w:rPr>
                    <w:t>m*6m*1.5m</w:t>
                  </w:r>
                  <w:r>
                    <w:rPr>
                      <w:rFonts w:hint="eastAsia"/>
                      <w:color w:val="auto"/>
                      <w:highlight w:val="none"/>
                      <w:lang w:eastAsia="zh-CN"/>
                    </w:rPr>
                    <w:t>，总容积</w:t>
                  </w:r>
                  <w:r>
                    <w:rPr>
                      <w:rFonts w:hint="eastAsia"/>
                      <w:color w:val="auto"/>
                      <w:highlight w:val="none"/>
                      <w:lang w:val="en-US" w:eastAsia="zh-CN"/>
                    </w:rPr>
                    <w:t>99m</w:t>
                  </w:r>
                  <w:r>
                    <w:rPr>
                      <w:rFonts w:hint="eastAsia"/>
                      <w:color w:val="auto"/>
                      <w:highlight w:val="none"/>
                      <w:vertAlign w:val="superscript"/>
                      <w:lang w:val="en-US" w:eastAsia="zh-CN"/>
                    </w:rPr>
                    <w:t>3</w:t>
                  </w:r>
                  <w:r>
                    <w:rPr>
                      <w:rFonts w:hint="eastAsia"/>
                      <w:color w:val="auto"/>
                      <w:highlight w:val="none"/>
                      <w:vertAlign w:val="baseline"/>
                      <w:lang w:val="en-US" w:eastAsia="zh-CN"/>
                    </w:rPr>
                    <w:t>，用于施工过程中岩砂储存。</w:t>
                  </w:r>
                </w:p>
              </w:tc>
            </w:tr>
            <w:tr w14:paraId="01DE3E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458" w:type="pct"/>
                  <w:vMerge w:val="restart"/>
                  <w:vAlign w:val="center"/>
                </w:tcPr>
                <w:p w14:paraId="054C5BCC">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公用工程</w:t>
                  </w:r>
                </w:p>
              </w:tc>
              <w:tc>
                <w:tcPr>
                  <w:tcW w:w="552" w:type="pct"/>
                  <w:gridSpan w:val="2"/>
                  <w:shd w:val="clear" w:color="auto" w:fill="auto"/>
                  <w:vAlign w:val="center"/>
                </w:tcPr>
                <w:p w14:paraId="6086F73A">
                  <w:pPr>
                    <w:autoSpaceDE w:val="0"/>
                    <w:autoSpaceDN w:val="0"/>
                    <w:adjustRightInd w:val="0"/>
                    <w:snapToGrid w:val="0"/>
                    <w:jc w:val="left"/>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食宿</w:t>
                  </w:r>
                </w:p>
              </w:tc>
              <w:tc>
                <w:tcPr>
                  <w:tcW w:w="3988" w:type="pct"/>
                  <w:shd w:val="clear" w:color="auto" w:fill="auto"/>
                  <w:vAlign w:val="center"/>
                </w:tcPr>
                <w:p w14:paraId="60188CFA">
                  <w:pPr>
                    <w:tabs>
                      <w:tab w:val="left" w:pos="6100"/>
                      <w:tab w:val="left" w:pos="6300"/>
                    </w:tabs>
                    <w:autoSpaceDE w:val="0"/>
                    <w:autoSpaceDN w:val="0"/>
                    <w:adjustRightInd w:val="0"/>
                    <w:snapToGrid w:val="0"/>
                    <w:jc w:val="left"/>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本项目</w:t>
                  </w:r>
                  <w:r>
                    <w:rPr>
                      <w:rFonts w:ascii="Times New Roman" w:hAnsi="Times New Roman" w:eastAsia="宋体" w:cs="Times New Roman"/>
                      <w:color w:val="auto"/>
                      <w:szCs w:val="21"/>
                    </w:rPr>
                    <w:t>施工</w:t>
                  </w:r>
                  <w:r>
                    <w:rPr>
                      <w:rFonts w:hint="eastAsia" w:ascii="Times New Roman" w:hAnsi="Times New Roman" w:eastAsia="宋体" w:cs="Times New Roman"/>
                      <w:color w:val="auto"/>
                      <w:szCs w:val="21"/>
                      <w:lang w:eastAsia="zh-CN"/>
                    </w:rPr>
                    <w:t>不单独设置食宿场所，施工人员食宿依托附近民房设施</w:t>
                  </w:r>
                  <w:r>
                    <w:rPr>
                      <w:rFonts w:ascii="Times New Roman" w:hAnsi="Times New Roman" w:eastAsia="宋体" w:cs="Times New Roman"/>
                      <w:color w:val="auto"/>
                      <w:szCs w:val="21"/>
                    </w:rPr>
                    <w:t>。</w:t>
                  </w:r>
                </w:p>
              </w:tc>
            </w:tr>
            <w:tr w14:paraId="1072EB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58" w:type="pct"/>
                  <w:vMerge w:val="continue"/>
                  <w:vAlign w:val="center"/>
                </w:tcPr>
                <w:p w14:paraId="53ECFFB1">
                  <w:pPr>
                    <w:autoSpaceDE w:val="0"/>
                    <w:autoSpaceDN w:val="0"/>
                    <w:adjustRightInd w:val="0"/>
                    <w:snapToGrid w:val="0"/>
                    <w:jc w:val="left"/>
                    <w:rPr>
                      <w:rFonts w:ascii="Times New Roman" w:hAnsi="Times New Roman" w:eastAsia="宋体" w:cs="Times New Roman"/>
                      <w:color w:val="auto"/>
                      <w:szCs w:val="21"/>
                    </w:rPr>
                  </w:pPr>
                </w:p>
              </w:tc>
              <w:tc>
                <w:tcPr>
                  <w:tcW w:w="552" w:type="pct"/>
                  <w:gridSpan w:val="2"/>
                  <w:shd w:val="clear" w:color="auto" w:fill="auto"/>
                  <w:vAlign w:val="center"/>
                </w:tcPr>
                <w:p w14:paraId="5F63A499">
                  <w:pPr>
                    <w:autoSpaceDE w:val="0"/>
                    <w:autoSpaceDN w:val="0"/>
                    <w:adjustRightInd w:val="0"/>
                    <w:snapToGrid w:val="0"/>
                    <w:jc w:val="left"/>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供水</w:t>
                  </w:r>
                </w:p>
              </w:tc>
              <w:tc>
                <w:tcPr>
                  <w:tcW w:w="3988" w:type="pct"/>
                  <w:shd w:val="clear" w:color="auto" w:fill="auto"/>
                  <w:vAlign w:val="center"/>
                </w:tcPr>
                <w:p w14:paraId="50E0BE86">
                  <w:pPr>
                    <w:autoSpaceDE w:val="0"/>
                    <w:autoSpaceDN w:val="0"/>
                    <w:adjustRightInd w:val="0"/>
                    <w:snapToGrid w:val="0"/>
                    <w:jc w:val="left"/>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本项目用水利用</w:t>
                  </w:r>
                  <w:r>
                    <w:rPr>
                      <w:rFonts w:hint="eastAsia" w:ascii="Times New Roman" w:hAnsi="Times New Roman" w:eastAsia="宋体" w:cs="Times New Roman"/>
                      <w:color w:val="auto"/>
                      <w:szCs w:val="21"/>
                      <w:lang w:eastAsia="zh-CN"/>
                    </w:rPr>
                    <w:t>新集村附近现有给水管网</w:t>
                  </w:r>
                  <w:r>
                    <w:rPr>
                      <w:rFonts w:ascii="Times New Roman" w:hAnsi="Times New Roman" w:eastAsia="宋体" w:cs="Times New Roman"/>
                      <w:color w:val="auto"/>
                      <w:szCs w:val="21"/>
                    </w:rPr>
                    <w:t>。</w:t>
                  </w:r>
                </w:p>
              </w:tc>
            </w:tr>
            <w:tr w14:paraId="79B4DA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8" w:type="pct"/>
                  <w:vMerge w:val="continue"/>
                  <w:vAlign w:val="center"/>
                </w:tcPr>
                <w:p w14:paraId="092E4E41">
                  <w:pPr>
                    <w:autoSpaceDE w:val="0"/>
                    <w:autoSpaceDN w:val="0"/>
                    <w:adjustRightInd w:val="0"/>
                    <w:snapToGrid w:val="0"/>
                    <w:jc w:val="left"/>
                    <w:rPr>
                      <w:rFonts w:ascii="Times New Roman" w:hAnsi="Times New Roman" w:eastAsia="宋体" w:cs="Times New Roman"/>
                      <w:color w:val="auto"/>
                      <w:szCs w:val="21"/>
                    </w:rPr>
                  </w:pPr>
                </w:p>
              </w:tc>
              <w:tc>
                <w:tcPr>
                  <w:tcW w:w="552" w:type="pct"/>
                  <w:gridSpan w:val="2"/>
                  <w:shd w:val="clear" w:color="auto" w:fill="auto"/>
                  <w:vAlign w:val="center"/>
                </w:tcPr>
                <w:p w14:paraId="013069B2">
                  <w:pPr>
                    <w:autoSpaceDE w:val="0"/>
                    <w:autoSpaceDN w:val="0"/>
                    <w:adjustRightInd w:val="0"/>
                    <w:snapToGrid w:val="0"/>
                    <w:jc w:val="left"/>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供电</w:t>
                  </w:r>
                </w:p>
              </w:tc>
              <w:tc>
                <w:tcPr>
                  <w:tcW w:w="3988" w:type="pct"/>
                  <w:shd w:val="clear" w:color="auto" w:fill="auto"/>
                  <w:vAlign w:val="center"/>
                </w:tcPr>
                <w:p w14:paraId="11F6C78E">
                  <w:pPr>
                    <w:autoSpaceDE w:val="0"/>
                    <w:autoSpaceDN w:val="0"/>
                    <w:adjustRightInd w:val="0"/>
                    <w:snapToGrid w:val="0"/>
                    <w:jc w:val="left"/>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本项目</w:t>
                  </w:r>
                  <w:r>
                    <w:rPr>
                      <w:rFonts w:hint="eastAsia" w:ascii="Times New Roman" w:hAnsi="Times New Roman" w:eastAsia="宋体" w:cs="Times New Roman"/>
                      <w:color w:val="auto"/>
                      <w:szCs w:val="21"/>
                      <w:lang w:eastAsia="zh-CN"/>
                    </w:rPr>
                    <w:t>施工用电利用附近现有供电设施提供</w:t>
                  </w:r>
                  <w:r>
                    <w:rPr>
                      <w:rFonts w:ascii="Times New Roman" w:hAnsi="Times New Roman" w:eastAsia="宋体" w:cs="Times New Roman"/>
                      <w:color w:val="auto"/>
                      <w:szCs w:val="21"/>
                    </w:rPr>
                    <w:t>。</w:t>
                  </w:r>
                </w:p>
              </w:tc>
            </w:tr>
            <w:tr w14:paraId="5AF040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458" w:type="pct"/>
                  <w:vMerge w:val="restart"/>
                  <w:vAlign w:val="center"/>
                </w:tcPr>
                <w:p w14:paraId="77C2D3CB">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环保工程</w:t>
                  </w:r>
                </w:p>
              </w:tc>
              <w:tc>
                <w:tcPr>
                  <w:tcW w:w="271" w:type="pct"/>
                  <w:vMerge w:val="restart"/>
                  <w:vAlign w:val="center"/>
                </w:tcPr>
                <w:p w14:paraId="18A23C4C">
                  <w:pPr>
                    <w:autoSpaceDE w:val="0"/>
                    <w:autoSpaceDN w:val="0"/>
                    <w:adjustRightInd w:val="0"/>
                    <w:snapToGrid w:val="0"/>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施工期</w:t>
                  </w:r>
                </w:p>
              </w:tc>
              <w:tc>
                <w:tcPr>
                  <w:tcW w:w="281" w:type="pct"/>
                  <w:vAlign w:val="center"/>
                </w:tcPr>
                <w:p w14:paraId="7B2B7F23">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废气</w:t>
                  </w:r>
                </w:p>
              </w:tc>
              <w:tc>
                <w:tcPr>
                  <w:tcW w:w="3988" w:type="pct"/>
                  <w:vAlign w:val="center"/>
                </w:tcPr>
                <w:p w14:paraId="7A1B27BC">
                  <w:pPr>
                    <w:autoSpaceDE w:val="0"/>
                    <w:autoSpaceDN w:val="0"/>
                    <w:adjustRightInd w:val="0"/>
                    <w:snapToGrid w:val="0"/>
                    <w:ind w:firstLine="420"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施工期废气主要为施工扬尘、施工机械尾气、</w:t>
                  </w:r>
                  <w:r>
                    <w:rPr>
                      <w:rFonts w:hint="eastAsia" w:ascii="Times New Roman" w:hAnsi="Times New Roman" w:eastAsia="宋体" w:cs="Times New Roman"/>
                      <w:color w:val="auto"/>
                      <w:szCs w:val="21"/>
                      <w:lang w:val="en-US" w:eastAsia="zh-CN"/>
                    </w:rPr>
                    <w:t>钢管焊接过程产生的焊接烟尘及</w:t>
                  </w:r>
                  <w:r>
                    <w:rPr>
                      <w:rFonts w:hint="eastAsia"/>
                      <w:color w:val="auto"/>
                      <w:highlight w:val="none"/>
                    </w:rPr>
                    <w:t>PE管</w:t>
                  </w:r>
                  <w:r>
                    <w:rPr>
                      <w:rFonts w:hint="eastAsia"/>
                      <w:color w:val="auto"/>
                      <w:highlight w:val="none"/>
                      <w:lang w:val="en-US" w:eastAsia="zh-CN"/>
                    </w:rPr>
                    <w:t>热熔</w:t>
                  </w:r>
                  <w:r>
                    <w:rPr>
                      <w:rFonts w:hint="eastAsia"/>
                      <w:color w:val="auto"/>
                      <w:highlight w:val="none"/>
                    </w:rPr>
                    <w:t>连接</w:t>
                  </w:r>
                  <w:r>
                    <w:rPr>
                      <w:rFonts w:hint="eastAsia"/>
                      <w:color w:val="auto"/>
                      <w:highlight w:val="none"/>
                      <w:lang w:eastAsia="zh-CN"/>
                    </w:rPr>
                    <w:t>过程中产生的挥发性有机物</w:t>
                  </w:r>
                  <w:r>
                    <w:rPr>
                      <w:rFonts w:hint="eastAsia" w:ascii="Times New Roman" w:hAnsi="Times New Roman" w:eastAsia="宋体" w:cs="Times New Roman"/>
                      <w:color w:val="auto"/>
                      <w:szCs w:val="21"/>
                      <w:lang w:val="en-US" w:eastAsia="zh-CN"/>
                    </w:rPr>
                    <w:t>。</w:t>
                  </w:r>
                </w:p>
                <w:p w14:paraId="2A3E4C63">
                  <w:pPr>
                    <w:autoSpaceDE w:val="0"/>
                    <w:autoSpaceDN w:val="0"/>
                    <w:adjustRightInd w:val="0"/>
                    <w:snapToGrid w:val="0"/>
                    <w:ind w:firstLine="420"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通过加强施工机械、车辆管理，</w:t>
                  </w:r>
                  <w:r>
                    <w:rPr>
                      <w:rFonts w:ascii="Times New Roman" w:hAnsi="Times New Roman" w:eastAsia="宋体" w:cs="Times New Roman"/>
                      <w:color w:val="auto"/>
                      <w:szCs w:val="21"/>
                    </w:rPr>
                    <w:t>土堆、料堆遮盖</w:t>
                  </w:r>
                  <w:r>
                    <w:rPr>
                      <w:rFonts w:hint="eastAsia" w:ascii="Times New Roman" w:hAnsi="Times New Roman" w:eastAsia="宋体" w:cs="Times New Roman"/>
                      <w:color w:val="auto"/>
                      <w:szCs w:val="21"/>
                      <w:lang w:val="en-US" w:eastAsia="zh-CN"/>
                    </w:rPr>
                    <w:t>、</w:t>
                  </w:r>
                  <w:r>
                    <w:rPr>
                      <w:rFonts w:ascii="Times New Roman" w:hAnsi="Times New Roman" w:eastAsia="宋体" w:cs="Times New Roman"/>
                      <w:color w:val="auto"/>
                      <w:szCs w:val="21"/>
                    </w:rPr>
                    <w:t>洒水抑尘</w:t>
                  </w:r>
                  <w:r>
                    <w:rPr>
                      <w:rFonts w:hint="eastAsia" w:ascii="Times New Roman" w:hAnsi="Times New Roman" w:eastAsia="宋体" w:cs="Times New Roman"/>
                      <w:color w:val="auto"/>
                      <w:szCs w:val="21"/>
                      <w:lang w:eastAsia="zh-CN"/>
                    </w:rPr>
                    <w:t>等</w:t>
                  </w:r>
                  <w:r>
                    <w:rPr>
                      <w:rFonts w:hint="eastAsia" w:ascii="Times New Roman" w:hAnsi="Times New Roman" w:eastAsia="宋体" w:cs="Times New Roman"/>
                      <w:color w:val="auto"/>
                      <w:szCs w:val="21"/>
                      <w:lang w:val="en-US" w:eastAsia="zh-CN"/>
                    </w:rPr>
                    <w:t>措施，控制扬尘产生和扩散，减少</w:t>
                  </w:r>
                  <w:r>
                    <w:rPr>
                      <w:rFonts w:hint="eastAsia" w:ascii="Times New Roman" w:hAnsi="Times New Roman" w:eastAsia="宋体" w:cs="Times New Roman"/>
                      <w:color w:val="auto"/>
                      <w:szCs w:val="21"/>
                      <w:lang w:eastAsia="zh-CN"/>
                    </w:rPr>
                    <w:t>施工扬尘、机械尾气</w:t>
                  </w:r>
                  <w:r>
                    <w:rPr>
                      <w:rFonts w:hint="eastAsia" w:ascii="Times New Roman" w:hAnsi="Times New Roman" w:eastAsia="宋体" w:cs="Times New Roman"/>
                      <w:color w:val="auto"/>
                      <w:szCs w:val="21"/>
                      <w:lang w:val="en-US" w:eastAsia="zh-CN"/>
                    </w:rPr>
                    <w:t>对周边空气环境的影响。</w:t>
                  </w:r>
                </w:p>
                <w:p w14:paraId="2C75337F">
                  <w:pPr>
                    <w:autoSpaceDE w:val="0"/>
                    <w:autoSpaceDN w:val="0"/>
                    <w:adjustRightInd w:val="0"/>
                    <w:snapToGrid w:val="0"/>
                    <w:ind w:firstLine="420"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本项目</w:t>
                  </w:r>
                  <w:r>
                    <w:rPr>
                      <w:rFonts w:hint="eastAsia"/>
                      <w:color w:val="auto"/>
                      <w:highlight w:val="none"/>
                      <w:lang w:bidi="ar"/>
                    </w:rPr>
                    <w:t>井场内输气管路</w:t>
                  </w:r>
                  <w:r>
                    <w:rPr>
                      <w:rFonts w:hint="eastAsia"/>
                      <w:color w:val="auto"/>
                      <w:highlight w:val="none"/>
                      <w:lang w:eastAsia="zh-CN" w:bidi="ar"/>
                    </w:rPr>
                    <w:t>采用</w:t>
                  </w:r>
                  <w:r>
                    <w:rPr>
                      <w:rFonts w:hint="eastAsia" w:ascii="Times New Roman" w:hAnsi="Times New Roman" w:eastAsia="宋体" w:cs="Times New Roman"/>
                      <w:color w:val="auto"/>
                      <w:szCs w:val="21"/>
                      <w:lang w:val="en-US" w:eastAsia="zh-CN"/>
                    </w:rPr>
                    <w:t>无缝钢管，</w:t>
                  </w:r>
                  <w:r>
                    <w:rPr>
                      <w:rFonts w:hint="eastAsia"/>
                      <w:color w:val="auto"/>
                      <w:highlight w:val="none"/>
                      <w:lang w:bidi="ar"/>
                    </w:rPr>
                    <w:t>管路连接以焊接</w:t>
                  </w:r>
                  <w:r>
                    <w:rPr>
                      <w:rFonts w:hint="eastAsia"/>
                      <w:color w:val="auto"/>
                      <w:highlight w:val="none"/>
                      <w:lang w:eastAsia="zh-CN" w:bidi="ar"/>
                    </w:rPr>
                    <w:t>方式进行，</w:t>
                  </w:r>
                  <w:r>
                    <w:rPr>
                      <w:rFonts w:hint="eastAsia" w:ascii="Times New Roman" w:hAnsi="Times New Roman" w:eastAsia="宋体" w:cs="Times New Roman"/>
                      <w:color w:val="auto"/>
                      <w:szCs w:val="21"/>
                      <w:lang w:val="en-US" w:eastAsia="zh-CN"/>
                    </w:rPr>
                    <w:t>焊接方法为电弧焊，焊材为焊条，主要污染物为颗粒物、MnO2、Fe</w:t>
                  </w:r>
                  <w:r>
                    <w:rPr>
                      <w:rFonts w:hint="eastAsia" w:ascii="Times New Roman" w:hAnsi="Times New Roman" w:eastAsia="宋体" w:cs="Times New Roman"/>
                      <w:color w:val="auto"/>
                      <w:szCs w:val="21"/>
                      <w:vertAlign w:val="subscript"/>
                      <w:lang w:val="en-US" w:eastAsia="zh-CN"/>
                    </w:rPr>
                    <w:t>2</w:t>
                  </w:r>
                  <w:r>
                    <w:rPr>
                      <w:rFonts w:hint="eastAsia"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vertAlign w:val="subscript"/>
                      <w:lang w:val="en-US" w:eastAsia="zh-CN"/>
                    </w:rPr>
                    <w:t>3</w:t>
                  </w:r>
                  <w:r>
                    <w:rPr>
                      <w:rFonts w:hint="eastAsia" w:ascii="Times New Roman" w:hAnsi="Times New Roman" w:eastAsia="宋体" w:cs="Times New Roman"/>
                      <w:color w:val="auto"/>
                      <w:szCs w:val="21"/>
                      <w:lang w:val="en-US" w:eastAsia="zh-CN"/>
                    </w:rPr>
                    <w:t>及Si0</w:t>
                  </w:r>
                  <w:r>
                    <w:rPr>
                      <w:rFonts w:hint="eastAsia" w:ascii="Times New Roman" w:hAnsi="Times New Roman" w:eastAsia="宋体" w:cs="Times New Roman"/>
                      <w:color w:val="auto"/>
                      <w:szCs w:val="21"/>
                      <w:vertAlign w:val="subscript"/>
                      <w:lang w:val="en-US" w:eastAsia="zh-CN"/>
                    </w:rPr>
                    <w:t>2</w:t>
                  </w:r>
                  <w:r>
                    <w:rPr>
                      <w:rFonts w:hint="eastAsia" w:ascii="Times New Roman" w:hAnsi="Times New Roman" w:eastAsia="宋体" w:cs="Times New Roman"/>
                      <w:color w:val="auto"/>
                      <w:szCs w:val="21"/>
                      <w:lang w:val="en-US" w:eastAsia="zh-CN"/>
                    </w:rPr>
                    <w:t>等，本项目管线焊接工程量很小，焊接工序随着管道的铺设分段进行，焊接烟尘属于流动源且为间歇式排放，项目在施工时选择正规厂家生产的合格焊条进行施工，焊接烟尘对周边空气环境影响很小。</w:t>
                  </w:r>
                </w:p>
                <w:p w14:paraId="214BDB1D">
                  <w:pPr>
                    <w:autoSpaceDE w:val="0"/>
                    <w:autoSpaceDN w:val="0"/>
                    <w:adjustRightInd w:val="0"/>
                    <w:snapToGrid w:val="0"/>
                    <w:ind w:firstLine="420" w:firstLineChars="200"/>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PE管热熔对接时会产生一定量的非甲烷总烃，本项目PE管线总长800米，管线热熔连接工程量小，且随着管线铺设分段、间歇排放，</w:t>
                  </w:r>
                  <w:r>
                    <w:rPr>
                      <w:rFonts w:hint="eastAsia"/>
                      <w:lang w:val="en-US" w:eastAsia="zh-CN"/>
                    </w:rPr>
                    <w:t>热熔废气对周边环境影响很小。</w:t>
                  </w:r>
                </w:p>
              </w:tc>
            </w:tr>
            <w:tr w14:paraId="57B17E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vMerge w:val="continue"/>
                  <w:vAlign w:val="center"/>
                </w:tcPr>
                <w:p w14:paraId="64BD2492">
                  <w:pPr>
                    <w:autoSpaceDE w:val="0"/>
                    <w:autoSpaceDN w:val="0"/>
                    <w:adjustRightInd w:val="0"/>
                    <w:snapToGrid w:val="0"/>
                    <w:jc w:val="left"/>
                    <w:rPr>
                      <w:rFonts w:ascii="Times New Roman" w:hAnsi="Times New Roman" w:eastAsia="宋体" w:cs="Times New Roman"/>
                      <w:color w:val="auto"/>
                      <w:szCs w:val="21"/>
                    </w:rPr>
                  </w:pPr>
                </w:p>
              </w:tc>
              <w:tc>
                <w:tcPr>
                  <w:tcW w:w="271" w:type="pct"/>
                  <w:vMerge w:val="continue"/>
                  <w:vAlign w:val="center"/>
                </w:tcPr>
                <w:p w14:paraId="4E721F9C">
                  <w:pPr>
                    <w:autoSpaceDE w:val="0"/>
                    <w:autoSpaceDN w:val="0"/>
                    <w:adjustRightInd w:val="0"/>
                    <w:snapToGrid w:val="0"/>
                    <w:jc w:val="left"/>
                    <w:rPr>
                      <w:rFonts w:ascii="Times New Roman" w:hAnsi="Times New Roman" w:eastAsia="宋体" w:cs="Times New Roman"/>
                      <w:color w:val="auto"/>
                      <w:szCs w:val="21"/>
                    </w:rPr>
                  </w:pPr>
                </w:p>
              </w:tc>
              <w:tc>
                <w:tcPr>
                  <w:tcW w:w="281" w:type="pct"/>
                  <w:vAlign w:val="center"/>
                </w:tcPr>
                <w:p w14:paraId="1FCBBA13">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废水</w:t>
                  </w:r>
                </w:p>
              </w:tc>
              <w:tc>
                <w:tcPr>
                  <w:tcW w:w="3988" w:type="pct"/>
                  <w:vAlign w:val="center"/>
                </w:tcPr>
                <w:p w14:paraId="4C87B640">
                  <w:pPr>
                    <w:autoSpaceDE w:val="0"/>
                    <w:autoSpaceDN w:val="0"/>
                    <w:spacing w:line="276" w:lineRule="auto"/>
                    <w:jc w:val="both"/>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highlight w:val="none"/>
                      <w:lang w:eastAsia="zh-CN"/>
                    </w:rPr>
                    <w:t>现场</w:t>
                  </w:r>
                  <w:r>
                    <w:rPr>
                      <w:rFonts w:hint="eastAsia" w:ascii="Times New Roman" w:hAnsi="Times New Roman" w:eastAsia="宋体" w:cs="Times New Roman"/>
                      <w:color w:val="auto"/>
                      <w:kern w:val="0"/>
                      <w:szCs w:val="21"/>
                      <w:highlight w:val="none"/>
                    </w:rPr>
                    <w:t>施工人员生活污水依托施工场地化粪池处理后定期清掏用于周边农田肥田</w:t>
                  </w:r>
                  <w:r>
                    <w:rPr>
                      <w:rFonts w:hint="eastAsia" w:ascii="Times New Roman" w:hAnsi="Times New Roman" w:eastAsia="宋体" w:cs="Times New Roman"/>
                      <w:color w:val="auto"/>
                      <w:kern w:val="0"/>
                      <w:szCs w:val="21"/>
                      <w:highlight w:val="none"/>
                      <w:lang w:eastAsia="zh-CN"/>
                    </w:rPr>
                    <w:t>。钻井泥浆经固控系统（</w:t>
                  </w:r>
                  <w:r>
                    <w:rPr>
                      <w:rFonts w:hint="eastAsia" w:ascii="Times New Roman" w:hAnsi="Times New Roman" w:eastAsia="宋体" w:cs="Times New Roman"/>
                      <w:color w:val="auto"/>
                      <w:kern w:val="0"/>
                      <w:szCs w:val="21"/>
                      <w:highlight w:val="none"/>
                      <w:lang w:val="en-US" w:eastAsia="zh-CN"/>
                    </w:rPr>
                    <w:t>泥浆循环系统</w:t>
                  </w:r>
                  <w:r>
                    <w:rPr>
                      <w:rFonts w:hint="eastAsia" w:ascii="Times New Roman" w:hAnsi="Times New Roman" w:eastAsia="宋体" w:cs="Times New Roman"/>
                      <w:color w:val="auto"/>
                      <w:kern w:val="0"/>
                      <w:szCs w:val="21"/>
                      <w:highlight w:val="none"/>
                      <w:lang w:eastAsia="zh-CN"/>
                    </w:rPr>
                    <w:t>）处理后循环利用，无泥浆废水外排。</w:t>
                  </w:r>
                </w:p>
              </w:tc>
            </w:tr>
            <w:tr w14:paraId="3F3976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58" w:type="pct"/>
                  <w:vMerge w:val="continue"/>
                  <w:vAlign w:val="center"/>
                </w:tcPr>
                <w:p w14:paraId="26925CC9">
                  <w:pPr>
                    <w:autoSpaceDE w:val="0"/>
                    <w:autoSpaceDN w:val="0"/>
                    <w:adjustRightInd w:val="0"/>
                    <w:snapToGrid w:val="0"/>
                    <w:jc w:val="left"/>
                    <w:rPr>
                      <w:rFonts w:ascii="Times New Roman" w:hAnsi="Times New Roman" w:eastAsia="宋体" w:cs="Times New Roman"/>
                      <w:color w:val="auto"/>
                      <w:szCs w:val="21"/>
                    </w:rPr>
                  </w:pPr>
                </w:p>
              </w:tc>
              <w:tc>
                <w:tcPr>
                  <w:tcW w:w="271" w:type="pct"/>
                  <w:vMerge w:val="continue"/>
                  <w:vAlign w:val="center"/>
                </w:tcPr>
                <w:p w14:paraId="7665BA1D">
                  <w:pPr>
                    <w:autoSpaceDE w:val="0"/>
                    <w:autoSpaceDN w:val="0"/>
                    <w:adjustRightInd w:val="0"/>
                    <w:snapToGrid w:val="0"/>
                    <w:jc w:val="left"/>
                    <w:rPr>
                      <w:rFonts w:ascii="Times New Roman" w:hAnsi="Times New Roman" w:eastAsia="宋体" w:cs="Times New Roman"/>
                      <w:color w:val="auto"/>
                      <w:szCs w:val="21"/>
                    </w:rPr>
                  </w:pPr>
                </w:p>
              </w:tc>
              <w:tc>
                <w:tcPr>
                  <w:tcW w:w="281" w:type="pct"/>
                  <w:vAlign w:val="center"/>
                </w:tcPr>
                <w:p w14:paraId="27C6BFEC">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噪声</w:t>
                  </w:r>
                </w:p>
              </w:tc>
              <w:tc>
                <w:tcPr>
                  <w:tcW w:w="3988" w:type="pct"/>
                  <w:vAlign w:val="center"/>
                </w:tcPr>
                <w:p w14:paraId="2B8F117E">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选用低噪声设备，采取基础减振、距离衰减等降噪措施进行噪声控制。</w:t>
                  </w:r>
                </w:p>
              </w:tc>
            </w:tr>
            <w:tr w14:paraId="0FA39B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58" w:type="pct"/>
                  <w:vMerge w:val="continue"/>
                  <w:vAlign w:val="center"/>
                </w:tcPr>
                <w:p w14:paraId="44E9F4B9">
                  <w:pPr>
                    <w:autoSpaceDE w:val="0"/>
                    <w:autoSpaceDN w:val="0"/>
                    <w:adjustRightInd w:val="0"/>
                    <w:snapToGrid w:val="0"/>
                    <w:jc w:val="left"/>
                    <w:rPr>
                      <w:rFonts w:ascii="Times New Roman" w:hAnsi="Times New Roman" w:eastAsia="宋体" w:cs="Times New Roman"/>
                      <w:color w:val="auto"/>
                      <w:szCs w:val="21"/>
                    </w:rPr>
                  </w:pPr>
                </w:p>
              </w:tc>
              <w:tc>
                <w:tcPr>
                  <w:tcW w:w="271" w:type="pct"/>
                  <w:vMerge w:val="continue"/>
                  <w:vAlign w:val="center"/>
                </w:tcPr>
                <w:p w14:paraId="16913F71">
                  <w:pPr>
                    <w:autoSpaceDE w:val="0"/>
                    <w:autoSpaceDN w:val="0"/>
                    <w:adjustRightInd w:val="0"/>
                    <w:snapToGrid w:val="0"/>
                    <w:jc w:val="left"/>
                    <w:rPr>
                      <w:rFonts w:ascii="Times New Roman" w:hAnsi="Times New Roman" w:eastAsia="宋体" w:cs="Times New Roman"/>
                      <w:color w:val="auto"/>
                      <w:szCs w:val="21"/>
                    </w:rPr>
                  </w:pPr>
                </w:p>
              </w:tc>
              <w:tc>
                <w:tcPr>
                  <w:tcW w:w="281" w:type="pct"/>
                  <w:vAlign w:val="center"/>
                </w:tcPr>
                <w:p w14:paraId="47BC702E">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固废</w:t>
                  </w:r>
                </w:p>
              </w:tc>
              <w:tc>
                <w:tcPr>
                  <w:tcW w:w="3988" w:type="pct"/>
                  <w:vAlign w:val="center"/>
                </w:tcPr>
                <w:p w14:paraId="0C569AD7">
                  <w:pPr>
                    <w:keepNext w:val="0"/>
                    <w:keepLines w:val="0"/>
                    <w:widowControl/>
                    <w:suppressLineNumbers w:val="0"/>
                    <w:jc w:val="left"/>
                    <w:rPr>
                      <w:rFonts w:ascii="Times New Roman" w:hAnsi="Times New Roman" w:eastAsia="宋体" w:cs="Times New Roman"/>
                      <w:color w:val="auto"/>
                      <w:szCs w:val="21"/>
                    </w:rPr>
                  </w:pPr>
                  <w:r>
                    <w:rPr>
                      <w:rFonts w:hint="eastAsia" w:ascii="Times New Roman" w:hAnsi="Times New Roman" w:eastAsia="宋体" w:cs="Times New Roman"/>
                      <w:color w:val="auto"/>
                      <w:sz w:val="21"/>
                      <w:szCs w:val="21"/>
                      <w:lang w:eastAsia="zh-CN"/>
                    </w:rPr>
                    <w:t>施工期间一般固废为钻井期间产生的</w:t>
                  </w:r>
                  <w:r>
                    <w:rPr>
                      <w:rFonts w:hint="eastAsia" w:ascii="Times New Roman" w:hAnsi="Times New Roman" w:eastAsia="宋体" w:cs="Times New Roman"/>
                      <w:bCs/>
                      <w:color w:val="auto"/>
                      <w:sz w:val="21"/>
                      <w:szCs w:val="21"/>
                    </w:rPr>
                    <w:t>钻井</w:t>
                  </w:r>
                  <w:r>
                    <w:rPr>
                      <w:rFonts w:hint="eastAsia" w:ascii="Times New Roman" w:hAnsi="Times New Roman" w:eastAsia="宋体" w:cs="Times New Roman"/>
                      <w:bCs/>
                      <w:color w:val="auto"/>
                      <w:sz w:val="21"/>
                      <w:szCs w:val="21"/>
                      <w:lang w:eastAsia="zh-CN"/>
                    </w:rPr>
                    <w:t>岩屑、废弃泥浆、员工生活垃圾。员工生活垃圾设置垃圾桶收集后交给当地环卫部门处置</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bCs/>
                      <w:color w:val="auto"/>
                      <w:sz w:val="21"/>
                      <w:szCs w:val="21"/>
                      <w:lang w:eastAsia="zh-CN"/>
                    </w:rPr>
                    <w:t>废弃泥浆</w:t>
                  </w:r>
                  <w:r>
                    <w:rPr>
                      <w:rFonts w:hint="eastAsia" w:ascii="Times New Roman" w:hAnsi="Times New Roman" w:eastAsia="宋体" w:cs="Times New Roman"/>
                      <w:color w:val="auto"/>
                      <w:szCs w:val="21"/>
                      <w:lang w:eastAsia="zh-CN"/>
                    </w:rPr>
                    <w:t>暂存于废浆池中</w:t>
                  </w: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 w:val="21"/>
                      <w:szCs w:val="21"/>
                      <w:lang w:val="en-US" w:eastAsia="zh-CN"/>
                    </w:rPr>
                    <w:t>施工完成后加入固化剂固化后用于周边道路填筑。</w:t>
                  </w:r>
                  <w:r>
                    <w:rPr>
                      <w:rFonts w:hint="eastAsia" w:ascii="Times New Roman" w:hAnsi="Times New Roman" w:eastAsia="宋体" w:cs="Times New Roman"/>
                      <w:color w:val="auto"/>
                      <w:sz w:val="21"/>
                      <w:szCs w:val="21"/>
                      <w:lang w:eastAsia="zh-CN"/>
                    </w:rPr>
                    <w:t>岩屑暂存于场地砂池中，自然干化用于</w:t>
                  </w:r>
                  <w:r>
                    <w:rPr>
                      <w:rFonts w:hint="eastAsia" w:ascii="Times New Roman" w:hAnsi="Times New Roman" w:eastAsia="宋体" w:cs="Times New Roman"/>
                      <w:color w:val="auto"/>
                      <w:sz w:val="21"/>
                      <w:szCs w:val="21"/>
                      <w:lang w:val="en-US" w:eastAsia="zh-CN"/>
                    </w:rPr>
                    <w:t>周边道路填筑</w:t>
                  </w:r>
                  <w:r>
                    <w:rPr>
                      <w:rFonts w:hint="eastAsia" w:ascii="Times New Roman" w:hAnsi="Times New Roman" w:eastAsia="宋体" w:cs="Times New Roman"/>
                      <w:color w:val="auto"/>
                      <w:sz w:val="21"/>
                      <w:szCs w:val="21"/>
                      <w:lang w:eastAsia="zh-CN"/>
                    </w:rPr>
                    <w:t>。废包装材料交由第三方公司进行综合利用。</w:t>
                  </w:r>
                  <w:r>
                    <w:rPr>
                      <w:rFonts w:hint="default" w:ascii="Times New Roman" w:hAnsi="Times New Roman" w:eastAsia="宋体" w:cs="Times New Roman"/>
                      <w:color w:val="auto"/>
                      <w:sz w:val="21"/>
                      <w:szCs w:val="21"/>
                      <w:lang w:val="en-US" w:eastAsia="zh-CN"/>
                    </w:rPr>
                    <w:t>施</w:t>
                  </w:r>
                  <w:r>
                    <w:rPr>
                      <w:rFonts w:hint="default" w:ascii="Times New Roman" w:hAnsi="Times New Roman" w:eastAsia="宋体" w:cs="Times New Roman"/>
                      <w:color w:val="auto"/>
                      <w:sz w:val="21"/>
                      <w:szCs w:val="21"/>
                      <w:highlight w:val="none"/>
                      <w:lang w:val="en-US" w:eastAsia="zh-CN"/>
                    </w:rPr>
                    <w:t>工期产生</w:t>
                  </w:r>
                  <w:r>
                    <w:rPr>
                      <w:rFonts w:hint="eastAsia" w:ascii="Times New Roman" w:hAnsi="Times New Roman" w:eastAsia="宋体" w:cs="Times New Roman"/>
                      <w:color w:val="auto"/>
                      <w:sz w:val="21"/>
                      <w:szCs w:val="21"/>
                      <w:highlight w:val="none"/>
                      <w:lang w:val="en-US" w:eastAsia="zh-CN"/>
                    </w:rPr>
                    <w:t>危险废物为</w:t>
                  </w:r>
                  <w:r>
                    <w:rPr>
                      <w:rFonts w:hint="default" w:ascii="Times New Roman" w:hAnsi="Times New Roman" w:eastAsia="宋体" w:cs="Times New Roman"/>
                      <w:color w:val="auto"/>
                      <w:sz w:val="21"/>
                      <w:szCs w:val="21"/>
                      <w:highlight w:val="none"/>
                      <w:lang w:eastAsia="zh-CN"/>
                    </w:rPr>
                    <w:t>废</w:t>
                  </w:r>
                  <w:r>
                    <w:rPr>
                      <w:rFonts w:hint="eastAsia" w:ascii="Times New Roman" w:hAnsi="Times New Roman" w:eastAsia="宋体" w:cs="Times New Roman"/>
                      <w:color w:val="auto"/>
                      <w:sz w:val="21"/>
                      <w:szCs w:val="21"/>
                      <w:highlight w:val="none"/>
                      <w:lang w:eastAsia="zh-CN"/>
                    </w:rPr>
                    <w:t>含油抹布、手套等</w:t>
                  </w:r>
                  <w:r>
                    <w:rPr>
                      <w:rFonts w:hint="default" w:ascii="Times New Roman" w:hAnsi="Times New Roman" w:eastAsia="宋体" w:cs="Times New Roman"/>
                      <w:color w:val="auto"/>
                      <w:sz w:val="21"/>
                      <w:szCs w:val="21"/>
                      <w:highlight w:val="none"/>
                      <w:lang w:val="en-US" w:eastAsia="zh-CN"/>
                    </w:rPr>
                    <w:t>暂存于</w:t>
                  </w:r>
                  <w:r>
                    <w:rPr>
                      <w:rFonts w:hint="eastAsia" w:ascii="Times New Roman" w:hAnsi="Times New Roman" w:eastAsia="宋体" w:cs="Times New Roman"/>
                      <w:color w:val="auto"/>
                      <w:sz w:val="21"/>
                      <w:szCs w:val="21"/>
                      <w:highlight w:val="none"/>
                      <w:lang w:val="en-US" w:eastAsia="zh-CN"/>
                    </w:rPr>
                    <w:t>本公司潘一东瓦斯发电站内现有的危废暂存间内，</w:t>
                  </w:r>
                  <w:r>
                    <w:rPr>
                      <w:rFonts w:hint="default" w:ascii="Times New Roman" w:hAnsi="Times New Roman" w:eastAsia="宋体" w:cs="Times New Roman"/>
                      <w:color w:val="auto"/>
                      <w:sz w:val="21"/>
                      <w:szCs w:val="21"/>
                      <w:highlight w:val="none"/>
                      <w:lang w:eastAsia="zh-CN"/>
                    </w:rPr>
                    <w:t>定期交有资质单位处置。</w:t>
                  </w:r>
                </w:p>
              </w:tc>
            </w:tr>
            <w:tr w14:paraId="336956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458" w:type="pct"/>
                  <w:vMerge w:val="continue"/>
                  <w:vAlign w:val="center"/>
                </w:tcPr>
                <w:p w14:paraId="7CBCC9BB">
                  <w:pPr>
                    <w:autoSpaceDE w:val="0"/>
                    <w:autoSpaceDN w:val="0"/>
                    <w:adjustRightInd w:val="0"/>
                    <w:snapToGrid w:val="0"/>
                    <w:jc w:val="left"/>
                    <w:rPr>
                      <w:rFonts w:ascii="Times New Roman" w:hAnsi="Times New Roman" w:eastAsia="宋体" w:cs="Times New Roman"/>
                      <w:color w:val="auto"/>
                      <w:szCs w:val="21"/>
                    </w:rPr>
                  </w:pPr>
                </w:p>
              </w:tc>
              <w:tc>
                <w:tcPr>
                  <w:tcW w:w="271" w:type="pct"/>
                  <w:vMerge w:val="continue"/>
                  <w:vAlign w:val="center"/>
                </w:tcPr>
                <w:p w14:paraId="6569D359">
                  <w:pPr>
                    <w:autoSpaceDE w:val="0"/>
                    <w:autoSpaceDN w:val="0"/>
                    <w:adjustRightInd w:val="0"/>
                    <w:snapToGrid w:val="0"/>
                    <w:jc w:val="left"/>
                    <w:rPr>
                      <w:rFonts w:ascii="Times New Roman" w:hAnsi="Times New Roman" w:eastAsia="宋体" w:cs="Times New Roman"/>
                      <w:color w:val="auto"/>
                      <w:szCs w:val="21"/>
                    </w:rPr>
                  </w:pPr>
                </w:p>
              </w:tc>
              <w:tc>
                <w:tcPr>
                  <w:tcW w:w="281" w:type="pct"/>
                  <w:vAlign w:val="center"/>
                </w:tcPr>
                <w:p w14:paraId="68DCB984">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生态保护</w:t>
                  </w:r>
                </w:p>
              </w:tc>
              <w:tc>
                <w:tcPr>
                  <w:tcW w:w="3988" w:type="pct"/>
                  <w:vAlign w:val="center"/>
                </w:tcPr>
                <w:p w14:paraId="4DB1947F">
                  <w:pPr>
                    <w:pStyle w:val="2"/>
                    <w:ind w:left="12" w:leftChars="0" w:hanging="12" w:firstLineChars="0"/>
                    <w:rPr>
                      <w:color w:val="auto"/>
                    </w:rPr>
                  </w:pPr>
                  <w:r>
                    <w:rPr>
                      <w:rFonts w:hint="eastAsia" w:ascii="Times New Roman" w:hAnsi="Times New Roman" w:eastAsia="宋体" w:cs="Times New Roman"/>
                      <w:b w:val="0"/>
                      <w:bCs w:val="0"/>
                      <w:color w:val="auto"/>
                      <w:kern w:val="2"/>
                      <w:sz w:val="21"/>
                      <w:szCs w:val="21"/>
                      <w:lang w:val="en-US" w:eastAsia="zh-CN" w:bidi="ar-SA"/>
                    </w:rPr>
                    <w:t>施工前进行表土剥离，放在专门的表土堆放区，每个施工场地的表土堆放区应设置截、排水沟、苫盖等措施；</w:t>
                  </w:r>
                  <w:r>
                    <w:rPr>
                      <w:rFonts w:ascii="Times New Roman" w:hAnsi="Times New Roman" w:eastAsia="宋体" w:cs="Times New Roman"/>
                      <w:b w:val="0"/>
                      <w:bCs w:val="0"/>
                      <w:color w:val="auto"/>
                      <w:kern w:val="2"/>
                      <w:sz w:val="21"/>
                      <w:szCs w:val="21"/>
                      <w:lang w:val="en-US" w:eastAsia="zh-CN" w:bidi="ar-SA"/>
                    </w:rPr>
                    <w:t>严格控制施工活动范围，减少项目占地影响；项目施工时做好水土保持防护措施，以防雨水冲刷造成水土流失；施工结束后，按照已批复的土地复垦方案进行土地复垦，恢复场地原状。</w:t>
                  </w:r>
                </w:p>
              </w:tc>
            </w:tr>
            <w:tr w14:paraId="65539E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458" w:type="pct"/>
                  <w:vMerge w:val="restart"/>
                  <w:vAlign w:val="center"/>
                </w:tcPr>
                <w:p w14:paraId="4E199776">
                  <w:pPr>
                    <w:autoSpaceDE w:val="0"/>
                    <w:autoSpaceDN w:val="0"/>
                    <w:adjustRightInd w:val="0"/>
                    <w:snapToGrid w:val="0"/>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依托工程</w:t>
                  </w:r>
                </w:p>
              </w:tc>
              <w:tc>
                <w:tcPr>
                  <w:tcW w:w="552" w:type="pct"/>
                  <w:gridSpan w:val="2"/>
                  <w:vAlign w:val="center"/>
                </w:tcPr>
                <w:p w14:paraId="34CE9DDD">
                  <w:pPr>
                    <w:autoSpaceDE w:val="0"/>
                    <w:autoSpaceDN w:val="0"/>
                    <w:adjustRightInd w:val="0"/>
                    <w:snapToGrid w:val="0"/>
                    <w:jc w:val="left"/>
                    <w:rPr>
                      <w:rFonts w:hint="eastAsia" w:ascii="Times New Roman" w:hAnsi="Times New Roman" w:eastAsia="宋体" w:cs="Times New Roman"/>
                      <w:color w:val="auto"/>
                      <w:szCs w:val="21"/>
                      <w:highlight w:val="yellow"/>
                      <w:lang w:eastAsia="zh-CN"/>
                    </w:rPr>
                  </w:pPr>
                  <w:r>
                    <w:rPr>
                      <w:rFonts w:hint="eastAsia" w:ascii="Times New Roman" w:hAnsi="Times New Roman" w:eastAsia="宋体" w:cs="Times New Roman"/>
                      <w:b w:val="0"/>
                      <w:bCs w:val="0"/>
                      <w:color w:val="auto"/>
                      <w:kern w:val="2"/>
                      <w:sz w:val="21"/>
                      <w:szCs w:val="21"/>
                      <w:lang w:val="en-US" w:eastAsia="zh-CN" w:bidi="ar-SA"/>
                    </w:rPr>
                    <w:t>危废暂存间</w:t>
                  </w:r>
                </w:p>
              </w:tc>
              <w:tc>
                <w:tcPr>
                  <w:tcW w:w="3988" w:type="pct"/>
                  <w:vAlign w:val="center"/>
                </w:tcPr>
                <w:p w14:paraId="3D5361FF">
                  <w:pPr>
                    <w:pStyle w:val="2"/>
                    <w:ind w:left="12" w:leftChars="0" w:hanging="12" w:firstLineChars="0"/>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kern w:val="2"/>
                      <w:sz w:val="21"/>
                      <w:szCs w:val="21"/>
                      <w:lang w:val="en-US" w:eastAsia="zh-CN" w:bidi="ar-SA"/>
                    </w:rPr>
                    <w:t>潘一东瓦斯发电站归属本项目建设单位，距离本项目764米，发电站内设置危废暂存间一间，占地面积约10m²，主要用于暂存生产过程中产生的危废。</w:t>
                  </w:r>
                </w:p>
              </w:tc>
            </w:tr>
            <w:tr w14:paraId="23C81D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458" w:type="pct"/>
                  <w:vMerge w:val="continue"/>
                  <w:vAlign w:val="center"/>
                </w:tcPr>
                <w:p w14:paraId="1CE7F11C">
                  <w:pPr>
                    <w:autoSpaceDE w:val="0"/>
                    <w:autoSpaceDN w:val="0"/>
                    <w:adjustRightInd w:val="0"/>
                    <w:snapToGrid w:val="0"/>
                    <w:jc w:val="left"/>
                    <w:rPr>
                      <w:rFonts w:hint="eastAsia" w:ascii="Times New Roman" w:hAnsi="Times New Roman" w:eastAsia="宋体" w:cs="Times New Roman"/>
                      <w:color w:val="auto"/>
                      <w:szCs w:val="21"/>
                      <w:lang w:eastAsia="zh-CN"/>
                    </w:rPr>
                  </w:pPr>
                </w:p>
              </w:tc>
              <w:tc>
                <w:tcPr>
                  <w:tcW w:w="552" w:type="pct"/>
                  <w:gridSpan w:val="2"/>
                  <w:vAlign w:val="center"/>
                </w:tcPr>
                <w:p w14:paraId="72EF85DB">
                  <w:pPr>
                    <w:autoSpaceDE w:val="0"/>
                    <w:autoSpaceDN w:val="0"/>
                    <w:adjustRightInd w:val="0"/>
                    <w:snapToGrid w:val="0"/>
                    <w:jc w:val="left"/>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潘一选煤生活污水处理站</w:t>
                  </w:r>
                </w:p>
              </w:tc>
              <w:tc>
                <w:tcPr>
                  <w:tcW w:w="3988" w:type="pct"/>
                  <w:vAlign w:val="center"/>
                </w:tcPr>
                <w:p w14:paraId="64F884F7">
                  <w:pPr>
                    <w:pStyle w:val="2"/>
                    <w:ind w:left="12" w:leftChars="0" w:hanging="12"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潘一选煤生活污水处理站位于潘一东瓦斯发电站南侧，设计处理规模2000m</w:t>
                  </w:r>
                  <w:r>
                    <w:rPr>
                      <w:rFonts w:hint="eastAsia" w:ascii="Times New Roman" w:hAnsi="Times New Roman" w:eastAsia="宋体" w:cs="Times New Roman"/>
                      <w:b w:val="0"/>
                      <w:bCs w:val="0"/>
                      <w:color w:val="auto"/>
                      <w:kern w:val="2"/>
                      <w:sz w:val="21"/>
                      <w:szCs w:val="21"/>
                      <w:highlight w:val="none"/>
                      <w:vertAlign w:val="superscript"/>
                      <w:lang w:val="en-US" w:eastAsia="zh-CN" w:bidi="ar-SA"/>
                    </w:rPr>
                    <w:t>3</w:t>
                  </w:r>
                  <w:r>
                    <w:rPr>
                      <w:rFonts w:hint="eastAsia" w:ascii="Times New Roman" w:hAnsi="Times New Roman" w:eastAsia="宋体" w:cs="Times New Roman"/>
                      <w:b w:val="0"/>
                      <w:bCs w:val="0"/>
                      <w:color w:val="auto"/>
                      <w:kern w:val="2"/>
                      <w:sz w:val="21"/>
                      <w:szCs w:val="21"/>
                      <w:highlight w:val="none"/>
                      <w:lang w:val="en-US" w:eastAsia="zh-CN" w:bidi="ar-SA"/>
                    </w:rPr>
                    <w:t>/d，污水处理工艺为生物接触氧化法，目前污水处理量881-1000m</w:t>
                  </w:r>
                  <w:r>
                    <w:rPr>
                      <w:rFonts w:hint="eastAsia" w:ascii="Times New Roman" w:hAnsi="Times New Roman" w:eastAsia="宋体" w:cs="Times New Roman"/>
                      <w:b w:val="0"/>
                      <w:bCs w:val="0"/>
                      <w:color w:val="auto"/>
                      <w:kern w:val="2"/>
                      <w:sz w:val="21"/>
                      <w:szCs w:val="21"/>
                      <w:highlight w:val="none"/>
                      <w:vertAlign w:val="superscript"/>
                      <w:lang w:val="en-US" w:eastAsia="zh-CN" w:bidi="ar-SA"/>
                    </w:rPr>
                    <w:t>3</w:t>
                  </w:r>
                  <w:r>
                    <w:rPr>
                      <w:rFonts w:hint="eastAsia" w:ascii="Times New Roman" w:hAnsi="Times New Roman" w:eastAsia="宋体" w:cs="Times New Roman"/>
                      <w:b w:val="0"/>
                      <w:bCs w:val="0"/>
                      <w:color w:val="auto"/>
                      <w:kern w:val="2"/>
                      <w:sz w:val="21"/>
                      <w:szCs w:val="21"/>
                      <w:highlight w:val="none"/>
                      <w:lang w:val="en-US" w:eastAsia="zh-CN" w:bidi="ar-SA"/>
                    </w:rPr>
                    <w:t>/d，本项目施工期气液分离器</w:t>
                  </w:r>
                  <w:r>
                    <w:rPr>
                      <w:rFonts w:hint="eastAsia" w:eastAsia="宋体" w:cs="Times New Roman"/>
                      <w:b w:val="0"/>
                      <w:bCs w:val="0"/>
                      <w:color w:val="auto"/>
                      <w:kern w:val="2"/>
                      <w:sz w:val="21"/>
                      <w:szCs w:val="21"/>
                      <w:highlight w:val="none"/>
                      <w:lang w:val="en-US" w:eastAsia="zh-CN" w:bidi="ar-SA"/>
                    </w:rPr>
                    <w:t>废水</w:t>
                  </w:r>
                  <w:r>
                    <w:rPr>
                      <w:rFonts w:hint="eastAsia" w:ascii="Times New Roman" w:hAnsi="Times New Roman" w:eastAsia="宋体" w:cs="Times New Roman"/>
                      <w:b w:val="0"/>
                      <w:bCs w:val="0"/>
                      <w:color w:val="auto"/>
                      <w:kern w:val="2"/>
                      <w:sz w:val="21"/>
                      <w:szCs w:val="21"/>
                      <w:highlight w:val="none"/>
                      <w:lang w:val="en-US" w:eastAsia="zh-CN" w:bidi="ar-SA"/>
                    </w:rPr>
                    <w:t>排放量为0.</w:t>
                  </w:r>
                  <w:r>
                    <w:rPr>
                      <w:rFonts w:hint="eastAsia" w:eastAsia="宋体" w:cs="Times New Roman"/>
                      <w:b w:val="0"/>
                      <w:bCs w:val="0"/>
                      <w:color w:val="auto"/>
                      <w:kern w:val="2"/>
                      <w:sz w:val="21"/>
                      <w:szCs w:val="21"/>
                      <w:highlight w:val="none"/>
                      <w:lang w:val="en-US" w:eastAsia="zh-CN" w:bidi="ar-SA"/>
                    </w:rPr>
                    <w:t>3</w:t>
                  </w:r>
                  <w:r>
                    <w:rPr>
                      <w:rFonts w:hint="eastAsia" w:ascii="Times New Roman" w:hAnsi="Times New Roman" w:eastAsia="宋体" w:cs="Times New Roman"/>
                      <w:b w:val="0"/>
                      <w:bCs w:val="0"/>
                      <w:color w:val="auto"/>
                      <w:kern w:val="2"/>
                      <w:sz w:val="21"/>
                      <w:szCs w:val="21"/>
                      <w:highlight w:val="none"/>
                      <w:lang w:val="en-US" w:eastAsia="zh-CN" w:bidi="ar-SA"/>
                    </w:rPr>
                    <w:t>m</w:t>
                  </w:r>
                  <w:r>
                    <w:rPr>
                      <w:rFonts w:hint="eastAsia" w:ascii="Times New Roman" w:hAnsi="Times New Roman" w:eastAsia="宋体" w:cs="Times New Roman"/>
                      <w:b w:val="0"/>
                      <w:bCs w:val="0"/>
                      <w:color w:val="auto"/>
                      <w:kern w:val="2"/>
                      <w:sz w:val="21"/>
                      <w:szCs w:val="21"/>
                      <w:highlight w:val="none"/>
                      <w:vertAlign w:val="superscript"/>
                      <w:lang w:val="en-US" w:eastAsia="zh-CN" w:bidi="ar-SA"/>
                    </w:rPr>
                    <w:t>3</w:t>
                  </w:r>
                  <w:r>
                    <w:rPr>
                      <w:rFonts w:hint="eastAsia" w:ascii="Times New Roman" w:hAnsi="Times New Roman" w:eastAsia="宋体" w:cs="Times New Roman"/>
                      <w:b w:val="0"/>
                      <w:bCs w:val="0"/>
                      <w:color w:val="auto"/>
                      <w:kern w:val="2"/>
                      <w:sz w:val="21"/>
                      <w:szCs w:val="21"/>
                      <w:highlight w:val="none"/>
                      <w:lang w:val="en-US" w:eastAsia="zh-CN" w:bidi="ar-SA"/>
                    </w:rPr>
                    <w:t>/d，排放量很小，污染因子为COD、SS，不会对污水处理站水量和水质造成冲击影响，处理后的水用于潘一选煤厂生产用水，无废水外排。</w:t>
                  </w:r>
                </w:p>
              </w:tc>
            </w:tr>
          </w:tbl>
          <w:p w14:paraId="78E09054">
            <w:pPr>
              <w:pStyle w:val="95"/>
              <w:numPr>
                <w:ilvl w:val="1"/>
                <w:numId w:val="2"/>
              </w:numPr>
              <w:tabs>
                <w:tab w:val="left" w:pos="2100"/>
                <w:tab w:val="clear" w:pos="1440"/>
              </w:tabs>
              <w:spacing w:line="240" w:lineRule="auto"/>
              <w:ind w:left="3300" w:leftChars="0" w:hanging="360" w:firstLineChars="0"/>
              <w:jc w:val="both"/>
              <w:rPr>
                <w:rFonts w:hint="eastAsia" w:ascii="宋体" w:hAnsi="宋体" w:eastAsia="宋体" w:cs="宋体"/>
                <w:color w:val="000000"/>
                <w:kern w:val="0"/>
                <w:sz w:val="24"/>
                <w:szCs w:val="24"/>
                <w:lang w:val="en-US" w:eastAsia="zh-CN" w:bidi="ar"/>
              </w:rPr>
            </w:pPr>
            <w:r>
              <w:rPr>
                <w:rFonts w:hint="eastAsia" w:ascii="宋体" w:eastAsia="宋体" w:cs="宋体"/>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钻井工程量一览表</w:t>
            </w:r>
          </w:p>
          <w:tbl>
            <w:tblPr>
              <w:tblStyle w:val="2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1823"/>
              <w:gridCol w:w="2312"/>
              <w:gridCol w:w="2049"/>
            </w:tblGrid>
            <w:tr w14:paraId="4253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067" w:type="pct"/>
                  <w:vAlign w:val="center"/>
                </w:tcPr>
                <w:p w14:paraId="4A9E8B6F">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序号</w:t>
                  </w:r>
                </w:p>
              </w:tc>
              <w:tc>
                <w:tcPr>
                  <w:tcW w:w="1159" w:type="pct"/>
                  <w:vAlign w:val="center"/>
                </w:tcPr>
                <w:p w14:paraId="4929047F">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井号</w:t>
                  </w:r>
                </w:p>
              </w:tc>
              <w:tc>
                <w:tcPr>
                  <w:tcW w:w="2773" w:type="pct"/>
                  <w:gridSpan w:val="2"/>
                  <w:vAlign w:val="center"/>
                </w:tcPr>
                <w:p w14:paraId="6A1B5CFB">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工程量（m）</w:t>
                  </w:r>
                </w:p>
              </w:tc>
            </w:tr>
            <w:tr w14:paraId="47CD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67" w:type="pct"/>
                  <w:vMerge w:val="restart"/>
                  <w:vAlign w:val="center"/>
                </w:tcPr>
                <w:p w14:paraId="60AAAC64">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1159" w:type="pct"/>
                  <w:vMerge w:val="restart"/>
                  <w:vAlign w:val="center"/>
                </w:tcPr>
                <w:p w14:paraId="5D910C6D">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PY-2132-1</w:t>
                  </w:r>
                </w:p>
              </w:tc>
              <w:tc>
                <w:tcPr>
                  <w:tcW w:w="1470" w:type="pct"/>
                  <w:vAlign w:val="center"/>
                </w:tcPr>
                <w:p w14:paraId="46BE3460">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一开</w:t>
                  </w:r>
                </w:p>
              </w:tc>
              <w:tc>
                <w:tcPr>
                  <w:tcW w:w="1303" w:type="pct"/>
                  <w:vAlign w:val="center"/>
                </w:tcPr>
                <w:p w14:paraId="3A49409D">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r>
            <w:tr w14:paraId="6DCA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067" w:type="pct"/>
                  <w:vMerge w:val="continue"/>
                  <w:vAlign w:val="center"/>
                </w:tcPr>
                <w:p w14:paraId="570F423C">
                  <w:pPr>
                    <w:adjustRightInd w:val="0"/>
                    <w:snapToGrid w:val="0"/>
                    <w:jc w:val="center"/>
                    <w:rPr>
                      <w:rFonts w:hint="eastAsia" w:ascii="Times New Roman" w:hAnsi="Times New Roman" w:eastAsia="宋体" w:cs="Times New Roman"/>
                      <w:color w:val="auto"/>
                      <w:highlight w:val="none"/>
                      <w:lang w:val="en-US" w:eastAsia="zh-CN"/>
                    </w:rPr>
                  </w:pPr>
                </w:p>
              </w:tc>
              <w:tc>
                <w:tcPr>
                  <w:tcW w:w="1159" w:type="pct"/>
                  <w:vMerge w:val="continue"/>
                  <w:vAlign w:val="center"/>
                </w:tcPr>
                <w:p w14:paraId="6B9F9955">
                  <w:pPr>
                    <w:adjustRightInd w:val="0"/>
                    <w:snapToGrid w:val="0"/>
                    <w:jc w:val="center"/>
                    <w:rPr>
                      <w:rFonts w:hint="eastAsia" w:ascii="Times New Roman" w:hAnsi="Times New Roman" w:eastAsia="宋体" w:cs="Times New Roman"/>
                      <w:color w:val="auto"/>
                      <w:highlight w:val="none"/>
                      <w:lang w:val="en-US" w:eastAsia="zh-CN"/>
                    </w:rPr>
                  </w:pPr>
                </w:p>
              </w:tc>
              <w:tc>
                <w:tcPr>
                  <w:tcW w:w="1470" w:type="pct"/>
                  <w:vAlign w:val="center"/>
                </w:tcPr>
                <w:p w14:paraId="666082E1">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二开</w:t>
                  </w:r>
                </w:p>
              </w:tc>
              <w:tc>
                <w:tcPr>
                  <w:tcW w:w="1303" w:type="pct"/>
                  <w:vAlign w:val="center"/>
                </w:tcPr>
                <w:p w14:paraId="1B1C8615">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970</w:t>
                  </w:r>
                </w:p>
              </w:tc>
            </w:tr>
            <w:tr w14:paraId="2204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067" w:type="pct"/>
                  <w:vMerge w:val="continue"/>
                  <w:vAlign w:val="center"/>
                </w:tcPr>
                <w:p w14:paraId="533F435B">
                  <w:pPr>
                    <w:adjustRightInd w:val="0"/>
                    <w:snapToGrid w:val="0"/>
                    <w:jc w:val="center"/>
                    <w:rPr>
                      <w:rFonts w:hint="eastAsia" w:ascii="Times New Roman" w:hAnsi="Times New Roman" w:eastAsia="宋体" w:cs="Times New Roman"/>
                      <w:color w:val="auto"/>
                      <w:highlight w:val="none"/>
                      <w:lang w:val="en-US" w:eastAsia="zh-CN"/>
                    </w:rPr>
                  </w:pPr>
                </w:p>
              </w:tc>
              <w:tc>
                <w:tcPr>
                  <w:tcW w:w="1159" w:type="pct"/>
                  <w:vMerge w:val="continue"/>
                  <w:vAlign w:val="center"/>
                </w:tcPr>
                <w:p w14:paraId="7677D234">
                  <w:pPr>
                    <w:adjustRightInd w:val="0"/>
                    <w:snapToGrid w:val="0"/>
                    <w:jc w:val="center"/>
                    <w:rPr>
                      <w:rFonts w:hint="eastAsia" w:ascii="Times New Roman" w:hAnsi="Times New Roman" w:eastAsia="宋体" w:cs="Times New Roman"/>
                      <w:color w:val="auto"/>
                      <w:highlight w:val="none"/>
                      <w:lang w:val="en-US" w:eastAsia="zh-CN"/>
                    </w:rPr>
                  </w:pPr>
                </w:p>
              </w:tc>
              <w:tc>
                <w:tcPr>
                  <w:tcW w:w="1470" w:type="pct"/>
                  <w:vAlign w:val="center"/>
                </w:tcPr>
                <w:p w14:paraId="3268A5B7">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导眼</w:t>
                  </w:r>
                </w:p>
              </w:tc>
              <w:tc>
                <w:tcPr>
                  <w:tcW w:w="1303" w:type="pct"/>
                  <w:vAlign w:val="center"/>
                </w:tcPr>
                <w:p w14:paraId="5B59BF33">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127</w:t>
                  </w:r>
                </w:p>
              </w:tc>
            </w:tr>
            <w:tr w14:paraId="1363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67" w:type="pct"/>
                  <w:vMerge w:val="continue"/>
                  <w:vAlign w:val="center"/>
                </w:tcPr>
                <w:p w14:paraId="072AD70E">
                  <w:pPr>
                    <w:adjustRightInd w:val="0"/>
                    <w:snapToGrid w:val="0"/>
                    <w:jc w:val="center"/>
                    <w:rPr>
                      <w:rFonts w:hint="eastAsia" w:ascii="Times New Roman" w:hAnsi="Times New Roman" w:eastAsia="宋体" w:cs="Times New Roman"/>
                      <w:color w:val="auto"/>
                      <w:highlight w:val="none"/>
                      <w:lang w:val="en-US" w:eastAsia="zh-CN"/>
                    </w:rPr>
                  </w:pPr>
                </w:p>
              </w:tc>
              <w:tc>
                <w:tcPr>
                  <w:tcW w:w="1159" w:type="pct"/>
                  <w:vMerge w:val="continue"/>
                  <w:vAlign w:val="center"/>
                </w:tcPr>
                <w:p w14:paraId="64F340AD">
                  <w:pPr>
                    <w:adjustRightInd w:val="0"/>
                    <w:snapToGrid w:val="0"/>
                    <w:jc w:val="center"/>
                    <w:rPr>
                      <w:rFonts w:hint="eastAsia" w:ascii="Times New Roman" w:hAnsi="Times New Roman" w:eastAsia="宋体" w:cs="Times New Roman"/>
                      <w:color w:val="auto"/>
                      <w:highlight w:val="none"/>
                      <w:lang w:val="en-US" w:eastAsia="zh-CN"/>
                    </w:rPr>
                  </w:pPr>
                </w:p>
              </w:tc>
              <w:tc>
                <w:tcPr>
                  <w:tcW w:w="1470" w:type="pct"/>
                  <w:vAlign w:val="center"/>
                </w:tcPr>
                <w:p w14:paraId="4C1E7210">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三开</w:t>
                  </w:r>
                </w:p>
              </w:tc>
              <w:tc>
                <w:tcPr>
                  <w:tcW w:w="1303" w:type="pct"/>
                  <w:vAlign w:val="center"/>
                </w:tcPr>
                <w:p w14:paraId="14EE395C">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1244</w:t>
                  </w:r>
                </w:p>
              </w:tc>
            </w:tr>
            <w:tr w14:paraId="5393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67" w:type="pct"/>
                  <w:vMerge w:val="restart"/>
                  <w:vAlign w:val="center"/>
                </w:tcPr>
                <w:p w14:paraId="2D31483C">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1159" w:type="pct"/>
                  <w:vMerge w:val="restart"/>
                  <w:vAlign w:val="center"/>
                </w:tcPr>
                <w:p w14:paraId="2F9CD01E">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PY-2132-2</w:t>
                  </w:r>
                </w:p>
              </w:tc>
              <w:tc>
                <w:tcPr>
                  <w:tcW w:w="1470" w:type="pct"/>
                  <w:vAlign w:val="center"/>
                </w:tcPr>
                <w:p w14:paraId="0840A13C">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一开</w:t>
                  </w:r>
                </w:p>
              </w:tc>
              <w:tc>
                <w:tcPr>
                  <w:tcW w:w="1303" w:type="pct"/>
                  <w:vAlign w:val="center"/>
                </w:tcPr>
                <w:p w14:paraId="3078AA4B">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r>
            <w:tr w14:paraId="10CA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67" w:type="pct"/>
                  <w:vMerge w:val="continue"/>
                  <w:vAlign w:val="center"/>
                </w:tcPr>
                <w:p w14:paraId="6339F198">
                  <w:pPr>
                    <w:adjustRightInd w:val="0"/>
                    <w:snapToGrid w:val="0"/>
                    <w:jc w:val="center"/>
                    <w:rPr>
                      <w:rFonts w:hint="eastAsia" w:ascii="Times New Roman" w:hAnsi="Times New Roman" w:eastAsia="宋体" w:cs="Times New Roman"/>
                      <w:color w:val="auto"/>
                      <w:highlight w:val="none"/>
                      <w:lang w:val="en-US" w:eastAsia="zh-CN"/>
                    </w:rPr>
                  </w:pPr>
                </w:p>
              </w:tc>
              <w:tc>
                <w:tcPr>
                  <w:tcW w:w="1159" w:type="pct"/>
                  <w:vMerge w:val="continue"/>
                  <w:vAlign w:val="center"/>
                </w:tcPr>
                <w:p w14:paraId="12A8A86D">
                  <w:pPr>
                    <w:adjustRightInd w:val="0"/>
                    <w:snapToGrid w:val="0"/>
                    <w:jc w:val="center"/>
                    <w:rPr>
                      <w:rFonts w:hint="eastAsia" w:ascii="Times New Roman" w:hAnsi="Times New Roman" w:eastAsia="宋体" w:cs="Times New Roman"/>
                      <w:color w:val="auto"/>
                      <w:highlight w:val="none"/>
                      <w:lang w:val="en-US" w:eastAsia="zh-CN"/>
                    </w:rPr>
                  </w:pPr>
                </w:p>
              </w:tc>
              <w:tc>
                <w:tcPr>
                  <w:tcW w:w="1470" w:type="pct"/>
                  <w:vAlign w:val="center"/>
                </w:tcPr>
                <w:p w14:paraId="0E80BE7D">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二开</w:t>
                  </w:r>
                </w:p>
              </w:tc>
              <w:tc>
                <w:tcPr>
                  <w:tcW w:w="1303" w:type="pct"/>
                  <w:vAlign w:val="center"/>
                </w:tcPr>
                <w:p w14:paraId="43DD10C1">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1002</w:t>
                  </w:r>
                </w:p>
              </w:tc>
            </w:tr>
            <w:tr w14:paraId="5242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067" w:type="pct"/>
                  <w:vMerge w:val="continue"/>
                  <w:vAlign w:val="center"/>
                </w:tcPr>
                <w:p w14:paraId="473761F0">
                  <w:pPr>
                    <w:adjustRightInd w:val="0"/>
                    <w:snapToGrid w:val="0"/>
                    <w:jc w:val="center"/>
                    <w:rPr>
                      <w:rFonts w:hint="eastAsia" w:ascii="Times New Roman" w:hAnsi="Times New Roman" w:eastAsia="宋体" w:cs="Times New Roman"/>
                      <w:color w:val="auto"/>
                      <w:highlight w:val="none"/>
                      <w:lang w:val="en-US" w:eastAsia="zh-CN"/>
                    </w:rPr>
                  </w:pPr>
                </w:p>
              </w:tc>
              <w:tc>
                <w:tcPr>
                  <w:tcW w:w="1159" w:type="pct"/>
                  <w:vMerge w:val="continue"/>
                  <w:vAlign w:val="center"/>
                </w:tcPr>
                <w:p w14:paraId="7076E7DA">
                  <w:pPr>
                    <w:adjustRightInd w:val="0"/>
                    <w:snapToGrid w:val="0"/>
                    <w:jc w:val="center"/>
                    <w:rPr>
                      <w:rFonts w:hint="eastAsia" w:ascii="Times New Roman" w:hAnsi="Times New Roman" w:eastAsia="宋体" w:cs="Times New Roman"/>
                      <w:color w:val="auto"/>
                      <w:highlight w:val="none"/>
                      <w:lang w:val="en-US" w:eastAsia="zh-CN"/>
                    </w:rPr>
                  </w:pPr>
                </w:p>
              </w:tc>
              <w:tc>
                <w:tcPr>
                  <w:tcW w:w="1470" w:type="pct"/>
                  <w:vAlign w:val="center"/>
                </w:tcPr>
                <w:p w14:paraId="5A4D01A3">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导眼</w:t>
                  </w:r>
                </w:p>
              </w:tc>
              <w:tc>
                <w:tcPr>
                  <w:tcW w:w="1303" w:type="pct"/>
                  <w:vAlign w:val="center"/>
                </w:tcPr>
                <w:p w14:paraId="0E473C55">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190</w:t>
                  </w:r>
                </w:p>
              </w:tc>
            </w:tr>
            <w:tr w14:paraId="1F44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67" w:type="pct"/>
                  <w:vMerge w:val="continue"/>
                  <w:vAlign w:val="center"/>
                </w:tcPr>
                <w:p w14:paraId="1B602F60">
                  <w:pPr>
                    <w:adjustRightInd w:val="0"/>
                    <w:snapToGrid w:val="0"/>
                    <w:jc w:val="center"/>
                    <w:rPr>
                      <w:rFonts w:hint="eastAsia" w:ascii="Times New Roman" w:hAnsi="Times New Roman" w:eastAsia="宋体" w:cs="Times New Roman"/>
                      <w:color w:val="auto"/>
                      <w:highlight w:val="none"/>
                      <w:lang w:val="en-US" w:eastAsia="zh-CN"/>
                    </w:rPr>
                  </w:pPr>
                </w:p>
              </w:tc>
              <w:tc>
                <w:tcPr>
                  <w:tcW w:w="1159" w:type="pct"/>
                  <w:vMerge w:val="continue"/>
                  <w:vAlign w:val="center"/>
                </w:tcPr>
                <w:p w14:paraId="64A594DC">
                  <w:pPr>
                    <w:adjustRightInd w:val="0"/>
                    <w:snapToGrid w:val="0"/>
                    <w:jc w:val="center"/>
                    <w:rPr>
                      <w:rFonts w:hint="eastAsia" w:ascii="Times New Roman" w:hAnsi="Times New Roman" w:eastAsia="宋体" w:cs="Times New Roman"/>
                      <w:color w:val="auto"/>
                      <w:highlight w:val="none"/>
                      <w:lang w:val="en-US" w:eastAsia="zh-CN"/>
                    </w:rPr>
                  </w:pPr>
                </w:p>
              </w:tc>
              <w:tc>
                <w:tcPr>
                  <w:tcW w:w="1470" w:type="pct"/>
                  <w:vAlign w:val="center"/>
                </w:tcPr>
                <w:p w14:paraId="63F22626">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三开</w:t>
                  </w:r>
                </w:p>
              </w:tc>
              <w:tc>
                <w:tcPr>
                  <w:tcW w:w="1303" w:type="pct"/>
                  <w:vAlign w:val="center"/>
                </w:tcPr>
                <w:p w14:paraId="64A9D615">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1243</w:t>
                  </w:r>
                </w:p>
              </w:tc>
            </w:tr>
            <w:tr w14:paraId="725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3696" w:type="pct"/>
                  <w:gridSpan w:val="3"/>
                  <w:vAlign w:val="center"/>
                </w:tcPr>
                <w:p w14:paraId="4496BBD2">
                  <w:pPr>
                    <w:adjustRightInd w:val="0"/>
                    <w:snapToGrid w:val="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总计</w:t>
                  </w:r>
                </w:p>
              </w:tc>
              <w:tc>
                <w:tcPr>
                  <w:tcW w:w="1303" w:type="pct"/>
                  <w:vAlign w:val="center"/>
                </w:tcPr>
                <w:p w14:paraId="4C0FC972">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5296</w:t>
                  </w:r>
                </w:p>
              </w:tc>
            </w:tr>
          </w:tbl>
          <w:p w14:paraId="15C13ADD">
            <w:pPr>
              <w:pStyle w:val="95"/>
              <w:numPr>
                <w:ilvl w:val="1"/>
                <w:numId w:val="2"/>
              </w:numPr>
              <w:tabs>
                <w:tab w:val="left" w:pos="2100"/>
                <w:tab w:val="clear" w:pos="1440"/>
              </w:tabs>
              <w:spacing w:line="240" w:lineRule="auto"/>
              <w:ind w:left="3300" w:leftChars="0" w:hanging="360" w:firstLineChars="0"/>
              <w:jc w:val="both"/>
              <w:rPr>
                <w:rFonts w:hint="eastAsia" w:eastAsiaTheme="minorEastAsia"/>
                <w:color w:val="auto"/>
                <w:highlight w:val="none"/>
                <w:lang w:eastAsia="zh-CN"/>
              </w:rPr>
            </w:pPr>
            <w:r>
              <w:rPr>
                <w:rFonts w:hint="eastAsia" w:cs="仿宋_GB2312"/>
                <w:color w:val="auto"/>
                <w:highlight w:val="none"/>
              </w:rPr>
              <w:t>钻井基本参数</w:t>
            </w:r>
          </w:p>
          <w:tbl>
            <w:tblPr>
              <w:tblStyle w:val="26"/>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565"/>
              <w:gridCol w:w="916"/>
              <w:gridCol w:w="820"/>
              <w:gridCol w:w="766"/>
              <w:gridCol w:w="766"/>
              <w:gridCol w:w="766"/>
              <w:gridCol w:w="766"/>
              <w:gridCol w:w="767"/>
              <w:gridCol w:w="767"/>
            </w:tblGrid>
            <w:tr w14:paraId="3F44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610" w:type="pct"/>
                  <w:vAlign w:val="center"/>
                </w:tcPr>
                <w:p w14:paraId="5DEF551F">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井号</w:t>
                  </w:r>
                </w:p>
              </w:tc>
              <w:tc>
                <w:tcPr>
                  <w:tcW w:w="359" w:type="pct"/>
                  <w:vAlign w:val="center"/>
                </w:tcPr>
                <w:p w14:paraId="37948DEA">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地面</w:t>
                  </w:r>
                </w:p>
                <w:p w14:paraId="2D5BFC59">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海拔</w:t>
                  </w:r>
                </w:p>
              </w:tc>
              <w:tc>
                <w:tcPr>
                  <w:tcW w:w="582" w:type="pct"/>
                  <w:vAlign w:val="center"/>
                </w:tcPr>
                <w:p w14:paraId="013809AF">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A点</w:t>
                  </w:r>
                </w:p>
                <w:p w14:paraId="4D4201B0">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标高</w:t>
                  </w:r>
                </w:p>
                <w:p w14:paraId="2EDBAFAE">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w:t>
                  </w:r>
                </w:p>
              </w:tc>
              <w:tc>
                <w:tcPr>
                  <w:tcW w:w="521" w:type="pct"/>
                  <w:vAlign w:val="center"/>
                </w:tcPr>
                <w:p w14:paraId="0D9FBA00">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终点</w:t>
                  </w:r>
                </w:p>
                <w:p w14:paraId="65C737F8">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标高</w:t>
                  </w:r>
                </w:p>
                <w:p w14:paraId="0ADD32C5">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w:t>
                  </w:r>
                </w:p>
              </w:tc>
              <w:tc>
                <w:tcPr>
                  <w:tcW w:w="487" w:type="pct"/>
                  <w:vAlign w:val="center"/>
                </w:tcPr>
                <w:p w14:paraId="24EC9CC2">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纵向</w:t>
                  </w:r>
                </w:p>
                <w:p w14:paraId="771A6B4B">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靶前距</w:t>
                  </w:r>
                </w:p>
                <w:p w14:paraId="4DE33866">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w:t>
                  </w:r>
                </w:p>
              </w:tc>
              <w:tc>
                <w:tcPr>
                  <w:tcW w:w="487" w:type="pct"/>
                  <w:vAlign w:val="center"/>
                </w:tcPr>
                <w:p w14:paraId="34571433">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横向</w:t>
                  </w:r>
                </w:p>
                <w:p w14:paraId="61ED1FE6">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靶前距</w:t>
                  </w:r>
                </w:p>
                <w:p w14:paraId="59542D68">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w:t>
                  </w:r>
                </w:p>
              </w:tc>
              <w:tc>
                <w:tcPr>
                  <w:tcW w:w="487" w:type="pct"/>
                  <w:vAlign w:val="center"/>
                </w:tcPr>
                <w:p w14:paraId="64E8D4DA">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总位移</w:t>
                  </w:r>
                </w:p>
                <w:p w14:paraId="711BD782">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w:t>
                  </w:r>
                </w:p>
              </w:tc>
              <w:tc>
                <w:tcPr>
                  <w:tcW w:w="487" w:type="pct"/>
                  <w:vAlign w:val="center"/>
                </w:tcPr>
                <w:p w14:paraId="1A39A528">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水平段</w:t>
                  </w:r>
                </w:p>
                <w:p w14:paraId="062E7DD8">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长度</w:t>
                  </w:r>
                </w:p>
                <w:p w14:paraId="65A8F13D">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w:t>
                  </w:r>
                </w:p>
              </w:tc>
              <w:tc>
                <w:tcPr>
                  <w:tcW w:w="487" w:type="pct"/>
                  <w:vAlign w:val="center"/>
                </w:tcPr>
                <w:p w14:paraId="4D4F3B3F">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最大</w:t>
                  </w:r>
                </w:p>
                <w:p w14:paraId="72A36EEB">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井斜</w:t>
                  </w:r>
                </w:p>
                <w:p w14:paraId="210C7851">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487" w:type="pct"/>
                  <w:vAlign w:val="center"/>
                </w:tcPr>
                <w:p w14:paraId="2046526A">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位垂比</w:t>
                  </w:r>
                </w:p>
              </w:tc>
            </w:tr>
            <w:tr w14:paraId="367B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10" w:type="pct"/>
                  <w:vAlign w:val="center"/>
                </w:tcPr>
                <w:p w14:paraId="12749E83">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PY-2132-1</w:t>
                  </w:r>
                </w:p>
              </w:tc>
              <w:tc>
                <w:tcPr>
                  <w:tcW w:w="359" w:type="pct"/>
                  <w:vAlign w:val="center"/>
                </w:tcPr>
                <w:p w14:paraId="151CE527">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22</w:t>
                  </w:r>
                </w:p>
              </w:tc>
              <w:tc>
                <w:tcPr>
                  <w:tcW w:w="582" w:type="pct"/>
                  <w:vAlign w:val="center"/>
                </w:tcPr>
                <w:p w14:paraId="54283B44">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-949.2 </w:t>
                  </w:r>
                </w:p>
              </w:tc>
              <w:tc>
                <w:tcPr>
                  <w:tcW w:w="521" w:type="pct"/>
                  <w:vAlign w:val="center"/>
                </w:tcPr>
                <w:p w14:paraId="4F03577D">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-919.1 </w:t>
                  </w:r>
                </w:p>
              </w:tc>
              <w:tc>
                <w:tcPr>
                  <w:tcW w:w="487" w:type="pct"/>
                  <w:vAlign w:val="center"/>
                </w:tcPr>
                <w:p w14:paraId="50EE3E01">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6 </w:t>
                  </w:r>
                </w:p>
              </w:tc>
              <w:tc>
                <w:tcPr>
                  <w:tcW w:w="487" w:type="pct"/>
                  <w:vAlign w:val="center"/>
                </w:tcPr>
                <w:p w14:paraId="61B09E93">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482 </w:t>
                  </w:r>
                </w:p>
              </w:tc>
              <w:tc>
                <w:tcPr>
                  <w:tcW w:w="487" w:type="pct"/>
                  <w:vAlign w:val="center"/>
                </w:tcPr>
                <w:p w14:paraId="3BD3BF9C">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1726</w:t>
                  </w:r>
                </w:p>
              </w:tc>
              <w:tc>
                <w:tcPr>
                  <w:tcW w:w="487" w:type="pct"/>
                  <w:vAlign w:val="center"/>
                </w:tcPr>
                <w:p w14:paraId="269E35DA">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1244</w:t>
                  </w:r>
                </w:p>
              </w:tc>
              <w:tc>
                <w:tcPr>
                  <w:tcW w:w="487" w:type="pct"/>
                  <w:vAlign w:val="center"/>
                </w:tcPr>
                <w:p w14:paraId="792CD194">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92.3</w:t>
                  </w:r>
                </w:p>
              </w:tc>
              <w:tc>
                <w:tcPr>
                  <w:tcW w:w="487" w:type="pct"/>
                  <w:vAlign w:val="center"/>
                </w:tcPr>
                <w:p w14:paraId="30253010">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1.78</w:t>
                  </w:r>
                </w:p>
              </w:tc>
            </w:tr>
            <w:tr w14:paraId="5AD7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10" w:type="pct"/>
                  <w:vAlign w:val="center"/>
                </w:tcPr>
                <w:p w14:paraId="26D8702C">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PY-2132-2</w:t>
                  </w:r>
                </w:p>
              </w:tc>
              <w:tc>
                <w:tcPr>
                  <w:tcW w:w="359" w:type="pct"/>
                  <w:vAlign w:val="center"/>
                </w:tcPr>
                <w:p w14:paraId="6C17AE1D">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22</w:t>
                  </w:r>
                </w:p>
              </w:tc>
              <w:tc>
                <w:tcPr>
                  <w:tcW w:w="582" w:type="pct"/>
                  <w:vAlign w:val="center"/>
                </w:tcPr>
                <w:p w14:paraId="1992991C">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-968.4 </w:t>
                  </w:r>
                </w:p>
              </w:tc>
              <w:tc>
                <w:tcPr>
                  <w:tcW w:w="521" w:type="pct"/>
                  <w:vAlign w:val="center"/>
                </w:tcPr>
                <w:p w14:paraId="1E3C1B8D">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-943.7 </w:t>
                  </w:r>
                </w:p>
              </w:tc>
              <w:tc>
                <w:tcPr>
                  <w:tcW w:w="487" w:type="pct"/>
                  <w:vAlign w:val="center"/>
                </w:tcPr>
                <w:p w14:paraId="1321B070">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173 </w:t>
                  </w:r>
                </w:p>
              </w:tc>
              <w:tc>
                <w:tcPr>
                  <w:tcW w:w="487" w:type="pct"/>
                  <w:vAlign w:val="center"/>
                </w:tcPr>
                <w:p w14:paraId="12418331">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490 </w:t>
                  </w:r>
                </w:p>
              </w:tc>
              <w:tc>
                <w:tcPr>
                  <w:tcW w:w="487" w:type="pct"/>
                  <w:vAlign w:val="center"/>
                </w:tcPr>
                <w:p w14:paraId="2B37B48F">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1733</w:t>
                  </w:r>
                </w:p>
              </w:tc>
              <w:tc>
                <w:tcPr>
                  <w:tcW w:w="487" w:type="pct"/>
                  <w:vAlign w:val="center"/>
                </w:tcPr>
                <w:p w14:paraId="20BCEF14">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1243</w:t>
                  </w:r>
                </w:p>
              </w:tc>
              <w:tc>
                <w:tcPr>
                  <w:tcW w:w="487" w:type="pct"/>
                  <w:vAlign w:val="center"/>
                </w:tcPr>
                <w:p w14:paraId="068CC9A0">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91.2</w:t>
                  </w:r>
                </w:p>
              </w:tc>
              <w:tc>
                <w:tcPr>
                  <w:tcW w:w="487" w:type="pct"/>
                  <w:vAlign w:val="center"/>
                </w:tcPr>
                <w:p w14:paraId="2341886A">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1.75</w:t>
                  </w:r>
                </w:p>
              </w:tc>
            </w:tr>
          </w:tbl>
          <w:p w14:paraId="447AF4D9">
            <w:pPr>
              <w:pStyle w:val="95"/>
              <w:numPr>
                <w:ilvl w:val="1"/>
                <w:numId w:val="2"/>
              </w:numPr>
              <w:tabs>
                <w:tab w:val="left" w:pos="2100"/>
                <w:tab w:val="clear" w:pos="1440"/>
              </w:tabs>
              <w:spacing w:line="240" w:lineRule="auto"/>
              <w:ind w:left="3300" w:leftChars="0" w:firstLine="60" w:firstLineChars="0"/>
              <w:jc w:val="both"/>
              <w:rPr>
                <w:color w:val="auto"/>
                <w:highlight w:val="none"/>
              </w:rPr>
            </w:pPr>
            <w:r>
              <w:rPr>
                <w:rFonts w:hint="eastAsia"/>
                <w:color w:val="auto"/>
                <w:highlight w:val="none"/>
                <w:lang w:eastAsia="zh-CN"/>
              </w:rPr>
              <w:t>钻井</w:t>
            </w:r>
            <w:r>
              <w:rPr>
                <w:rFonts w:hint="eastAsia"/>
                <w:color w:val="auto"/>
                <w:highlight w:val="none"/>
              </w:rPr>
              <w:t>井身结构说明</w:t>
            </w:r>
          </w:p>
          <w:tbl>
            <w:tblPr>
              <w:tblStyle w:val="25"/>
              <w:tblW w:w="7677" w:type="dxa"/>
              <w:tblInd w:w="-5" w:type="dxa"/>
              <w:shd w:val="clear" w:color="auto" w:fill="CCE8CF" w:themeFill="background1"/>
              <w:tblLayout w:type="fixed"/>
              <w:tblCellMar>
                <w:top w:w="0" w:type="dxa"/>
                <w:left w:w="0" w:type="dxa"/>
                <w:bottom w:w="0" w:type="dxa"/>
                <w:right w:w="0" w:type="dxa"/>
              </w:tblCellMar>
            </w:tblPr>
            <w:tblGrid>
              <w:gridCol w:w="763"/>
              <w:gridCol w:w="1084"/>
              <w:gridCol w:w="1084"/>
              <w:gridCol w:w="4746"/>
            </w:tblGrid>
            <w:tr w14:paraId="0FF7D5A8">
              <w:tblPrEx>
                <w:shd w:val="clear" w:color="auto" w:fill="CCE8CF" w:themeFill="background1"/>
                <w:tblCellMar>
                  <w:top w:w="0" w:type="dxa"/>
                  <w:left w:w="0" w:type="dxa"/>
                  <w:bottom w:w="0" w:type="dxa"/>
                  <w:right w:w="0" w:type="dxa"/>
                </w:tblCellMar>
              </w:tblPrEx>
              <w:trPr>
                <w:trHeight w:val="469" w:hRule="atLeast"/>
                <w:tblHeader/>
              </w:trPr>
              <w:tc>
                <w:tcPr>
                  <w:tcW w:w="497"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41C703CF">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开钻次序</w:t>
                  </w:r>
                </w:p>
              </w:tc>
              <w:tc>
                <w:tcPr>
                  <w:tcW w:w="70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1FD3E0A6">
                  <w:pPr>
                    <w:adjustRightInd w:val="0"/>
                    <w:snapToGrid w:val="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孔径</w:t>
                  </w:r>
                  <w:r>
                    <w:rPr>
                      <w:rFonts w:hint="default" w:ascii="Times New Roman" w:hAnsi="Times New Roman" w:eastAsia="宋体" w:cs="Times New Roman"/>
                      <w:color w:val="auto"/>
                      <w:highlight w:val="none"/>
                    </w:rPr>
                    <w:t>mm</w:t>
                  </w:r>
                </w:p>
              </w:tc>
              <w:tc>
                <w:tcPr>
                  <w:tcW w:w="70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3ED3E416">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套管尺寸mm</w:t>
                  </w:r>
                </w:p>
              </w:tc>
              <w:tc>
                <w:tcPr>
                  <w:tcW w:w="3090"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73F1B81B">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    计    说    明</w:t>
                  </w:r>
                </w:p>
              </w:tc>
            </w:tr>
            <w:tr w14:paraId="2F3BCD66">
              <w:tblPrEx>
                <w:tblCellMar>
                  <w:top w:w="0" w:type="dxa"/>
                  <w:left w:w="0" w:type="dxa"/>
                  <w:bottom w:w="0" w:type="dxa"/>
                  <w:right w:w="0" w:type="dxa"/>
                </w:tblCellMar>
              </w:tblPrEx>
              <w:trPr>
                <w:trHeight w:val="771" w:hRule="exact"/>
              </w:trPr>
              <w:tc>
                <w:tcPr>
                  <w:tcW w:w="497"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7A154592">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  开</w:t>
                  </w:r>
                </w:p>
              </w:tc>
              <w:tc>
                <w:tcPr>
                  <w:tcW w:w="70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117E1C2B">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444.5mm</w:t>
                  </w:r>
                </w:p>
              </w:tc>
              <w:tc>
                <w:tcPr>
                  <w:tcW w:w="70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016FC68C">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339.7</w:t>
                  </w:r>
                </w:p>
              </w:tc>
              <w:tc>
                <w:tcPr>
                  <w:tcW w:w="3090"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4331875C">
                  <w:pPr>
                    <w:adjustRightInd w:val="0"/>
                    <w:snapToGrid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用Φ444.5mm钻头钻进至基岩10米以下（稳定基岩面），一开完钻，下表层套管Φ339.7×9.65mm,水泥浆返至地面</w:t>
                  </w:r>
                </w:p>
              </w:tc>
            </w:tr>
            <w:tr w14:paraId="049C793A">
              <w:tblPrEx>
                <w:tblCellMar>
                  <w:top w:w="0" w:type="dxa"/>
                  <w:left w:w="0" w:type="dxa"/>
                  <w:bottom w:w="0" w:type="dxa"/>
                  <w:right w:w="0" w:type="dxa"/>
                </w:tblCellMar>
              </w:tblPrEx>
              <w:trPr>
                <w:trHeight w:val="771" w:hRule="exact"/>
              </w:trPr>
              <w:tc>
                <w:tcPr>
                  <w:tcW w:w="497"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4F40E71A">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二  开</w:t>
                  </w:r>
                </w:p>
              </w:tc>
              <w:tc>
                <w:tcPr>
                  <w:tcW w:w="70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1381D03E">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311.15</w:t>
                  </w:r>
                </w:p>
              </w:tc>
              <w:tc>
                <w:tcPr>
                  <w:tcW w:w="70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071A8C64">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244.5</w:t>
                  </w:r>
                </w:p>
              </w:tc>
              <w:tc>
                <w:tcPr>
                  <w:tcW w:w="3090"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546D576B">
                  <w:pPr>
                    <w:adjustRightInd w:val="0"/>
                    <w:snapToGrid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用Φ311.15mm钻头钻进至着陆点，井斜达到90°左右，二开完钻，下Φ244.5×8.94mm技术套管固井，水泥浆返至地面</w:t>
                  </w:r>
                </w:p>
              </w:tc>
            </w:tr>
            <w:tr w14:paraId="706A41AE">
              <w:tblPrEx>
                <w:tblCellMar>
                  <w:top w:w="0" w:type="dxa"/>
                  <w:left w:w="0" w:type="dxa"/>
                  <w:bottom w:w="0" w:type="dxa"/>
                  <w:right w:w="0" w:type="dxa"/>
                </w:tblCellMar>
              </w:tblPrEx>
              <w:trPr>
                <w:trHeight w:val="780" w:hRule="exact"/>
              </w:trPr>
              <w:tc>
                <w:tcPr>
                  <w:tcW w:w="497"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1100BA60">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三  开</w:t>
                  </w:r>
                </w:p>
              </w:tc>
              <w:tc>
                <w:tcPr>
                  <w:tcW w:w="70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5AC38B99">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215.9</w:t>
                  </w:r>
                </w:p>
              </w:tc>
              <w:tc>
                <w:tcPr>
                  <w:tcW w:w="70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237C51E0">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139.7</w:t>
                  </w:r>
                </w:p>
              </w:tc>
              <w:tc>
                <w:tcPr>
                  <w:tcW w:w="3090"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374C8457">
                  <w:pPr>
                    <w:adjustRightInd w:val="0"/>
                    <w:snapToGrid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着陆后，用Φ215.9mm钻头在目标煤层钻进，钻至设计井深完钻，下入Φ139.7×9.17mm套管进行固井，水泥返至地面</w:t>
                  </w:r>
                </w:p>
              </w:tc>
            </w:tr>
          </w:tbl>
          <w:p w14:paraId="23BD9367">
            <w:pPr>
              <w:numPr>
                <w:ilvl w:val="0"/>
                <w:numId w:val="3"/>
              </w:numPr>
              <w:spacing w:line="360" w:lineRule="auto"/>
              <w:ind w:left="0" w:leftChars="0" w:firstLine="560" w:firstLineChars="0"/>
              <w:jc w:val="center"/>
              <w:rPr>
                <w:rFonts w:hint="eastAsia"/>
                <w:color w:val="auto"/>
                <w:highlight w:val="none"/>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151765</wp:posOffset>
                  </wp:positionV>
                  <wp:extent cx="4998720" cy="2745740"/>
                  <wp:effectExtent l="0" t="0" r="11430" b="16510"/>
                  <wp:wrapTopAndBottom/>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3"/>
                          <a:stretch>
                            <a:fillRect/>
                          </a:stretch>
                        </pic:blipFill>
                        <pic:spPr>
                          <a:xfrm>
                            <a:off x="0" y="0"/>
                            <a:ext cx="4998720" cy="2745740"/>
                          </a:xfrm>
                          <a:prstGeom prst="rect">
                            <a:avLst/>
                          </a:prstGeom>
                          <a:noFill/>
                          <a:ln>
                            <a:noFill/>
                          </a:ln>
                        </pic:spPr>
                      </pic:pic>
                    </a:graphicData>
                  </a:graphic>
                </wp:anchor>
              </w:drawing>
            </w:r>
            <w:r>
              <w:rPr>
                <w:rFonts w:hint="eastAsia"/>
                <w:color w:val="auto"/>
                <w:sz w:val="24"/>
                <w:szCs w:val="24"/>
                <w:highlight w:val="none"/>
                <w:lang w:val="en-US" w:eastAsia="zh-CN"/>
              </w:rPr>
              <w:t xml:space="preserve">  井身结构示意图</w:t>
            </w:r>
          </w:p>
          <w:p w14:paraId="651E4919">
            <w:pPr>
              <w:pStyle w:val="95"/>
              <w:numPr>
                <w:ilvl w:val="0"/>
                <w:numId w:val="0"/>
              </w:numPr>
              <w:tabs>
                <w:tab w:val="left" w:pos="2100"/>
              </w:tabs>
              <w:spacing w:line="240" w:lineRule="auto"/>
              <w:jc w:val="center"/>
              <w:rPr>
                <w:rFonts w:hint="eastAsia"/>
                <w:color w:val="auto"/>
                <w:highlight w:val="none"/>
              </w:rPr>
            </w:pPr>
            <w:r>
              <w:drawing>
                <wp:inline distT="0" distB="0" distL="114300" distR="114300">
                  <wp:extent cx="5001260" cy="3442335"/>
                  <wp:effectExtent l="0" t="0" r="8890" b="571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4"/>
                          <a:stretch>
                            <a:fillRect/>
                          </a:stretch>
                        </pic:blipFill>
                        <pic:spPr>
                          <a:xfrm>
                            <a:off x="0" y="0"/>
                            <a:ext cx="5001260" cy="3442335"/>
                          </a:xfrm>
                          <a:prstGeom prst="rect">
                            <a:avLst/>
                          </a:prstGeom>
                          <a:noFill/>
                          <a:ln>
                            <a:noFill/>
                          </a:ln>
                        </pic:spPr>
                      </pic:pic>
                    </a:graphicData>
                  </a:graphic>
                </wp:inline>
              </w:drawing>
            </w:r>
          </w:p>
          <w:p w14:paraId="44C50E17">
            <w:pPr>
              <w:numPr>
                <w:ilvl w:val="0"/>
                <w:numId w:val="3"/>
              </w:numPr>
              <w:spacing w:line="360" w:lineRule="auto"/>
              <w:ind w:left="0" w:leftChars="0" w:firstLine="560" w:firstLineChars="0"/>
              <w:jc w:val="center"/>
              <w:rPr>
                <w:rFonts w:hint="eastAsia" w:ascii="Times New Roman" w:hAnsi="宋体" w:eastAsia="宋体" w:cs="Times New Roman"/>
                <w:b/>
                <w:color w:val="auto"/>
                <w:kern w:val="0"/>
                <w:sz w:val="24"/>
                <w:szCs w:val="24"/>
                <w:lang w:eastAsia="zh-CN"/>
              </w:rPr>
            </w:pPr>
            <w:r>
              <w:rPr>
                <w:rFonts w:hint="eastAsia" w:ascii="Times New Roman" w:hAnsi="宋体" w:eastAsia="宋体" w:cs="Times New Roman"/>
                <w:b/>
                <w:color w:val="auto"/>
                <w:kern w:val="0"/>
                <w:sz w:val="24"/>
                <w:szCs w:val="24"/>
                <w:lang w:val="en-US" w:eastAsia="zh-CN"/>
              </w:rPr>
              <w:t xml:space="preserve">  </w:t>
            </w:r>
            <w:r>
              <w:rPr>
                <w:rFonts w:hint="eastAsia"/>
                <w:color w:val="auto"/>
                <w:sz w:val="24"/>
                <w:szCs w:val="24"/>
                <w:highlight w:val="none"/>
                <w:lang w:val="en-US" w:eastAsia="zh-CN"/>
              </w:rPr>
              <w:t>潘一煤矿东区21324工作面</w:t>
            </w:r>
            <w:r>
              <w:rPr>
                <w:rFonts w:hint="eastAsia"/>
                <w:color w:val="auto"/>
                <w:sz w:val="24"/>
                <w:szCs w:val="24"/>
                <w:highlight w:val="none"/>
              </w:rPr>
              <w:t>地面瓦斯区域治理井总体</w:t>
            </w:r>
            <w:r>
              <w:rPr>
                <w:rFonts w:hint="eastAsia"/>
                <w:color w:val="auto"/>
                <w:sz w:val="24"/>
                <w:szCs w:val="24"/>
                <w:highlight w:val="none"/>
                <w:lang w:val="en-US" w:eastAsia="zh-CN"/>
              </w:rPr>
              <w:t>部署</w:t>
            </w:r>
            <w:r>
              <w:rPr>
                <w:rFonts w:hint="eastAsia"/>
                <w:color w:val="auto"/>
                <w:sz w:val="24"/>
                <w:szCs w:val="24"/>
                <w:highlight w:val="none"/>
              </w:rPr>
              <w:t>图</w:t>
            </w:r>
          </w:p>
          <w:p w14:paraId="1D3F4D1A">
            <w:pPr>
              <w:numPr>
                <w:ilvl w:val="0"/>
                <w:numId w:val="4"/>
              </w:numPr>
              <w:spacing w:line="360" w:lineRule="auto"/>
              <w:ind w:firstLine="482" w:firstLineChars="200"/>
              <w:rPr>
                <w:rFonts w:hint="eastAsia" w:ascii="Times New Roman" w:hAnsi="宋体" w:eastAsia="宋体" w:cs="Times New Roman"/>
                <w:b/>
                <w:color w:val="auto"/>
                <w:kern w:val="0"/>
                <w:sz w:val="24"/>
                <w:szCs w:val="24"/>
              </w:rPr>
            </w:pPr>
            <w:r>
              <w:rPr>
                <w:rFonts w:hint="eastAsia" w:ascii="Times New Roman" w:hAnsi="宋体" w:eastAsia="宋体" w:cs="Times New Roman"/>
                <w:b/>
                <w:color w:val="auto"/>
                <w:kern w:val="0"/>
                <w:sz w:val="24"/>
                <w:szCs w:val="24"/>
              </w:rPr>
              <w:t>项目主要原辅材料、能源</w:t>
            </w:r>
          </w:p>
          <w:p w14:paraId="05763FEA">
            <w:pPr>
              <w:pStyle w:val="95"/>
              <w:numPr>
                <w:ilvl w:val="1"/>
                <w:numId w:val="2"/>
              </w:numPr>
              <w:tabs>
                <w:tab w:val="left" w:pos="2100"/>
                <w:tab w:val="clear" w:pos="1440"/>
              </w:tabs>
              <w:spacing w:line="240" w:lineRule="auto"/>
              <w:ind w:left="3300" w:leftChars="0" w:hanging="1200" w:firstLineChars="0"/>
              <w:jc w:val="both"/>
              <w:rPr>
                <w:rFonts w:ascii="Times New Roman" w:hAnsi="Times New Roman" w:eastAsia="黑体" w:cs="Times New Roman"/>
                <w:color w:val="auto"/>
                <w:sz w:val="24"/>
                <w:szCs w:val="24"/>
              </w:rPr>
            </w:pPr>
            <w:r>
              <w:rPr>
                <w:rFonts w:hint="eastAsia" w:ascii="宋体" w:hAnsi="宋体" w:eastAsia="宋体" w:cs="宋体"/>
                <w:color w:val="auto"/>
                <w:sz w:val="24"/>
                <w:szCs w:val="20"/>
                <w:lang w:eastAsia="zh-CN"/>
              </w:rPr>
              <w:t>主要</w:t>
            </w:r>
            <w:r>
              <w:rPr>
                <w:rFonts w:hint="eastAsia" w:ascii="宋体" w:hAnsi="宋体" w:eastAsia="宋体" w:cs="宋体"/>
                <w:color w:val="auto"/>
                <w:sz w:val="24"/>
                <w:szCs w:val="20"/>
              </w:rPr>
              <w:t>原辅材料一览表</w:t>
            </w:r>
          </w:p>
          <w:tbl>
            <w:tblPr>
              <w:tblStyle w:val="25"/>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559"/>
              <w:gridCol w:w="799"/>
              <w:gridCol w:w="1291"/>
              <w:gridCol w:w="1267"/>
              <w:gridCol w:w="1190"/>
              <w:gridCol w:w="1723"/>
              <w:gridCol w:w="1149"/>
            </w:tblGrid>
            <w:tr w14:paraId="56A6D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7" w:hRule="atLeast"/>
                <w:jc w:val="center"/>
              </w:trPr>
              <w:tc>
                <w:tcPr>
                  <w:tcW w:w="350" w:type="pct"/>
                  <w:vAlign w:val="center"/>
                </w:tcPr>
                <w:p w14:paraId="184B99AC">
                  <w:pPr>
                    <w:widowControl/>
                    <w:spacing w:line="276" w:lineRule="auto"/>
                    <w:jc w:val="center"/>
                    <w:textAlignment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序号</w:t>
                  </w:r>
                </w:p>
              </w:tc>
              <w:tc>
                <w:tcPr>
                  <w:tcW w:w="1309" w:type="pct"/>
                  <w:gridSpan w:val="2"/>
                  <w:vAlign w:val="center"/>
                </w:tcPr>
                <w:p w14:paraId="148079ED">
                  <w:pPr>
                    <w:widowControl/>
                    <w:spacing w:line="276" w:lineRule="auto"/>
                    <w:jc w:val="center"/>
                    <w:textAlignment w:val="center"/>
                    <w:rPr>
                      <w:rFonts w:ascii="Times New Roman" w:hAnsi="Times New Roman" w:eastAsia="宋体" w:cs="Times New Roman"/>
                      <w:b/>
                      <w:color w:val="auto"/>
                      <w:szCs w:val="21"/>
                    </w:rPr>
                  </w:pPr>
                  <w:r>
                    <w:rPr>
                      <w:rFonts w:hint="eastAsia" w:ascii="Times New Roman" w:hAnsi="Times New Roman" w:eastAsia="宋体" w:cs="Times New Roman"/>
                      <w:b/>
                      <w:color w:val="auto"/>
                      <w:kern w:val="0"/>
                      <w:szCs w:val="21"/>
                    </w:rPr>
                    <w:t>原辅材料和能源</w:t>
                  </w:r>
                </w:p>
              </w:tc>
              <w:tc>
                <w:tcPr>
                  <w:tcW w:w="794" w:type="pct"/>
                  <w:vAlign w:val="center"/>
                </w:tcPr>
                <w:p w14:paraId="3D82E24D">
                  <w:pPr>
                    <w:widowControl/>
                    <w:spacing w:line="276" w:lineRule="auto"/>
                    <w:jc w:val="center"/>
                    <w:textAlignment w:val="center"/>
                    <w:rPr>
                      <w:rFonts w:ascii="Times New Roman" w:hAnsi="Times New Roman" w:eastAsia="宋体" w:cs="Times New Roman"/>
                      <w:b/>
                      <w:color w:val="auto"/>
                      <w:szCs w:val="21"/>
                    </w:rPr>
                  </w:pPr>
                  <w:r>
                    <w:rPr>
                      <w:rFonts w:hint="eastAsia" w:ascii="Times New Roman" w:hAnsi="Times New Roman" w:eastAsia="宋体" w:cs="Times New Roman"/>
                      <w:b/>
                      <w:color w:val="auto"/>
                      <w:kern w:val="0"/>
                      <w:szCs w:val="21"/>
                    </w:rPr>
                    <w:t>工程总</w:t>
                  </w:r>
                  <w:r>
                    <w:rPr>
                      <w:rFonts w:ascii="Times New Roman" w:hAnsi="Times New Roman" w:eastAsia="宋体" w:cs="Times New Roman"/>
                      <w:b/>
                      <w:color w:val="auto"/>
                      <w:kern w:val="0"/>
                      <w:szCs w:val="21"/>
                    </w:rPr>
                    <w:t>用量</w:t>
                  </w:r>
                </w:p>
              </w:tc>
              <w:tc>
                <w:tcPr>
                  <w:tcW w:w="745" w:type="pct"/>
                  <w:vAlign w:val="center"/>
                </w:tcPr>
                <w:p w14:paraId="379B76C5">
                  <w:pPr>
                    <w:spacing w:line="276" w:lineRule="auto"/>
                    <w:jc w:val="center"/>
                    <w:textAlignment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最大</w:t>
                  </w:r>
                  <w:r>
                    <w:rPr>
                      <w:rFonts w:hint="eastAsia" w:ascii="Times New Roman" w:hAnsi="Times New Roman" w:eastAsia="宋体" w:cs="Times New Roman"/>
                      <w:b/>
                      <w:color w:val="auto"/>
                      <w:szCs w:val="21"/>
                      <w:lang w:eastAsia="zh-CN"/>
                    </w:rPr>
                    <w:t>储存</w:t>
                  </w:r>
                  <w:r>
                    <w:rPr>
                      <w:rFonts w:hint="eastAsia" w:ascii="Times New Roman" w:hAnsi="Times New Roman" w:eastAsia="宋体" w:cs="Times New Roman"/>
                      <w:b/>
                      <w:color w:val="auto"/>
                      <w:szCs w:val="21"/>
                    </w:rPr>
                    <w:t>量</w:t>
                  </w:r>
                </w:p>
              </w:tc>
              <w:tc>
                <w:tcPr>
                  <w:tcW w:w="1079" w:type="pct"/>
                  <w:vAlign w:val="center"/>
                </w:tcPr>
                <w:p w14:paraId="0F75F3DF">
                  <w:pPr>
                    <w:widowControl/>
                    <w:spacing w:line="276" w:lineRule="auto"/>
                    <w:jc w:val="center"/>
                    <w:textAlignment w:val="center"/>
                    <w:rPr>
                      <w:rFonts w:ascii="Times New Roman" w:hAnsi="Times New Roman" w:eastAsia="宋体" w:cs="Times New Roman"/>
                      <w:b/>
                      <w:color w:val="auto"/>
                      <w:szCs w:val="21"/>
                    </w:rPr>
                  </w:pPr>
                  <w:r>
                    <w:rPr>
                      <w:rFonts w:hint="eastAsia" w:ascii="Times New Roman" w:hAnsi="Times New Roman" w:eastAsia="宋体" w:cs="Times New Roman"/>
                      <w:b/>
                      <w:color w:val="auto"/>
                      <w:kern w:val="0"/>
                      <w:szCs w:val="21"/>
                    </w:rPr>
                    <w:t>储存</w:t>
                  </w:r>
                  <w:r>
                    <w:rPr>
                      <w:rFonts w:hint="eastAsia" w:ascii="Times New Roman" w:hAnsi="Times New Roman" w:eastAsia="宋体" w:cs="Times New Roman"/>
                      <w:b/>
                      <w:color w:val="auto"/>
                      <w:kern w:val="0"/>
                      <w:szCs w:val="21"/>
                      <w:lang w:eastAsia="zh-CN"/>
                    </w:rPr>
                    <w:t>方式及</w:t>
                  </w:r>
                  <w:r>
                    <w:rPr>
                      <w:rFonts w:hint="eastAsia" w:ascii="Times New Roman" w:hAnsi="Times New Roman" w:eastAsia="宋体" w:cs="Times New Roman"/>
                      <w:b/>
                      <w:color w:val="auto"/>
                      <w:kern w:val="0"/>
                      <w:szCs w:val="21"/>
                    </w:rPr>
                    <w:t>位置</w:t>
                  </w:r>
                </w:p>
              </w:tc>
              <w:tc>
                <w:tcPr>
                  <w:tcW w:w="720" w:type="pct"/>
                  <w:vAlign w:val="center"/>
                </w:tcPr>
                <w:p w14:paraId="17C33EF9">
                  <w:pPr>
                    <w:widowControl/>
                    <w:spacing w:line="276" w:lineRule="auto"/>
                    <w:jc w:val="center"/>
                    <w:textAlignment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备注</w:t>
                  </w:r>
                </w:p>
              </w:tc>
            </w:tr>
            <w:tr w14:paraId="3A814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62" w:hRule="atLeast"/>
                <w:jc w:val="center"/>
              </w:trPr>
              <w:tc>
                <w:tcPr>
                  <w:tcW w:w="350" w:type="pct"/>
                  <w:vAlign w:val="center"/>
                </w:tcPr>
                <w:p w14:paraId="328CE858">
                  <w:pPr>
                    <w:widowControl/>
                    <w:spacing w:line="276" w:lineRule="auto"/>
                    <w:jc w:val="center"/>
                    <w:textAlignment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p>
              </w:tc>
              <w:tc>
                <w:tcPr>
                  <w:tcW w:w="500" w:type="pct"/>
                  <w:vMerge w:val="restart"/>
                  <w:vAlign w:val="center"/>
                </w:tcPr>
                <w:p w14:paraId="6C638D4F">
                  <w:pPr>
                    <w:spacing w:line="276" w:lineRule="auto"/>
                    <w:jc w:val="center"/>
                    <w:rPr>
                      <w:rFonts w:ascii="Times New Roman" w:hAnsi="Times New Roman" w:cs="Times New Roman"/>
                      <w:color w:val="auto"/>
                      <w:szCs w:val="21"/>
                    </w:rPr>
                  </w:pPr>
                  <w:r>
                    <w:rPr>
                      <w:rFonts w:hint="eastAsia"/>
                      <w:color w:val="auto"/>
                      <w:sz w:val="21"/>
                      <w:szCs w:val="21"/>
                      <w:lang w:eastAsia="zh-CN"/>
                    </w:rPr>
                    <w:t>钻井液（泥浆）</w:t>
                  </w:r>
                </w:p>
              </w:tc>
              <w:tc>
                <w:tcPr>
                  <w:tcW w:w="809" w:type="pct"/>
                  <w:shd w:val="clear" w:color="auto" w:fill="auto"/>
                  <w:vAlign w:val="center"/>
                </w:tcPr>
                <w:p w14:paraId="0FED47C5">
                  <w:pPr>
                    <w:spacing w:line="276"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sz w:val="21"/>
                      <w:szCs w:val="21"/>
                    </w:rPr>
                    <w:t>膨润土</w:t>
                  </w:r>
                </w:p>
              </w:tc>
              <w:tc>
                <w:tcPr>
                  <w:tcW w:w="794" w:type="pct"/>
                  <w:vAlign w:val="center"/>
                </w:tcPr>
                <w:p w14:paraId="1B4CD1D9">
                  <w:pPr>
                    <w:widowControl/>
                    <w:spacing w:line="276" w:lineRule="auto"/>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0.5t</w:t>
                  </w:r>
                </w:p>
              </w:tc>
              <w:tc>
                <w:tcPr>
                  <w:tcW w:w="745" w:type="pct"/>
                  <w:vAlign w:val="center"/>
                </w:tcPr>
                <w:p w14:paraId="06EB16D0">
                  <w:pPr>
                    <w:spacing w:line="276" w:lineRule="auto"/>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0.2t</w:t>
                  </w:r>
                </w:p>
              </w:tc>
              <w:tc>
                <w:tcPr>
                  <w:tcW w:w="1079" w:type="pct"/>
                  <w:vAlign w:val="center"/>
                </w:tcPr>
                <w:p w14:paraId="6CA5693D">
                  <w:pPr>
                    <w:widowControl/>
                    <w:spacing w:line="276" w:lineRule="auto"/>
                    <w:jc w:val="center"/>
                    <w:textAlignment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eastAsia="zh-CN"/>
                    </w:rPr>
                    <w:t>袋装、材料</w:t>
                  </w:r>
                  <w:r>
                    <w:rPr>
                      <w:rFonts w:hint="eastAsia" w:ascii="Times New Roman" w:hAnsi="Times New Roman" w:eastAsia="宋体" w:cs="Times New Roman"/>
                      <w:color w:val="auto"/>
                      <w:kern w:val="0"/>
                      <w:szCs w:val="21"/>
                    </w:rPr>
                    <w:t>库房</w:t>
                  </w:r>
                </w:p>
              </w:tc>
              <w:tc>
                <w:tcPr>
                  <w:tcW w:w="720" w:type="pct"/>
                  <w:vAlign w:val="center"/>
                </w:tcPr>
                <w:p w14:paraId="265CC697">
                  <w:pPr>
                    <w:widowControl/>
                    <w:spacing w:line="276" w:lineRule="auto"/>
                    <w:jc w:val="center"/>
                    <w:textAlignment w:val="center"/>
                    <w:rPr>
                      <w:rFonts w:ascii="Times New Roman" w:hAnsi="Times New Roman" w:eastAsia="宋体" w:cs="Times New Roman"/>
                      <w:color w:val="auto"/>
                      <w:kern w:val="0"/>
                      <w:szCs w:val="21"/>
                    </w:rPr>
                  </w:pPr>
                </w:p>
              </w:tc>
            </w:tr>
            <w:tr w14:paraId="4BD24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96" w:hRule="atLeast"/>
                <w:jc w:val="center"/>
              </w:trPr>
              <w:tc>
                <w:tcPr>
                  <w:tcW w:w="350" w:type="pct"/>
                  <w:vAlign w:val="center"/>
                </w:tcPr>
                <w:p w14:paraId="6D3F070C">
                  <w:pPr>
                    <w:widowControl/>
                    <w:spacing w:line="276" w:lineRule="auto"/>
                    <w:jc w:val="center"/>
                    <w:textAlignment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p>
              </w:tc>
              <w:tc>
                <w:tcPr>
                  <w:tcW w:w="500" w:type="pct"/>
                  <w:vMerge w:val="continue"/>
                  <w:vAlign w:val="center"/>
                </w:tcPr>
                <w:p w14:paraId="788F700E">
                  <w:pPr>
                    <w:spacing w:line="276" w:lineRule="auto"/>
                    <w:jc w:val="center"/>
                    <w:rPr>
                      <w:rFonts w:ascii="Times New Roman" w:hAnsi="Times New Roman" w:cs="Times New Roman"/>
                      <w:color w:val="auto"/>
                      <w:szCs w:val="21"/>
                    </w:rPr>
                  </w:pPr>
                </w:p>
              </w:tc>
              <w:tc>
                <w:tcPr>
                  <w:tcW w:w="809" w:type="pct"/>
                  <w:shd w:val="clear" w:color="auto" w:fill="auto"/>
                  <w:vAlign w:val="center"/>
                </w:tcPr>
                <w:p w14:paraId="69446814">
                  <w:pPr>
                    <w:widowControl/>
                    <w:spacing w:line="276"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rPr>
                    <w:t>纤维素</w:t>
                  </w:r>
                </w:p>
              </w:tc>
              <w:tc>
                <w:tcPr>
                  <w:tcW w:w="794" w:type="pct"/>
                  <w:shd w:val="clear" w:color="auto" w:fill="auto"/>
                  <w:vAlign w:val="center"/>
                </w:tcPr>
                <w:p w14:paraId="773FAA85">
                  <w:pPr>
                    <w:widowControl/>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0.05t</w:t>
                  </w:r>
                </w:p>
              </w:tc>
              <w:tc>
                <w:tcPr>
                  <w:tcW w:w="745" w:type="pct"/>
                  <w:shd w:val="clear" w:color="auto" w:fill="auto"/>
                  <w:vAlign w:val="center"/>
                </w:tcPr>
                <w:p w14:paraId="43FAB68A">
                  <w:pPr>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0.05t</w:t>
                  </w:r>
                </w:p>
              </w:tc>
              <w:tc>
                <w:tcPr>
                  <w:tcW w:w="1079" w:type="pct"/>
                  <w:shd w:val="clear" w:color="auto" w:fill="auto"/>
                  <w:vAlign w:val="center"/>
                </w:tcPr>
                <w:p w14:paraId="7ACA4ACC">
                  <w:pPr>
                    <w:widowControl/>
                    <w:spacing w:line="276" w:lineRule="auto"/>
                    <w:jc w:val="center"/>
                    <w:textAlignment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eastAsia="zh-CN"/>
                    </w:rPr>
                    <w:t>袋装、材料</w:t>
                  </w:r>
                  <w:r>
                    <w:rPr>
                      <w:rFonts w:hint="eastAsia" w:ascii="Times New Roman" w:hAnsi="Times New Roman" w:eastAsia="宋体" w:cs="Times New Roman"/>
                      <w:color w:val="auto"/>
                      <w:kern w:val="0"/>
                      <w:szCs w:val="21"/>
                    </w:rPr>
                    <w:t>库房</w:t>
                  </w:r>
                </w:p>
              </w:tc>
              <w:tc>
                <w:tcPr>
                  <w:tcW w:w="720" w:type="pct"/>
                  <w:vAlign w:val="center"/>
                </w:tcPr>
                <w:p w14:paraId="65734E3C">
                  <w:pPr>
                    <w:widowControl/>
                    <w:spacing w:line="276" w:lineRule="auto"/>
                    <w:jc w:val="center"/>
                    <w:textAlignment w:val="center"/>
                    <w:rPr>
                      <w:rFonts w:ascii="Times New Roman" w:hAnsi="Times New Roman" w:eastAsia="宋体" w:cs="Times New Roman"/>
                      <w:color w:val="auto"/>
                      <w:kern w:val="0"/>
                      <w:szCs w:val="21"/>
                    </w:rPr>
                  </w:pPr>
                </w:p>
              </w:tc>
            </w:tr>
            <w:tr w14:paraId="6479F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6" w:hRule="atLeast"/>
                <w:jc w:val="center"/>
              </w:trPr>
              <w:tc>
                <w:tcPr>
                  <w:tcW w:w="350" w:type="pct"/>
                  <w:vAlign w:val="center"/>
                </w:tcPr>
                <w:p w14:paraId="268D3DB7">
                  <w:pPr>
                    <w:widowControl/>
                    <w:spacing w:line="276" w:lineRule="auto"/>
                    <w:jc w:val="center"/>
                    <w:textAlignment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w:t>
                  </w:r>
                </w:p>
              </w:tc>
              <w:tc>
                <w:tcPr>
                  <w:tcW w:w="500" w:type="pct"/>
                  <w:vMerge w:val="continue"/>
                  <w:vAlign w:val="center"/>
                </w:tcPr>
                <w:p w14:paraId="1FDAE09E">
                  <w:pPr>
                    <w:widowControl/>
                    <w:spacing w:line="276" w:lineRule="auto"/>
                    <w:jc w:val="center"/>
                    <w:textAlignment w:val="center"/>
                    <w:rPr>
                      <w:rFonts w:ascii="Times New Roman" w:hAnsi="Times New Roman" w:eastAsia="宋体" w:cs="Times New Roman"/>
                      <w:color w:val="auto"/>
                      <w:kern w:val="0"/>
                      <w:szCs w:val="21"/>
                    </w:rPr>
                  </w:pPr>
                </w:p>
              </w:tc>
              <w:tc>
                <w:tcPr>
                  <w:tcW w:w="809" w:type="pct"/>
                  <w:shd w:val="clear" w:color="auto" w:fill="auto"/>
                  <w:vAlign w:val="center"/>
                </w:tcPr>
                <w:p w14:paraId="6B5A6C8E">
                  <w:pPr>
                    <w:widowControl/>
                    <w:spacing w:line="276"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rPr>
                    <w:t>腐殖酸钾</w:t>
                  </w:r>
                </w:p>
              </w:tc>
              <w:tc>
                <w:tcPr>
                  <w:tcW w:w="794" w:type="pct"/>
                  <w:shd w:val="clear" w:color="auto" w:fill="auto"/>
                  <w:vAlign w:val="center"/>
                </w:tcPr>
                <w:p w14:paraId="493ED9D3">
                  <w:pPr>
                    <w:widowControl/>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005t</w:t>
                  </w:r>
                </w:p>
              </w:tc>
              <w:tc>
                <w:tcPr>
                  <w:tcW w:w="745" w:type="pct"/>
                  <w:shd w:val="clear" w:color="auto" w:fill="auto"/>
                  <w:vAlign w:val="center"/>
                </w:tcPr>
                <w:p w14:paraId="7AFF6D43">
                  <w:pPr>
                    <w:spacing w:line="276" w:lineRule="auto"/>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0.05t</w:t>
                  </w:r>
                </w:p>
              </w:tc>
              <w:tc>
                <w:tcPr>
                  <w:tcW w:w="1079" w:type="pct"/>
                  <w:shd w:val="clear" w:color="auto" w:fill="auto"/>
                  <w:vAlign w:val="center"/>
                </w:tcPr>
                <w:p w14:paraId="2AC9A937">
                  <w:pPr>
                    <w:widowControl/>
                    <w:spacing w:line="276" w:lineRule="auto"/>
                    <w:jc w:val="center"/>
                    <w:textAlignment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eastAsia="zh-CN"/>
                    </w:rPr>
                    <w:t>袋装、材料</w:t>
                  </w:r>
                  <w:r>
                    <w:rPr>
                      <w:rFonts w:hint="eastAsia" w:ascii="Times New Roman" w:hAnsi="Times New Roman" w:eastAsia="宋体" w:cs="Times New Roman"/>
                      <w:color w:val="auto"/>
                      <w:kern w:val="0"/>
                      <w:szCs w:val="21"/>
                    </w:rPr>
                    <w:t>库房</w:t>
                  </w:r>
                </w:p>
              </w:tc>
              <w:tc>
                <w:tcPr>
                  <w:tcW w:w="720" w:type="pct"/>
                  <w:vAlign w:val="center"/>
                </w:tcPr>
                <w:p w14:paraId="13389D18">
                  <w:pPr>
                    <w:widowControl/>
                    <w:spacing w:line="276" w:lineRule="auto"/>
                    <w:jc w:val="center"/>
                    <w:textAlignment w:val="center"/>
                    <w:rPr>
                      <w:rFonts w:ascii="Times New Roman" w:hAnsi="Times New Roman" w:eastAsia="宋体" w:cs="Times New Roman"/>
                      <w:color w:val="auto"/>
                      <w:kern w:val="0"/>
                      <w:szCs w:val="21"/>
                    </w:rPr>
                  </w:pPr>
                </w:p>
              </w:tc>
            </w:tr>
            <w:tr w14:paraId="091D1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766" w:hRule="atLeast"/>
                <w:jc w:val="center"/>
              </w:trPr>
              <w:tc>
                <w:tcPr>
                  <w:tcW w:w="350" w:type="pct"/>
                  <w:vAlign w:val="center"/>
                </w:tcPr>
                <w:p w14:paraId="028A58C9">
                  <w:pPr>
                    <w:widowControl/>
                    <w:spacing w:line="276" w:lineRule="auto"/>
                    <w:jc w:val="center"/>
                    <w:textAlignment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4</w:t>
                  </w:r>
                </w:p>
              </w:tc>
              <w:tc>
                <w:tcPr>
                  <w:tcW w:w="1309" w:type="pct"/>
                  <w:gridSpan w:val="2"/>
                  <w:vAlign w:val="center"/>
                </w:tcPr>
                <w:p w14:paraId="45CC4890">
                  <w:pPr>
                    <w:widowControl/>
                    <w:spacing w:line="276" w:lineRule="auto"/>
                    <w:jc w:val="center"/>
                    <w:textAlignment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润滑油</w:t>
                  </w:r>
                </w:p>
              </w:tc>
              <w:tc>
                <w:tcPr>
                  <w:tcW w:w="794" w:type="pct"/>
                  <w:vAlign w:val="center"/>
                </w:tcPr>
                <w:p w14:paraId="28F7F44F">
                  <w:pPr>
                    <w:widowControl/>
                    <w:spacing w:line="276" w:lineRule="auto"/>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200L</w:t>
                  </w:r>
                </w:p>
              </w:tc>
              <w:tc>
                <w:tcPr>
                  <w:tcW w:w="745" w:type="pct"/>
                  <w:vAlign w:val="center"/>
                </w:tcPr>
                <w:p w14:paraId="673ED64B">
                  <w:pPr>
                    <w:spacing w:line="276" w:lineRule="auto"/>
                    <w:jc w:val="center"/>
                    <w:textAlignment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w:t>
                  </w:r>
                </w:p>
              </w:tc>
              <w:tc>
                <w:tcPr>
                  <w:tcW w:w="1079" w:type="pct"/>
                  <w:vAlign w:val="center"/>
                </w:tcPr>
                <w:p w14:paraId="631CDE5F">
                  <w:pPr>
                    <w:widowControl/>
                    <w:spacing w:line="276" w:lineRule="auto"/>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20" w:type="pct"/>
                  <w:vAlign w:val="center"/>
                </w:tcPr>
                <w:p w14:paraId="45F913D4">
                  <w:pPr>
                    <w:widowControl/>
                    <w:spacing w:line="276" w:lineRule="auto"/>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设备进场前全部进行保养维修，现场不储存润滑油</w:t>
                  </w:r>
                </w:p>
              </w:tc>
            </w:tr>
            <w:tr w14:paraId="6184B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jc w:val="center"/>
              </w:trPr>
              <w:tc>
                <w:tcPr>
                  <w:tcW w:w="350" w:type="pct"/>
                  <w:vAlign w:val="center"/>
                </w:tcPr>
                <w:p w14:paraId="553CBA3A">
                  <w:pPr>
                    <w:widowControl/>
                    <w:spacing w:line="276" w:lineRule="auto"/>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w:t>
                  </w:r>
                </w:p>
              </w:tc>
              <w:tc>
                <w:tcPr>
                  <w:tcW w:w="1309" w:type="pct"/>
                  <w:gridSpan w:val="2"/>
                  <w:vAlign w:val="center"/>
                </w:tcPr>
                <w:p w14:paraId="7188B971">
                  <w:pPr>
                    <w:pStyle w:val="97"/>
                    <w:bidi w:val="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表层套管（一开）</w:t>
                  </w:r>
                </w:p>
              </w:tc>
              <w:tc>
                <w:tcPr>
                  <w:tcW w:w="794" w:type="pct"/>
                  <w:vAlign w:val="center"/>
                </w:tcPr>
                <w:p w14:paraId="6C994290">
                  <w:pPr>
                    <w:widowControl/>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540m</w:t>
                  </w:r>
                </w:p>
              </w:tc>
              <w:tc>
                <w:tcPr>
                  <w:tcW w:w="745" w:type="pct"/>
                  <w:vAlign w:val="center"/>
                </w:tcPr>
                <w:p w14:paraId="4A40A557">
                  <w:pPr>
                    <w:widowControl/>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540m</w:t>
                  </w:r>
                </w:p>
              </w:tc>
              <w:tc>
                <w:tcPr>
                  <w:tcW w:w="1079" w:type="pct"/>
                  <w:vAlign w:val="center"/>
                </w:tcPr>
                <w:p w14:paraId="4082F5F3">
                  <w:pPr>
                    <w:widowControl/>
                    <w:spacing w:line="276" w:lineRule="auto"/>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材料</w:t>
                  </w:r>
                  <w:r>
                    <w:rPr>
                      <w:rFonts w:hint="default" w:ascii="Times New Roman" w:hAnsi="Times New Roman" w:eastAsia="宋体" w:cs="Times New Roman"/>
                      <w:color w:val="auto"/>
                      <w:kern w:val="0"/>
                      <w:sz w:val="21"/>
                      <w:szCs w:val="21"/>
                      <w:highlight w:val="none"/>
                    </w:rPr>
                    <w:t>库房</w:t>
                  </w:r>
                </w:p>
              </w:tc>
              <w:tc>
                <w:tcPr>
                  <w:tcW w:w="720" w:type="pct"/>
                  <w:vAlign w:val="center"/>
                </w:tcPr>
                <w:p w14:paraId="10484F17">
                  <w:pPr>
                    <w:widowControl/>
                    <w:spacing w:line="276"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highlight w:val="none"/>
                      <w:lang w:val="en-US" w:eastAsia="zh-CN"/>
                    </w:rPr>
                    <w:t>J55，φ339.7×9.65mm</w:t>
                  </w:r>
                </w:p>
              </w:tc>
            </w:tr>
            <w:tr w14:paraId="793D6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jc w:val="center"/>
              </w:trPr>
              <w:tc>
                <w:tcPr>
                  <w:tcW w:w="350" w:type="pct"/>
                  <w:vAlign w:val="center"/>
                </w:tcPr>
                <w:p w14:paraId="1199169F">
                  <w:pPr>
                    <w:widowControl/>
                    <w:spacing w:line="276" w:lineRule="auto"/>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w:t>
                  </w:r>
                </w:p>
              </w:tc>
              <w:tc>
                <w:tcPr>
                  <w:tcW w:w="1309" w:type="pct"/>
                  <w:gridSpan w:val="2"/>
                  <w:vAlign w:val="center"/>
                </w:tcPr>
                <w:p w14:paraId="18D59604">
                  <w:pPr>
                    <w:pStyle w:val="97"/>
                    <w:bidi w:val="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技术套管（二开）</w:t>
                  </w:r>
                </w:p>
              </w:tc>
              <w:tc>
                <w:tcPr>
                  <w:tcW w:w="794" w:type="pct"/>
                  <w:vAlign w:val="center"/>
                </w:tcPr>
                <w:p w14:paraId="514C0D88">
                  <w:pPr>
                    <w:widowControl/>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2492</w:t>
                  </w:r>
                  <w:r>
                    <w:rPr>
                      <w:rFonts w:hint="default" w:ascii="Times New Roman" w:hAnsi="Times New Roman" w:eastAsia="宋体" w:cs="Times New Roman"/>
                      <w:color w:val="auto"/>
                      <w:sz w:val="21"/>
                      <w:szCs w:val="21"/>
                      <w:highlight w:val="none"/>
                    </w:rPr>
                    <w:t>m</w:t>
                  </w:r>
                </w:p>
              </w:tc>
              <w:tc>
                <w:tcPr>
                  <w:tcW w:w="745" w:type="pct"/>
                  <w:vAlign w:val="center"/>
                </w:tcPr>
                <w:p w14:paraId="041DFD66">
                  <w:pPr>
                    <w:widowControl/>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2492</w:t>
                  </w:r>
                  <w:r>
                    <w:rPr>
                      <w:rFonts w:hint="default" w:ascii="Times New Roman" w:hAnsi="Times New Roman" w:eastAsia="宋体" w:cs="Times New Roman"/>
                      <w:color w:val="auto"/>
                      <w:sz w:val="21"/>
                      <w:szCs w:val="21"/>
                      <w:highlight w:val="none"/>
                    </w:rPr>
                    <w:t>m</w:t>
                  </w:r>
                </w:p>
              </w:tc>
              <w:tc>
                <w:tcPr>
                  <w:tcW w:w="1079" w:type="pct"/>
                  <w:vAlign w:val="center"/>
                </w:tcPr>
                <w:p w14:paraId="6A1D6F1D">
                  <w:pPr>
                    <w:widowControl/>
                    <w:spacing w:line="276" w:lineRule="auto"/>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材料</w:t>
                  </w:r>
                  <w:r>
                    <w:rPr>
                      <w:rFonts w:hint="default" w:ascii="Times New Roman" w:hAnsi="Times New Roman" w:eastAsia="宋体" w:cs="Times New Roman"/>
                      <w:color w:val="auto"/>
                      <w:kern w:val="0"/>
                      <w:sz w:val="21"/>
                      <w:szCs w:val="21"/>
                      <w:highlight w:val="none"/>
                    </w:rPr>
                    <w:t>库房</w:t>
                  </w:r>
                </w:p>
              </w:tc>
              <w:tc>
                <w:tcPr>
                  <w:tcW w:w="720" w:type="pct"/>
                  <w:vAlign w:val="center"/>
                </w:tcPr>
                <w:p w14:paraId="260EA5A4">
                  <w:pPr>
                    <w:widowControl/>
                    <w:spacing w:line="276"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highlight w:val="none"/>
                      <w:lang w:val="en-US" w:eastAsia="zh-CN"/>
                    </w:rPr>
                    <w:t>J55，φ244.5×8.94mm</w:t>
                  </w:r>
                </w:p>
              </w:tc>
            </w:tr>
            <w:tr w14:paraId="7D815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159" w:hRule="atLeast"/>
                <w:jc w:val="center"/>
              </w:trPr>
              <w:tc>
                <w:tcPr>
                  <w:tcW w:w="350" w:type="pct"/>
                  <w:vAlign w:val="center"/>
                </w:tcPr>
                <w:p w14:paraId="55FE6C7F">
                  <w:pPr>
                    <w:widowControl/>
                    <w:spacing w:line="276" w:lineRule="auto"/>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w:t>
                  </w:r>
                </w:p>
              </w:tc>
              <w:tc>
                <w:tcPr>
                  <w:tcW w:w="1309" w:type="pct"/>
                  <w:gridSpan w:val="2"/>
                  <w:vAlign w:val="center"/>
                </w:tcPr>
                <w:p w14:paraId="56955E08">
                  <w:pPr>
                    <w:pStyle w:val="97"/>
                    <w:bidi w:val="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生产套管（三开）</w:t>
                  </w:r>
                </w:p>
              </w:tc>
              <w:tc>
                <w:tcPr>
                  <w:tcW w:w="794" w:type="pct"/>
                  <w:vAlign w:val="center"/>
                </w:tcPr>
                <w:p w14:paraId="04D36818">
                  <w:pPr>
                    <w:widowControl/>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4979</w:t>
                  </w:r>
                  <w:r>
                    <w:rPr>
                      <w:rFonts w:hint="default" w:ascii="Times New Roman" w:hAnsi="Times New Roman" w:eastAsia="宋体" w:cs="Times New Roman"/>
                      <w:color w:val="auto"/>
                      <w:sz w:val="21"/>
                      <w:szCs w:val="21"/>
                      <w:highlight w:val="none"/>
                    </w:rPr>
                    <w:t>m</w:t>
                  </w:r>
                </w:p>
              </w:tc>
              <w:tc>
                <w:tcPr>
                  <w:tcW w:w="745" w:type="pct"/>
                  <w:vAlign w:val="center"/>
                </w:tcPr>
                <w:p w14:paraId="69F3AB58">
                  <w:pPr>
                    <w:widowControl/>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4979</w:t>
                  </w:r>
                  <w:r>
                    <w:rPr>
                      <w:rFonts w:hint="default" w:ascii="Times New Roman" w:hAnsi="Times New Roman" w:eastAsia="宋体" w:cs="Times New Roman"/>
                      <w:color w:val="auto"/>
                      <w:sz w:val="21"/>
                      <w:szCs w:val="21"/>
                      <w:highlight w:val="none"/>
                    </w:rPr>
                    <w:t>m</w:t>
                  </w:r>
                </w:p>
              </w:tc>
              <w:tc>
                <w:tcPr>
                  <w:tcW w:w="1079" w:type="pct"/>
                  <w:vAlign w:val="center"/>
                </w:tcPr>
                <w:p w14:paraId="3DDAF99F">
                  <w:pPr>
                    <w:widowControl/>
                    <w:spacing w:line="276" w:lineRule="auto"/>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材料</w:t>
                  </w:r>
                  <w:r>
                    <w:rPr>
                      <w:rFonts w:hint="default" w:ascii="Times New Roman" w:hAnsi="Times New Roman" w:eastAsia="宋体" w:cs="Times New Roman"/>
                      <w:color w:val="auto"/>
                      <w:kern w:val="0"/>
                      <w:sz w:val="21"/>
                      <w:szCs w:val="21"/>
                      <w:highlight w:val="none"/>
                    </w:rPr>
                    <w:t>库房</w:t>
                  </w:r>
                </w:p>
              </w:tc>
              <w:tc>
                <w:tcPr>
                  <w:tcW w:w="720" w:type="pct"/>
                  <w:vAlign w:val="center"/>
                </w:tcPr>
                <w:p w14:paraId="21ADFA33">
                  <w:pPr>
                    <w:widowControl/>
                    <w:spacing w:line="276"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highlight w:val="none"/>
                      <w:lang w:val="en-US" w:eastAsia="zh-CN"/>
                    </w:rPr>
                    <w:t>P110，φ139.7×9.17mm</w:t>
                  </w:r>
                </w:p>
              </w:tc>
            </w:tr>
            <w:tr w14:paraId="05769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41" w:hRule="atLeast"/>
                <w:jc w:val="center"/>
              </w:trPr>
              <w:tc>
                <w:tcPr>
                  <w:tcW w:w="350" w:type="pct"/>
                  <w:vAlign w:val="center"/>
                </w:tcPr>
                <w:p w14:paraId="34CF6085">
                  <w:pPr>
                    <w:widowControl/>
                    <w:spacing w:line="276" w:lineRule="auto"/>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8</w:t>
                  </w:r>
                </w:p>
              </w:tc>
              <w:tc>
                <w:tcPr>
                  <w:tcW w:w="1309" w:type="pct"/>
                  <w:gridSpan w:val="2"/>
                  <w:vAlign w:val="center"/>
                </w:tcPr>
                <w:p w14:paraId="0A8368FE">
                  <w:pPr>
                    <w:widowControl/>
                    <w:spacing w:line="276"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无缝钢管</w:t>
                  </w:r>
                </w:p>
              </w:tc>
              <w:tc>
                <w:tcPr>
                  <w:tcW w:w="794" w:type="pct"/>
                  <w:vAlign w:val="center"/>
                </w:tcPr>
                <w:p w14:paraId="32CF118E">
                  <w:pPr>
                    <w:widowControl/>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120</w:t>
                  </w:r>
                  <w:r>
                    <w:rPr>
                      <w:rFonts w:hint="default" w:ascii="Times New Roman" w:hAnsi="Times New Roman" w:eastAsia="宋体" w:cs="Times New Roman"/>
                      <w:color w:val="auto"/>
                      <w:sz w:val="21"/>
                      <w:szCs w:val="21"/>
                      <w:highlight w:val="none"/>
                    </w:rPr>
                    <w:t>m</w:t>
                  </w:r>
                </w:p>
              </w:tc>
              <w:tc>
                <w:tcPr>
                  <w:tcW w:w="745" w:type="pct"/>
                  <w:vAlign w:val="center"/>
                </w:tcPr>
                <w:p w14:paraId="3A3C0D5A">
                  <w:pPr>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120</w:t>
                  </w:r>
                  <w:r>
                    <w:rPr>
                      <w:rFonts w:hint="default" w:ascii="Times New Roman" w:hAnsi="Times New Roman" w:eastAsia="宋体" w:cs="Times New Roman"/>
                      <w:color w:val="auto"/>
                      <w:sz w:val="21"/>
                      <w:szCs w:val="21"/>
                      <w:highlight w:val="none"/>
                    </w:rPr>
                    <w:t>m</w:t>
                  </w:r>
                </w:p>
              </w:tc>
              <w:tc>
                <w:tcPr>
                  <w:tcW w:w="1079" w:type="pct"/>
                  <w:vAlign w:val="center"/>
                </w:tcPr>
                <w:p w14:paraId="5912B2A1">
                  <w:pPr>
                    <w:widowControl/>
                    <w:spacing w:line="276"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highlight w:val="none"/>
                      <w:lang w:eastAsia="zh-CN"/>
                    </w:rPr>
                    <w:t>材料</w:t>
                  </w:r>
                  <w:r>
                    <w:rPr>
                      <w:rFonts w:hint="default" w:ascii="Times New Roman" w:hAnsi="Times New Roman" w:eastAsia="宋体" w:cs="Times New Roman"/>
                      <w:color w:val="auto"/>
                      <w:kern w:val="0"/>
                      <w:sz w:val="21"/>
                      <w:szCs w:val="21"/>
                      <w:highlight w:val="none"/>
                    </w:rPr>
                    <w:t>库房</w:t>
                  </w:r>
                </w:p>
              </w:tc>
              <w:tc>
                <w:tcPr>
                  <w:tcW w:w="720" w:type="pct"/>
                  <w:vAlign w:val="center"/>
                </w:tcPr>
                <w:p w14:paraId="155A9B93">
                  <w:pPr>
                    <w:widowControl/>
                    <w:spacing w:line="276"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sz w:val="21"/>
                      <w:szCs w:val="21"/>
                      <w:lang w:val="en-US" w:eastAsia="zh-CN"/>
                    </w:rPr>
                    <w:t>D133×5</w:t>
                  </w:r>
                </w:p>
              </w:tc>
            </w:tr>
            <w:tr w14:paraId="1F792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jc w:val="center"/>
              </w:trPr>
              <w:tc>
                <w:tcPr>
                  <w:tcW w:w="350" w:type="pct"/>
                  <w:vAlign w:val="center"/>
                </w:tcPr>
                <w:p w14:paraId="14374C9D">
                  <w:pPr>
                    <w:widowControl/>
                    <w:spacing w:line="276" w:lineRule="auto"/>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9</w:t>
                  </w:r>
                </w:p>
              </w:tc>
              <w:tc>
                <w:tcPr>
                  <w:tcW w:w="1309" w:type="pct"/>
                  <w:gridSpan w:val="2"/>
                  <w:vAlign w:val="center"/>
                </w:tcPr>
                <w:p w14:paraId="6963B4BB">
                  <w:pPr>
                    <w:widowControl/>
                    <w:spacing w:line="276"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PE管</w:t>
                  </w:r>
                </w:p>
              </w:tc>
              <w:tc>
                <w:tcPr>
                  <w:tcW w:w="794" w:type="pct"/>
                  <w:vAlign w:val="center"/>
                </w:tcPr>
                <w:p w14:paraId="0B2FDB26">
                  <w:pPr>
                    <w:widowControl/>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z w:val="21"/>
                      <w:szCs w:val="21"/>
                      <w:lang w:val="en-US" w:eastAsia="zh-CN"/>
                    </w:rPr>
                    <w:t>800</w:t>
                  </w:r>
                </w:p>
              </w:tc>
              <w:tc>
                <w:tcPr>
                  <w:tcW w:w="745" w:type="pct"/>
                  <w:vAlign w:val="center"/>
                </w:tcPr>
                <w:p w14:paraId="7A2C34BD">
                  <w:pPr>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200</w:t>
                  </w:r>
                  <w:r>
                    <w:rPr>
                      <w:rFonts w:hint="default" w:ascii="Times New Roman" w:hAnsi="Times New Roman" w:eastAsia="宋体" w:cs="Times New Roman"/>
                      <w:color w:val="auto"/>
                      <w:sz w:val="21"/>
                      <w:szCs w:val="21"/>
                      <w:highlight w:val="none"/>
                    </w:rPr>
                    <w:t>m</w:t>
                  </w:r>
                </w:p>
              </w:tc>
              <w:tc>
                <w:tcPr>
                  <w:tcW w:w="1079" w:type="pct"/>
                  <w:vAlign w:val="center"/>
                </w:tcPr>
                <w:p w14:paraId="12F9D7E3">
                  <w:pPr>
                    <w:widowControl/>
                    <w:spacing w:line="276"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highlight w:val="none"/>
                      <w:lang w:eastAsia="zh-CN"/>
                    </w:rPr>
                    <w:t>材料</w:t>
                  </w:r>
                  <w:r>
                    <w:rPr>
                      <w:rFonts w:hint="default" w:ascii="Times New Roman" w:hAnsi="Times New Roman" w:eastAsia="宋体" w:cs="Times New Roman"/>
                      <w:color w:val="auto"/>
                      <w:kern w:val="0"/>
                      <w:sz w:val="21"/>
                      <w:szCs w:val="21"/>
                      <w:highlight w:val="none"/>
                    </w:rPr>
                    <w:t>库房</w:t>
                  </w:r>
                </w:p>
              </w:tc>
              <w:tc>
                <w:tcPr>
                  <w:tcW w:w="720" w:type="pct"/>
                  <w:vAlign w:val="center"/>
                </w:tcPr>
                <w:p w14:paraId="1EF1CE6C">
                  <w:pPr>
                    <w:widowControl/>
                    <w:spacing w:line="276"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dn160 PE100 SDR11</w:t>
                  </w:r>
                </w:p>
              </w:tc>
            </w:tr>
            <w:tr w14:paraId="4D5F4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jc w:val="center"/>
              </w:trPr>
              <w:tc>
                <w:tcPr>
                  <w:tcW w:w="350" w:type="pct"/>
                  <w:vAlign w:val="center"/>
                </w:tcPr>
                <w:p w14:paraId="63431492">
                  <w:pPr>
                    <w:widowControl/>
                    <w:spacing w:line="276" w:lineRule="auto"/>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w:t>
                  </w:r>
                </w:p>
              </w:tc>
              <w:tc>
                <w:tcPr>
                  <w:tcW w:w="1309" w:type="pct"/>
                  <w:gridSpan w:val="2"/>
                  <w:vAlign w:val="center"/>
                </w:tcPr>
                <w:p w14:paraId="66F3E2D4">
                  <w:pPr>
                    <w:widowControl/>
                    <w:spacing w:line="276"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水泥</w:t>
                  </w:r>
                </w:p>
              </w:tc>
              <w:tc>
                <w:tcPr>
                  <w:tcW w:w="794" w:type="pct"/>
                  <w:vAlign w:val="center"/>
                </w:tcPr>
                <w:p w14:paraId="41896792">
                  <w:pPr>
                    <w:widowControl/>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100</w:t>
                  </w:r>
                  <w:r>
                    <w:rPr>
                      <w:rFonts w:hint="eastAsia" w:ascii="Times New Roman" w:hAnsi="Times New Roman" w:eastAsia="宋体" w:cs="Times New Roman"/>
                      <w:color w:val="auto"/>
                      <w:kern w:val="0"/>
                      <w:szCs w:val="21"/>
                      <w:highlight w:val="none"/>
                      <w:lang w:val="en-US" w:eastAsia="zh-CN"/>
                    </w:rPr>
                    <w:t>t</w:t>
                  </w:r>
                </w:p>
              </w:tc>
              <w:tc>
                <w:tcPr>
                  <w:tcW w:w="745" w:type="pct"/>
                  <w:vAlign w:val="center"/>
                </w:tcPr>
                <w:p w14:paraId="650B9317">
                  <w:pPr>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w:t>
                  </w:r>
                  <w:r>
                    <w:rPr>
                      <w:rFonts w:hint="eastAsia" w:ascii="Times New Roman" w:hAnsi="Times New Roman" w:eastAsia="宋体" w:cs="Times New Roman"/>
                      <w:color w:val="auto"/>
                      <w:kern w:val="0"/>
                      <w:szCs w:val="21"/>
                      <w:highlight w:val="none"/>
                      <w:lang w:val="en-US" w:eastAsia="zh-CN"/>
                    </w:rPr>
                    <w:t>t</w:t>
                  </w:r>
                </w:p>
              </w:tc>
              <w:tc>
                <w:tcPr>
                  <w:tcW w:w="1079" w:type="pct"/>
                  <w:vAlign w:val="center"/>
                </w:tcPr>
                <w:p w14:paraId="76A6DAEB">
                  <w:pPr>
                    <w:widowControl/>
                    <w:spacing w:line="276"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袋装、材料</w:t>
                  </w:r>
                  <w:r>
                    <w:rPr>
                      <w:rFonts w:hint="default" w:ascii="Times New Roman" w:hAnsi="Times New Roman" w:eastAsia="宋体" w:cs="Times New Roman"/>
                      <w:color w:val="auto"/>
                      <w:kern w:val="0"/>
                      <w:sz w:val="21"/>
                      <w:szCs w:val="21"/>
                    </w:rPr>
                    <w:t>库房</w:t>
                  </w:r>
                </w:p>
              </w:tc>
              <w:tc>
                <w:tcPr>
                  <w:tcW w:w="720" w:type="pct"/>
                  <w:vAlign w:val="center"/>
                </w:tcPr>
                <w:p w14:paraId="6C99A1E8">
                  <w:pPr>
                    <w:widowControl/>
                    <w:spacing w:line="276"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用于下套管固井、封孔</w:t>
                  </w:r>
                </w:p>
              </w:tc>
            </w:tr>
            <w:tr w14:paraId="1159C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1" w:hRule="atLeast"/>
                <w:jc w:val="center"/>
              </w:trPr>
              <w:tc>
                <w:tcPr>
                  <w:tcW w:w="350" w:type="pct"/>
                  <w:shd w:val="clear" w:color="auto" w:fill="auto"/>
                  <w:vAlign w:val="center"/>
                </w:tcPr>
                <w:p w14:paraId="2EC7AAB8">
                  <w:pPr>
                    <w:widowControl/>
                    <w:spacing w:line="276"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11</w:t>
                  </w:r>
                </w:p>
              </w:tc>
              <w:tc>
                <w:tcPr>
                  <w:tcW w:w="1309" w:type="pct"/>
                  <w:gridSpan w:val="2"/>
                  <w:shd w:val="clear" w:color="auto" w:fill="auto"/>
                  <w:vAlign w:val="center"/>
                </w:tcPr>
                <w:p w14:paraId="4EE8B881">
                  <w:pPr>
                    <w:widowControl/>
                    <w:spacing w:line="276"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生产用水</w:t>
                  </w:r>
                </w:p>
              </w:tc>
              <w:tc>
                <w:tcPr>
                  <w:tcW w:w="794" w:type="pct"/>
                  <w:shd w:val="clear" w:color="auto" w:fill="auto"/>
                  <w:vAlign w:val="center"/>
                </w:tcPr>
                <w:p w14:paraId="2D4D446E">
                  <w:pPr>
                    <w:widowControl/>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524.91</w:t>
                  </w:r>
                  <w:r>
                    <w:rPr>
                      <w:rFonts w:hint="eastAsia" w:ascii="Times New Roman" w:hAnsi="Times New Roman" w:eastAsia="宋体" w:cs="Times New Roman"/>
                      <w:color w:val="auto"/>
                      <w:kern w:val="0"/>
                      <w:szCs w:val="21"/>
                      <w:highlight w:val="none"/>
                      <w:lang w:val="en-US" w:eastAsia="zh-CN"/>
                    </w:rPr>
                    <w:t>t</w:t>
                  </w:r>
                </w:p>
              </w:tc>
              <w:tc>
                <w:tcPr>
                  <w:tcW w:w="745" w:type="pct"/>
                  <w:shd w:val="clear" w:color="auto" w:fill="auto"/>
                  <w:vAlign w:val="center"/>
                </w:tcPr>
                <w:p w14:paraId="50A61416">
                  <w:pPr>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180</w:t>
                  </w:r>
                  <w:r>
                    <w:rPr>
                      <w:rFonts w:hint="eastAsia" w:ascii="Times New Roman" w:hAnsi="Times New Roman" w:eastAsia="宋体" w:cs="Times New Roman"/>
                      <w:color w:val="auto"/>
                      <w:kern w:val="0"/>
                      <w:szCs w:val="21"/>
                      <w:highlight w:val="none"/>
                      <w:lang w:val="en-US" w:eastAsia="zh-CN"/>
                    </w:rPr>
                    <w:t>t</w:t>
                  </w:r>
                </w:p>
              </w:tc>
              <w:tc>
                <w:tcPr>
                  <w:tcW w:w="1079" w:type="pct"/>
                  <w:shd w:val="clear" w:color="auto" w:fill="auto"/>
                  <w:vAlign w:val="center"/>
                </w:tcPr>
                <w:p w14:paraId="0B0AE2C1">
                  <w:pPr>
                    <w:widowControl/>
                    <w:spacing w:line="276"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清水池</w:t>
                  </w:r>
                </w:p>
              </w:tc>
              <w:tc>
                <w:tcPr>
                  <w:tcW w:w="720" w:type="pct"/>
                  <w:shd w:val="clear" w:color="auto" w:fill="auto"/>
                  <w:vAlign w:val="center"/>
                </w:tcPr>
                <w:p w14:paraId="611BCE05">
                  <w:pPr>
                    <w:widowControl/>
                    <w:spacing w:line="276"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w:t>
                  </w:r>
                </w:p>
              </w:tc>
            </w:tr>
            <w:tr w14:paraId="63541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1" w:hRule="atLeast"/>
                <w:jc w:val="center"/>
              </w:trPr>
              <w:tc>
                <w:tcPr>
                  <w:tcW w:w="350" w:type="pct"/>
                  <w:shd w:val="clear" w:color="auto" w:fill="auto"/>
                  <w:vAlign w:val="center"/>
                </w:tcPr>
                <w:p w14:paraId="31B3AB31">
                  <w:pPr>
                    <w:widowControl/>
                    <w:spacing w:line="276" w:lineRule="auto"/>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12</w:t>
                  </w:r>
                </w:p>
              </w:tc>
              <w:tc>
                <w:tcPr>
                  <w:tcW w:w="1309" w:type="pct"/>
                  <w:gridSpan w:val="2"/>
                  <w:shd w:val="clear" w:color="auto" w:fill="auto"/>
                  <w:vAlign w:val="center"/>
                </w:tcPr>
                <w:p w14:paraId="386F086D">
                  <w:pPr>
                    <w:widowControl/>
                    <w:spacing w:line="276"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砂</w:t>
                  </w:r>
                </w:p>
              </w:tc>
              <w:tc>
                <w:tcPr>
                  <w:tcW w:w="794" w:type="pct"/>
                  <w:shd w:val="clear" w:color="auto" w:fill="auto"/>
                  <w:vAlign w:val="center"/>
                </w:tcPr>
                <w:p w14:paraId="7A069ACA">
                  <w:pPr>
                    <w:widowControl/>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0.2</w:t>
                  </w:r>
                </w:p>
              </w:tc>
              <w:tc>
                <w:tcPr>
                  <w:tcW w:w="745" w:type="pct"/>
                  <w:shd w:val="clear" w:color="auto" w:fill="auto"/>
                  <w:vAlign w:val="center"/>
                </w:tcPr>
                <w:p w14:paraId="4D13810F">
                  <w:pPr>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0.2</w:t>
                  </w:r>
                </w:p>
              </w:tc>
              <w:tc>
                <w:tcPr>
                  <w:tcW w:w="1079" w:type="pct"/>
                  <w:shd w:val="clear" w:color="auto" w:fill="auto"/>
                  <w:vAlign w:val="center"/>
                </w:tcPr>
                <w:p w14:paraId="278C55DB">
                  <w:pPr>
                    <w:widowControl/>
                    <w:spacing w:line="276"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highlight w:val="none"/>
                      <w:lang w:eastAsia="zh-CN"/>
                    </w:rPr>
                    <w:t>材料</w:t>
                  </w:r>
                  <w:r>
                    <w:rPr>
                      <w:rFonts w:hint="default" w:ascii="Times New Roman" w:hAnsi="Times New Roman" w:eastAsia="宋体" w:cs="Times New Roman"/>
                      <w:color w:val="auto"/>
                      <w:kern w:val="0"/>
                      <w:sz w:val="21"/>
                      <w:szCs w:val="21"/>
                      <w:highlight w:val="none"/>
                    </w:rPr>
                    <w:t>库房</w:t>
                  </w:r>
                </w:p>
              </w:tc>
              <w:tc>
                <w:tcPr>
                  <w:tcW w:w="720" w:type="pct"/>
                  <w:shd w:val="clear" w:color="auto" w:fill="auto"/>
                  <w:vAlign w:val="center"/>
                </w:tcPr>
                <w:p w14:paraId="1B532FAA">
                  <w:pPr>
                    <w:widowControl/>
                    <w:spacing w:line="276"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r>
          </w:tbl>
          <w:p w14:paraId="55080154">
            <w:pPr>
              <w:widowControl/>
              <w:spacing w:line="360" w:lineRule="auto"/>
              <w:ind w:firstLine="480" w:firstLineChars="200"/>
              <w:jc w:val="left"/>
              <w:rPr>
                <w:rFonts w:ascii="Times New Roman" w:hAnsi="Times New Roman" w:eastAsia="宋体" w:cs="Times New Roman"/>
                <w:b/>
                <w:color w:val="auto"/>
                <w:kern w:val="0"/>
                <w:szCs w:val="21"/>
              </w:rPr>
            </w:pPr>
            <w:r>
              <w:rPr>
                <w:rFonts w:hint="eastAsia" w:ascii="Times New Roman" w:hAnsi="Times New Roman" w:eastAsia="宋体" w:cs="Times New Roman"/>
                <w:color w:val="auto"/>
                <w:sz w:val="24"/>
                <w:szCs w:val="24"/>
              </w:rPr>
              <w:t>钻井液</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俗称泥浆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按分散介质（连续相）可分为水基钻井液、油基钻井液、气体型钻井流体</w:t>
            </w:r>
            <w:r>
              <w:rPr>
                <w:rFonts w:hint="eastAsia" w:ascii="Times New Roman" w:hAnsi="Times New Roman" w:eastAsia="宋体" w:cs="Times New Roman"/>
                <w:color w:val="auto"/>
                <w:sz w:val="24"/>
                <w:szCs w:val="24"/>
                <w:lang w:eastAsia="zh-CN"/>
              </w:rPr>
              <w:t>，本项目使用</w:t>
            </w:r>
            <w:r>
              <w:rPr>
                <w:rFonts w:hint="eastAsia" w:ascii="Times New Roman" w:hAnsi="Times New Roman" w:eastAsia="宋体" w:cs="Times New Roman"/>
                <w:color w:val="auto"/>
                <w:sz w:val="24"/>
                <w:szCs w:val="24"/>
              </w:rPr>
              <w:t>水基钻井液</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水基钻井液是一种以水为分散介质，以粘土（膨润土）、加重剂及各种化学处理剂为分散相的溶胶悬浮体混合体系。其主要组成是水、粘土、加重剂和各种化学处理剂等。</w:t>
            </w:r>
            <w:r>
              <w:rPr>
                <w:rFonts w:hint="eastAsia" w:ascii="Times New Roman" w:hAnsi="宋体" w:eastAsia="宋体" w:cs="Times New Roman"/>
                <w:color w:val="auto"/>
                <w:kern w:val="0"/>
                <w:sz w:val="24"/>
                <w:szCs w:val="24"/>
              </w:rPr>
              <w:t>本项目泥浆由粘土（膨润土）、纤维素、腐殖酸和水调配而成。</w:t>
            </w:r>
          </w:p>
          <w:p w14:paraId="431892A8">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纤维素：项目使用的纤维素为木质素纤维，它是天然木材经过化学处理得到的有机纤维，外观为棉絮状，呈白色或灰白色。通过筛选、分裂、高温处理、漂白、化学处理、中和、筛分成不同长度和粗细度的纤维以适应不同应用材料的需要。由于处理温度</w:t>
            </w:r>
            <w:r>
              <w:rPr>
                <w:rFonts w:ascii="Times New Roman" w:hAnsi="Times New Roman" w:eastAsia="宋体" w:cs="Times New Roman"/>
                <w:color w:val="auto"/>
                <w:kern w:val="0"/>
                <w:sz w:val="24"/>
                <w:szCs w:val="24"/>
              </w:rPr>
              <w:t>高达250℃以</w:t>
            </w:r>
            <w:r>
              <w:rPr>
                <w:rFonts w:hint="eastAsia" w:ascii="Times New Roman" w:hAnsi="Times New Roman" w:eastAsia="宋体" w:cs="Times New Roman"/>
                <w:color w:val="auto"/>
                <w:kern w:val="0"/>
                <w:sz w:val="24"/>
                <w:szCs w:val="24"/>
              </w:rPr>
              <w:t>上，在通常条件下是化学上非常稳定的物质，不为一般的溶剂、酸、碱腐蚀，具有无毒、无味、无污染、无放射性的优良品质，不影响环境，对人体无害，属绿色环保产品，这是其它矿物质素纤维所不具备的。纤维微观结构是带状弯曲的，凹凸不平的，多孔的，交叉处是扁平的，有良好的韧性、分散性和化学稳定性，吸水能力强，有非常优秀的增稠抗裂性能。</w:t>
            </w:r>
          </w:p>
          <w:p w14:paraId="7F2DFBE2">
            <w:pPr>
              <w:autoSpaceDE w:val="0"/>
              <w:autoSpaceDN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auto"/>
                <w:kern w:val="0"/>
                <w:sz w:val="24"/>
                <w:szCs w:val="24"/>
              </w:rPr>
              <w:t>腐植酸钾：腐植酸钾是一种高效有机钾肥，化学式为C</w:t>
            </w:r>
            <w:r>
              <w:rPr>
                <w:rFonts w:hint="eastAsia" w:ascii="Times New Roman" w:hAnsi="Times New Roman" w:eastAsia="宋体" w:cs="Times New Roman"/>
                <w:color w:val="auto"/>
                <w:kern w:val="0"/>
                <w:sz w:val="24"/>
                <w:szCs w:val="24"/>
                <w:vertAlign w:val="subscript"/>
              </w:rPr>
              <w:t>9</w:t>
            </w:r>
            <w:r>
              <w:rPr>
                <w:rFonts w:hint="eastAsia" w:ascii="Times New Roman" w:hAnsi="Times New Roman" w:eastAsia="宋体" w:cs="Times New Roman"/>
                <w:color w:val="auto"/>
                <w:kern w:val="0"/>
                <w:sz w:val="24"/>
                <w:szCs w:val="24"/>
              </w:rPr>
              <w:t>H</w:t>
            </w:r>
            <w:r>
              <w:rPr>
                <w:rFonts w:hint="eastAsia" w:ascii="Times New Roman" w:hAnsi="Times New Roman" w:eastAsia="宋体" w:cs="Times New Roman"/>
                <w:color w:val="auto"/>
                <w:kern w:val="0"/>
                <w:sz w:val="24"/>
                <w:szCs w:val="24"/>
                <w:vertAlign w:val="subscript"/>
              </w:rPr>
              <w:t>8</w:t>
            </w:r>
            <w:r>
              <w:rPr>
                <w:rFonts w:hint="eastAsia" w:ascii="Times New Roman" w:hAnsi="Times New Roman" w:eastAsia="宋体" w:cs="Times New Roman"/>
                <w:color w:val="auto"/>
                <w:kern w:val="0"/>
                <w:sz w:val="24"/>
                <w:szCs w:val="24"/>
              </w:rPr>
              <w:t>K</w:t>
            </w:r>
            <w:r>
              <w:rPr>
                <w:rFonts w:hint="eastAsia" w:ascii="Times New Roman" w:hAnsi="Times New Roman" w:eastAsia="宋体" w:cs="Times New Roman"/>
                <w:color w:val="auto"/>
                <w:kern w:val="0"/>
                <w:sz w:val="24"/>
                <w:szCs w:val="24"/>
                <w:vertAlign w:val="subscript"/>
              </w:rPr>
              <w:t>2</w:t>
            </w:r>
            <w:r>
              <w:rPr>
                <w:rFonts w:hint="eastAsia" w:ascii="Times New Roman" w:hAnsi="Times New Roman" w:eastAsia="宋体" w:cs="Times New Roman"/>
                <w:color w:val="auto"/>
                <w:kern w:val="0"/>
                <w:sz w:val="24"/>
                <w:szCs w:val="24"/>
              </w:rPr>
              <w:t>O</w:t>
            </w:r>
            <w:r>
              <w:rPr>
                <w:rFonts w:hint="eastAsia" w:ascii="Times New Roman" w:hAnsi="Times New Roman" w:eastAsia="宋体" w:cs="Times New Roman"/>
                <w:color w:val="auto"/>
                <w:kern w:val="0"/>
                <w:sz w:val="24"/>
                <w:szCs w:val="24"/>
                <w:vertAlign w:val="subscript"/>
              </w:rPr>
              <w:t>4</w:t>
            </w:r>
            <w:r>
              <w:rPr>
                <w:rFonts w:hint="eastAsia" w:ascii="Times New Roman" w:hAnsi="Times New Roman" w:eastAsia="宋体" w:cs="Times New Roman"/>
                <w:color w:val="auto"/>
                <w:kern w:val="0"/>
                <w:sz w:val="24"/>
                <w:szCs w:val="24"/>
              </w:rPr>
              <w:t>，外观为黑色粉末，易溶于水，水溶液呈酱色。其含有的腐植酸是一种生物活性制剂，可提高土壤速效钾含量，减少钾的损失和固定，增加作物对钾的吸收和利用率，也具有改良土壤、促进作物生长、提高作物抗逆能力、改善作物品质、保护农业生态环境等功能；它与尿素、磷肥、钾肥、微量元素等混合后，可制成高效多功能复混肥料；此外，腐植酸钾还可用作石油钻井液的处理剂，主要起防止井壁坍塌的作用。</w:t>
            </w:r>
          </w:p>
          <w:p w14:paraId="3C5CFC9D">
            <w:pPr>
              <w:spacing w:line="360" w:lineRule="auto"/>
              <w:jc w:val="both"/>
              <w:rPr>
                <w:rFonts w:hint="eastAsia" w:ascii="Times New Roman" w:hAnsi="黑体" w:eastAsia="宋体" w:cs="Times New Roman"/>
                <w:color w:val="auto"/>
                <w:sz w:val="24"/>
                <w:szCs w:val="24"/>
                <w:lang w:val="en-US" w:eastAsia="zh-CN"/>
              </w:rPr>
            </w:pPr>
            <w:r>
              <w:rPr>
                <w:rFonts w:hint="eastAsia" w:ascii="Times New Roman" w:hAnsi="宋体" w:eastAsia="宋体" w:cs="Times New Roman"/>
                <w:b/>
                <w:color w:val="auto"/>
                <w:kern w:val="0"/>
                <w:sz w:val="24"/>
                <w:szCs w:val="24"/>
                <w:lang w:val="en-US" w:eastAsia="zh-CN"/>
              </w:rPr>
              <w:t>4</w:t>
            </w:r>
            <w:r>
              <w:rPr>
                <w:rFonts w:hint="eastAsia" w:ascii="Times New Roman" w:hAnsi="宋体" w:eastAsia="宋体" w:cs="Times New Roman"/>
                <w:b/>
                <w:color w:val="auto"/>
                <w:kern w:val="0"/>
                <w:sz w:val="24"/>
                <w:szCs w:val="24"/>
              </w:rPr>
              <w:t>、项目主要</w:t>
            </w:r>
            <w:r>
              <w:rPr>
                <w:rFonts w:hint="eastAsia" w:ascii="Times New Roman" w:hAnsi="宋体" w:eastAsia="宋体" w:cs="Times New Roman"/>
                <w:b/>
                <w:color w:val="auto"/>
                <w:kern w:val="0"/>
                <w:sz w:val="24"/>
                <w:szCs w:val="24"/>
                <w:lang w:val="en-US" w:eastAsia="zh-CN"/>
              </w:rPr>
              <w:t>施工设备</w:t>
            </w:r>
          </w:p>
          <w:p w14:paraId="4E3ABD5D">
            <w:pPr>
              <w:pStyle w:val="95"/>
              <w:numPr>
                <w:ilvl w:val="1"/>
                <w:numId w:val="2"/>
              </w:numPr>
              <w:tabs>
                <w:tab w:val="left" w:pos="2100"/>
                <w:tab w:val="clear" w:pos="1440"/>
              </w:tabs>
              <w:spacing w:line="240" w:lineRule="auto"/>
              <w:ind w:left="3300" w:leftChars="0" w:hanging="1200" w:firstLineChars="0"/>
              <w:jc w:val="both"/>
              <w:rPr>
                <w:rFonts w:hint="eastAsia" w:ascii="宋体" w:hAnsi="宋体" w:eastAsia="宋体" w:cs="宋体"/>
                <w:color w:val="auto"/>
                <w:sz w:val="24"/>
                <w:szCs w:val="20"/>
                <w:lang w:eastAsia="zh-CN"/>
              </w:rPr>
            </w:pPr>
            <w:r>
              <w:rPr>
                <w:rFonts w:hint="eastAsia" w:ascii="宋体" w:hAnsi="宋体" w:eastAsia="宋体" w:cs="宋体"/>
                <w:color w:val="auto"/>
                <w:sz w:val="24"/>
                <w:szCs w:val="20"/>
                <w:lang w:eastAsia="zh-CN"/>
              </w:rPr>
              <w:t>项目施工主要设备一览</w:t>
            </w:r>
            <w:r>
              <w:rPr>
                <w:rFonts w:ascii="Times New Roman" w:hAnsi="黑体" w:eastAsia="黑体" w:cs="Times New Roman"/>
                <w:color w:val="auto"/>
                <w:sz w:val="24"/>
                <w:szCs w:val="24"/>
              </w:rPr>
              <w:t>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18"/>
              <w:gridCol w:w="2228"/>
              <w:gridCol w:w="1481"/>
              <w:gridCol w:w="2301"/>
            </w:tblGrid>
            <w:tr w14:paraId="44D8B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349" w:type="pct"/>
                  <w:noWrap/>
                  <w:vAlign w:val="center"/>
                </w:tcPr>
                <w:p w14:paraId="6796AE5E">
                  <w:pPr>
                    <w:widowControl/>
                    <w:spacing w:line="276" w:lineRule="auto"/>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序号</w:t>
                  </w:r>
                </w:p>
              </w:tc>
              <w:tc>
                <w:tcPr>
                  <w:tcW w:w="836" w:type="pct"/>
                  <w:noWrap/>
                  <w:vAlign w:val="center"/>
                </w:tcPr>
                <w:p w14:paraId="13C1DB0F">
                  <w:pPr>
                    <w:widowControl/>
                    <w:spacing w:line="276" w:lineRule="auto"/>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名称</w:t>
                  </w:r>
                </w:p>
              </w:tc>
              <w:tc>
                <w:tcPr>
                  <w:tcW w:w="1414" w:type="pct"/>
                  <w:noWrap/>
                  <w:vAlign w:val="center"/>
                </w:tcPr>
                <w:p w14:paraId="2E61E224">
                  <w:pPr>
                    <w:widowControl/>
                    <w:spacing w:line="276" w:lineRule="auto"/>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型号</w:t>
                  </w:r>
                </w:p>
              </w:tc>
              <w:tc>
                <w:tcPr>
                  <w:tcW w:w="939" w:type="pct"/>
                  <w:noWrap/>
                  <w:vAlign w:val="center"/>
                </w:tcPr>
                <w:p w14:paraId="2F7155E5">
                  <w:pPr>
                    <w:widowControl/>
                    <w:spacing w:line="276" w:lineRule="auto"/>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数量</w:t>
                  </w:r>
                </w:p>
              </w:tc>
              <w:tc>
                <w:tcPr>
                  <w:tcW w:w="1460" w:type="pct"/>
                  <w:noWrap/>
                  <w:vAlign w:val="center"/>
                </w:tcPr>
                <w:p w14:paraId="08FAE4A1">
                  <w:pPr>
                    <w:widowControl/>
                    <w:spacing w:line="276" w:lineRule="auto"/>
                    <w:jc w:val="center"/>
                    <w:rPr>
                      <w:rFonts w:hint="eastAsia" w:ascii="Times New Roman" w:hAnsi="Times New Roman" w:eastAsia="宋体" w:cs="Times New Roman"/>
                      <w:b/>
                      <w:color w:val="auto"/>
                      <w:kern w:val="0"/>
                      <w:szCs w:val="21"/>
                      <w:lang w:eastAsia="zh-CN"/>
                    </w:rPr>
                  </w:pPr>
                  <w:r>
                    <w:rPr>
                      <w:rFonts w:hint="eastAsia" w:ascii="Times New Roman" w:hAnsi="Times New Roman" w:eastAsia="宋体" w:cs="Times New Roman"/>
                      <w:b/>
                      <w:color w:val="auto"/>
                      <w:kern w:val="0"/>
                      <w:szCs w:val="21"/>
                      <w:lang w:eastAsia="zh-CN"/>
                    </w:rPr>
                    <w:t>备注</w:t>
                  </w:r>
                </w:p>
              </w:tc>
            </w:tr>
            <w:tr w14:paraId="20D9F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49" w:type="pct"/>
                  <w:noWrap/>
                  <w:vAlign w:val="center"/>
                </w:tcPr>
                <w:p w14:paraId="1C98AEFD">
                  <w:pPr>
                    <w:widowControl/>
                    <w:spacing w:line="276"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p>
              </w:tc>
              <w:tc>
                <w:tcPr>
                  <w:tcW w:w="836" w:type="pct"/>
                  <w:noWrap/>
                  <w:vAlign w:val="center"/>
                </w:tcPr>
                <w:p w14:paraId="53BEC722">
                  <w:pPr>
                    <w:widowControl/>
                    <w:spacing w:line="276"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钻塔</w:t>
                  </w:r>
                </w:p>
              </w:tc>
              <w:tc>
                <w:tcPr>
                  <w:tcW w:w="1414" w:type="pct"/>
                  <w:noWrap/>
                  <w:vAlign w:val="center"/>
                </w:tcPr>
                <w:p w14:paraId="2F4B0E68">
                  <w:pPr>
                    <w:keepNext w:val="0"/>
                    <w:keepLines w:val="0"/>
                    <w:widowControl/>
                    <w:suppressLineNumbers w:val="0"/>
                    <w:jc w:val="lef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000000"/>
                      <w:kern w:val="0"/>
                      <w:sz w:val="20"/>
                      <w:szCs w:val="20"/>
                      <w:lang w:val="en-US" w:eastAsia="zh-CN" w:bidi="ar"/>
                    </w:rPr>
                    <w:t xml:space="preserve">HS24-75 </w:t>
                  </w:r>
                  <w:r>
                    <w:rPr>
                      <w:rFonts w:hint="eastAsia" w:ascii="宋体" w:hAnsi="宋体" w:eastAsia="宋体" w:cs="宋体"/>
                      <w:color w:val="000000"/>
                      <w:kern w:val="0"/>
                      <w:sz w:val="20"/>
                      <w:szCs w:val="20"/>
                      <w:lang w:val="en-US" w:eastAsia="zh-CN" w:bidi="ar"/>
                    </w:rPr>
                    <w:t>四角加强型钻塔</w:t>
                  </w:r>
                </w:p>
              </w:tc>
              <w:tc>
                <w:tcPr>
                  <w:tcW w:w="939" w:type="pct"/>
                  <w:noWrap/>
                  <w:vAlign w:val="center"/>
                </w:tcPr>
                <w:p w14:paraId="2C3F68FF">
                  <w:pPr>
                    <w:widowControl/>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1</w:t>
                  </w:r>
                  <w:r>
                    <w:rPr>
                      <w:rFonts w:ascii="Times New Roman" w:hAnsi="Times New Roman" w:eastAsia="宋体" w:cs="Times New Roman"/>
                      <w:color w:val="auto"/>
                      <w:kern w:val="0"/>
                      <w:szCs w:val="21"/>
                    </w:rPr>
                    <w:t>副</w:t>
                  </w:r>
                </w:p>
              </w:tc>
              <w:tc>
                <w:tcPr>
                  <w:tcW w:w="1460" w:type="pct"/>
                  <w:noWrap/>
                  <w:vAlign w:val="center"/>
                </w:tcPr>
                <w:p w14:paraId="64AEECD0">
                  <w:pPr>
                    <w:widowControl/>
                    <w:spacing w:line="276" w:lineRule="auto"/>
                    <w:jc w:val="both"/>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钻井施工</w:t>
                  </w:r>
                </w:p>
              </w:tc>
            </w:tr>
            <w:tr w14:paraId="5D0C7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49" w:type="pct"/>
                  <w:noWrap/>
                  <w:vAlign w:val="center"/>
                </w:tcPr>
                <w:p w14:paraId="15EE1D89">
                  <w:pPr>
                    <w:widowControl/>
                    <w:spacing w:line="276"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w:t>
                  </w:r>
                </w:p>
              </w:tc>
              <w:tc>
                <w:tcPr>
                  <w:tcW w:w="836" w:type="pct"/>
                  <w:noWrap/>
                  <w:vAlign w:val="center"/>
                </w:tcPr>
                <w:p w14:paraId="50FA4370">
                  <w:pPr>
                    <w:widowControl/>
                    <w:spacing w:line="276"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钻机</w:t>
                  </w:r>
                </w:p>
              </w:tc>
              <w:tc>
                <w:tcPr>
                  <w:tcW w:w="1414" w:type="pct"/>
                  <w:noWrap/>
                  <w:vAlign w:val="center"/>
                </w:tcPr>
                <w:p w14:paraId="2F6591DC">
                  <w:pPr>
                    <w:widowControl/>
                    <w:spacing w:line="276"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ZJ50</w:t>
                  </w:r>
                </w:p>
              </w:tc>
              <w:tc>
                <w:tcPr>
                  <w:tcW w:w="939" w:type="pct"/>
                  <w:noWrap/>
                  <w:vAlign w:val="center"/>
                </w:tcPr>
                <w:p w14:paraId="258141E5">
                  <w:pPr>
                    <w:widowControl/>
                    <w:spacing w:line="276" w:lineRule="auto"/>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1台</w:t>
                  </w:r>
                </w:p>
              </w:tc>
              <w:tc>
                <w:tcPr>
                  <w:tcW w:w="1460" w:type="pct"/>
                  <w:noWrap/>
                  <w:vAlign w:val="center"/>
                </w:tcPr>
                <w:p w14:paraId="4C6C2741">
                  <w:pPr>
                    <w:widowControl/>
                    <w:spacing w:line="276" w:lineRule="auto"/>
                    <w:jc w:val="center"/>
                    <w:rPr>
                      <w:rFonts w:hint="default" w:ascii="Times New Roman" w:hAnsi="Times New Roman" w:eastAsia="宋体" w:cs="Times New Roman"/>
                      <w:color w:val="auto"/>
                      <w:kern w:val="0"/>
                      <w:szCs w:val="21"/>
                      <w:lang w:val="en-US"/>
                    </w:rPr>
                  </w:pPr>
                  <w:r>
                    <w:rPr>
                      <w:rFonts w:hint="eastAsia" w:ascii="Times New Roman" w:hAnsi="Times New Roman" w:eastAsia="宋体" w:cs="Times New Roman"/>
                      <w:color w:val="auto"/>
                      <w:kern w:val="0"/>
                      <w:szCs w:val="21"/>
                      <w:lang w:val="en-US" w:eastAsia="zh-CN"/>
                    </w:rPr>
                    <w:t>钻井施工</w:t>
                  </w:r>
                </w:p>
              </w:tc>
            </w:tr>
            <w:tr w14:paraId="3C4DE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349" w:type="pct"/>
                  <w:noWrap/>
                  <w:vAlign w:val="center"/>
                </w:tcPr>
                <w:p w14:paraId="1162F27C">
                  <w:pPr>
                    <w:widowControl/>
                    <w:spacing w:line="276"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3</w:t>
                  </w:r>
                </w:p>
              </w:tc>
              <w:tc>
                <w:tcPr>
                  <w:tcW w:w="836" w:type="pct"/>
                  <w:noWrap/>
                  <w:vAlign w:val="center"/>
                </w:tcPr>
                <w:p w14:paraId="05138EB1">
                  <w:pPr>
                    <w:widowControl/>
                    <w:spacing w:line="276" w:lineRule="auto"/>
                    <w:jc w:val="center"/>
                    <w:rPr>
                      <w:rFonts w:hint="eastAsia" w:ascii="Times New Roman" w:hAnsi="Times New Roman" w:eastAsia="宋体" w:cs="Times New Roman"/>
                      <w:color w:val="auto"/>
                      <w:kern w:val="0"/>
                      <w:szCs w:val="21"/>
                      <w:lang w:eastAsia="zh-CN"/>
                    </w:rPr>
                  </w:pPr>
                  <w:r>
                    <w:rPr>
                      <w:rFonts w:ascii="Times New Roman" w:hAnsi="Times New Roman" w:eastAsia="宋体" w:cs="Times New Roman"/>
                      <w:color w:val="auto"/>
                      <w:kern w:val="0"/>
                      <w:szCs w:val="21"/>
                    </w:rPr>
                    <w:t>钻</w:t>
                  </w:r>
                  <w:r>
                    <w:rPr>
                      <w:rFonts w:hint="eastAsia" w:ascii="Times New Roman" w:hAnsi="Times New Roman" w:eastAsia="宋体" w:cs="Times New Roman"/>
                      <w:color w:val="auto"/>
                      <w:kern w:val="0"/>
                      <w:szCs w:val="21"/>
                      <w:lang w:eastAsia="zh-CN"/>
                    </w:rPr>
                    <w:t>具</w:t>
                  </w:r>
                </w:p>
              </w:tc>
              <w:tc>
                <w:tcPr>
                  <w:tcW w:w="1414" w:type="pct"/>
                  <w:noWrap/>
                  <w:vAlign w:val="center"/>
                </w:tcPr>
                <w:p w14:paraId="5C4D7677">
                  <w:pPr>
                    <w:widowControl/>
                    <w:spacing w:line="276" w:lineRule="auto"/>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组合钻具</w:t>
                  </w:r>
                </w:p>
              </w:tc>
              <w:tc>
                <w:tcPr>
                  <w:tcW w:w="939" w:type="pct"/>
                  <w:noWrap/>
                  <w:vAlign w:val="center"/>
                </w:tcPr>
                <w:p w14:paraId="4903744E">
                  <w:pPr>
                    <w:widowControl/>
                    <w:spacing w:line="276" w:lineRule="auto"/>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数个</w:t>
                  </w:r>
                </w:p>
              </w:tc>
              <w:tc>
                <w:tcPr>
                  <w:tcW w:w="1460" w:type="pct"/>
                  <w:noWrap/>
                  <w:vAlign w:val="center"/>
                </w:tcPr>
                <w:p w14:paraId="69A29EFC">
                  <w:pPr>
                    <w:widowControl/>
                    <w:spacing w:line="276" w:lineRule="auto"/>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钻井施工</w:t>
                  </w:r>
                </w:p>
              </w:tc>
            </w:tr>
            <w:tr w14:paraId="70B7FA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49" w:type="pct"/>
                  <w:noWrap/>
                  <w:vAlign w:val="center"/>
                </w:tcPr>
                <w:p w14:paraId="1A16ED41">
                  <w:pPr>
                    <w:widowControl/>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p>
              </w:tc>
              <w:tc>
                <w:tcPr>
                  <w:tcW w:w="836" w:type="pct"/>
                  <w:noWrap/>
                  <w:vAlign w:val="center"/>
                </w:tcPr>
                <w:p w14:paraId="5FCB1222">
                  <w:pPr>
                    <w:widowControl/>
                    <w:spacing w:line="276"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泥浆泵</w:t>
                  </w:r>
                </w:p>
              </w:tc>
              <w:tc>
                <w:tcPr>
                  <w:tcW w:w="1414" w:type="pct"/>
                  <w:shd w:val="clear" w:color="auto" w:fill="auto"/>
                  <w:noWrap/>
                  <w:vAlign w:val="center"/>
                </w:tcPr>
                <w:p w14:paraId="5C9992FF">
                  <w:pPr>
                    <w:widowControl/>
                    <w:spacing w:line="276"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rPr>
                    <w:t>3NB-260</w:t>
                  </w:r>
                </w:p>
              </w:tc>
              <w:tc>
                <w:tcPr>
                  <w:tcW w:w="939" w:type="pct"/>
                  <w:shd w:val="clear" w:color="auto" w:fill="auto"/>
                  <w:noWrap/>
                  <w:vAlign w:val="center"/>
                </w:tcPr>
                <w:p w14:paraId="66A436EE">
                  <w:pPr>
                    <w:widowControl/>
                    <w:spacing w:line="276"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2</w:t>
                  </w:r>
                  <w:r>
                    <w:rPr>
                      <w:rFonts w:ascii="Times New Roman" w:hAnsi="Times New Roman" w:eastAsia="宋体" w:cs="Times New Roman"/>
                      <w:color w:val="auto"/>
                      <w:kern w:val="0"/>
                      <w:szCs w:val="21"/>
                    </w:rPr>
                    <w:t>台</w:t>
                  </w:r>
                </w:p>
              </w:tc>
              <w:tc>
                <w:tcPr>
                  <w:tcW w:w="1460" w:type="pct"/>
                  <w:noWrap/>
                  <w:vAlign w:val="center"/>
                </w:tcPr>
                <w:p w14:paraId="73EEE4FB">
                  <w:pPr>
                    <w:widowControl/>
                    <w:spacing w:line="276" w:lineRule="auto"/>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钻井施工、1用1备</w:t>
                  </w:r>
                </w:p>
              </w:tc>
            </w:tr>
            <w:tr w14:paraId="53A6C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49" w:type="pct"/>
                  <w:noWrap/>
                  <w:vAlign w:val="center"/>
                </w:tcPr>
                <w:p w14:paraId="72D2E5F2">
                  <w:pPr>
                    <w:widowControl/>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w:t>
                  </w:r>
                </w:p>
              </w:tc>
              <w:tc>
                <w:tcPr>
                  <w:tcW w:w="836" w:type="pct"/>
                  <w:noWrap/>
                  <w:vAlign w:val="top"/>
                </w:tcPr>
                <w:p w14:paraId="4B2CE1DE">
                  <w:pPr>
                    <w:widowControl/>
                    <w:spacing w:line="276" w:lineRule="auto"/>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固控系统</w:t>
                  </w:r>
                </w:p>
              </w:tc>
              <w:tc>
                <w:tcPr>
                  <w:tcW w:w="1414" w:type="pct"/>
                  <w:noWrap/>
                  <w:vAlign w:val="top"/>
                </w:tcPr>
                <w:p w14:paraId="6E66D6DF">
                  <w:pPr>
                    <w:widowControl/>
                    <w:spacing w:line="276" w:lineRule="auto"/>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939" w:type="pct"/>
                  <w:noWrap/>
                  <w:vAlign w:val="center"/>
                </w:tcPr>
                <w:p w14:paraId="54F1FF42">
                  <w:pPr>
                    <w:widowControl/>
                    <w:spacing w:line="276" w:lineRule="auto"/>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1套</w:t>
                  </w:r>
                </w:p>
              </w:tc>
              <w:tc>
                <w:tcPr>
                  <w:tcW w:w="1460" w:type="pct"/>
                  <w:noWrap/>
                  <w:vAlign w:val="center"/>
                </w:tcPr>
                <w:p w14:paraId="50EE076F">
                  <w:pPr>
                    <w:widowControl/>
                    <w:spacing w:line="276" w:lineRule="auto"/>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钻井施工</w:t>
                  </w:r>
                </w:p>
              </w:tc>
            </w:tr>
            <w:tr w14:paraId="02A75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49" w:type="pct"/>
                  <w:noWrap/>
                  <w:vAlign w:val="center"/>
                </w:tcPr>
                <w:p w14:paraId="0CC4EA2C">
                  <w:pPr>
                    <w:widowControl/>
                    <w:spacing w:line="276" w:lineRule="auto"/>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w:t>
                  </w:r>
                </w:p>
              </w:tc>
              <w:tc>
                <w:tcPr>
                  <w:tcW w:w="836" w:type="pct"/>
                  <w:noWrap/>
                  <w:vAlign w:val="top"/>
                </w:tcPr>
                <w:p w14:paraId="2559A596">
                  <w:pPr>
                    <w:widowControl/>
                    <w:spacing w:line="276" w:lineRule="auto"/>
                    <w:jc w:val="center"/>
                    <w:rPr>
                      <w:rFonts w:hint="eastAsia" w:ascii="Times New Roman" w:hAnsi="Times New Roman" w:eastAsia="宋体" w:cs="Times New Roman"/>
                      <w:color w:val="auto"/>
                      <w:kern w:val="0"/>
                      <w:szCs w:val="21"/>
                      <w:lang w:eastAsia="zh-CN"/>
                    </w:rPr>
                  </w:pPr>
                  <w:r>
                    <w:rPr>
                      <w:rFonts w:ascii="Helvetica" w:hAnsi="Helvetica" w:eastAsia="Helvetica" w:cs="Helvetica"/>
                      <w:i w:val="0"/>
                      <w:iCs w:val="0"/>
                      <w:caps w:val="0"/>
                      <w:color w:val="333333"/>
                      <w:spacing w:val="0"/>
                      <w:sz w:val="21"/>
                      <w:szCs w:val="21"/>
                      <w:shd w:val="clear" w:fill="FFFFFF"/>
                    </w:rPr>
                    <w:t>压裂车组</w:t>
                  </w:r>
                </w:p>
              </w:tc>
              <w:tc>
                <w:tcPr>
                  <w:tcW w:w="1414" w:type="pct"/>
                  <w:noWrap/>
                  <w:vAlign w:val="top"/>
                </w:tcPr>
                <w:p w14:paraId="5C7FB781">
                  <w:pPr>
                    <w:widowControl/>
                    <w:spacing w:line="276" w:lineRule="auto"/>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939" w:type="pct"/>
                  <w:noWrap/>
                  <w:vAlign w:val="center"/>
                </w:tcPr>
                <w:p w14:paraId="1188DE68">
                  <w:pPr>
                    <w:widowControl/>
                    <w:spacing w:line="276" w:lineRule="auto"/>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1套</w:t>
                  </w:r>
                </w:p>
              </w:tc>
              <w:tc>
                <w:tcPr>
                  <w:tcW w:w="1460" w:type="pct"/>
                  <w:noWrap/>
                  <w:vAlign w:val="center"/>
                </w:tcPr>
                <w:p w14:paraId="59692DA7">
                  <w:pPr>
                    <w:widowControl/>
                    <w:spacing w:line="276" w:lineRule="auto"/>
                    <w:jc w:val="center"/>
                    <w:rPr>
                      <w:rFonts w:hint="eastAsia" w:ascii="Times New Roman" w:hAnsi="Times New Roman" w:eastAsia="宋体" w:cs="Times New Roman"/>
                      <w:color w:val="auto"/>
                      <w:kern w:val="0"/>
                      <w:szCs w:val="21"/>
                    </w:rPr>
                  </w:pPr>
                  <w:r>
                    <w:rPr>
                      <w:rFonts w:ascii="Helvetica" w:hAnsi="Helvetica" w:eastAsia="Helvetica" w:cs="Helvetica"/>
                      <w:i w:val="0"/>
                      <w:iCs w:val="0"/>
                      <w:caps w:val="0"/>
                      <w:color w:val="333333"/>
                      <w:spacing w:val="0"/>
                      <w:sz w:val="21"/>
                      <w:szCs w:val="21"/>
                      <w:shd w:val="clear" w:fill="FFFFFF"/>
                    </w:rPr>
                    <w:t>压裂</w:t>
                  </w:r>
                  <w:r>
                    <w:rPr>
                      <w:rFonts w:hint="eastAsia" w:ascii="Times New Roman" w:hAnsi="Times New Roman" w:eastAsia="宋体" w:cs="Times New Roman"/>
                      <w:color w:val="auto"/>
                      <w:kern w:val="0"/>
                      <w:szCs w:val="21"/>
                      <w:lang w:val="en-US" w:eastAsia="zh-CN"/>
                    </w:rPr>
                    <w:t>施工</w:t>
                  </w:r>
                </w:p>
              </w:tc>
            </w:tr>
            <w:tr w14:paraId="4F5D09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49" w:type="pct"/>
                  <w:noWrap/>
                  <w:vAlign w:val="center"/>
                </w:tcPr>
                <w:p w14:paraId="18366020">
                  <w:pPr>
                    <w:widowControl/>
                    <w:spacing w:line="276" w:lineRule="auto"/>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w:t>
                  </w:r>
                </w:p>
              </w:tc>
              <w:tc>
                <w:tcPr>
                  <w:tcW w:w="836" w:type="pct"/>
                  <w:noWrap/>
                  <w:vAlign w:val="top"/>
                </w:tcPr>
                <w:p w14:paraId="3EFC1721">
                  <w:pPr>
                    <w:widowControl/>
                    <w:spacing w:line="276" w:lineRule="auto"/>
                    <w:jc w:val="center"/>
                    <w:rPr>
                      <w:rFonts w:hint="eastAsia" w:ascii="Times New Roman" w:hAnsi="Times New Roman" w:eastAsia="宋体" w:cs="Times New Roman"/>
                      <w:color w:val="auto"/>
                      <w:kern w:val="0"/>
                      <w:szCs w:val="21"/>
                      <w:lang w:eastAsia="zh-CN"/>
                    </w:rPr>
                  </w:pPr>
                  <w:r>
                    <w:rPr>
                      <w:rFonts w:ascii="Helvetica" w:hAnsi="Helvetica" w:eastAsia="Helvetica" w:cs="Helvetica"/>
                      <w:i w:val="0"/>
                      <w:iCs w:val="0"/>
                      <w:caps w:val="0"/>
                      <w:color w:val="333333"/>
                      <w:spacing w:val="0"/>
                      <w:sz w:val="21"/>
                      <w:szCs w:val="21"/>
                      <w:shd w:val="clear" w:fill="FFFFFF"/>
                    </w:rPr>
                    <w:t>压裂管汇</w:t>
                  </w:r>
                </w:p>
              </w:tc>
              <w:tc>
                <w:tcPr>
                  <w:tcW w:w="1414" w:type="pct"/>
                  <w:noWrap/>
                  <w:vAlign w:val="top"/>
                </w:tcPr>
                <w:p w14:paraId="70B4958B">
                  <w:pPr>
                    <w:widowControl/>
                    <w:spacing w:line="276" w:lineRule="auto"/>
                    <w:jc w:val="center"/>
                    <w:rPr>
                      <w:rFonts w:hint="eastAsia" w:ascii="Times New Roman" w:hAnsi="Times New Roman" w:eastAsia="宋体" w:cs="Times New Roman"/>
                      <w:color w:val="auto"/>
                      <w:kern w:val="0"/>
                      <w:szCs w:val="21"/>
                      <w:lang w:val="en-US" w:eastAsia="zh-CN"/>
                    </w:rPr>
                  </w:pPr>
                </w:p>
              </w:tc>
              <w:tc>
                <w:tcPr>
                  <w:tcW w:w="939" w:type="pct"/>
                  <w:noWrap/>
                  <w:vAlign w:val="center"/>
                </w:tcPr>
                <w:p w14:paraId="3C2ACFB9">
                  <w:pPr>
                    <w:widowControl/>
                    <w:spacing w:line="276" w:lineRule="auto"/>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1套</w:t>
                  </w:r>
                </w:p>
              </w:tc>
              <w:tc>
                <w:tcPr>
                  <w:tcW w:w="1460" w:type="pct"/>
                  <w:noWrap/>
                  <w:vAlign w:val="center"/>
                </w:tcPr>
                <w:p w14:paraId="7FF0A590">
                  <w:pPr>
                    <w:widowControl/>
                    <w:spacing w:line="276" w:lineRule="auto"/>
                    <w:jc w:val="center"/>
                    <w:rPr>
                      <w:rFonts w:hint="eastAsia" w:ascii="Times New Roman" w:hAnsi="Times New Roman" w:eastAsia="宋体" w:cs="Times New Roman"/>
                      <w:color w:val="auto"/>
                      <w:kern w:val="0"/>
                      <w:szCs w:val="21"/>
                    </w:rPr>
                  </w:pPr>
                  <w:r>
                    <w:rPr>
                      <w:rFonts w:ascii="Helvetica" w:hAnsi="Helvetica" w:eastAsia="Helvetica" w:cs="Helvetica"/>
                      <w:i w:val="0"/>
                      <w:iCs w:val="0"/>
                      <w:caps w:val="0"/>
                      <w:color w:val="333333"/>
                      <w:spacing w:val="0"/>
                      <w:sz w:val="21"/>
                      <w:szCs w:val="21"/>
                      <w:shd w:val="clear" w:fill="FFFFFF"/>
                    </w:rPr>
                    <w:t>压裂</w:t>
                  </w:r>
                  <w:r>
                    <w:rPr>
                      <w:rFonts w:hint="eastAsia" w:ascii="Times New Roman" w:hAnsi="Times New Roman" w:eastAsia="宋体" w:cs="Times New Roman"/>
                      <w:color w:val="auto"/>
                      <w:kern w:val="0"/>
                      <w:szCs w:val="21"/>
                      <w:lang w:val="en-US" w:eastAsia="zh-CN"/>
                    </w:rPr>
                    <w:t>施工</w:t>
                  </w:r>
                </w:p>
              </w:tc>
            </w:tr>
            <w:tr w14:paraId="4A96E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49" w:type="pct"/>
                  <w:noWrap/>
                  <w:vAlign w:val="center"/>
                </w:tcPr>
                <w:p w14:paraId="3BC1F076">
                  <w:pPr>
                    <w:widowControl/>
                    <w:spacing w:line="276" w:lineRule="auto"/>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8</w:t>
                  </w:r>
                </w:p>
              </w:tc>
              <w:tc>
                <w:tcPr>
                  <w:tcW w:w="836" w:type="pct"/>
                  <w:shd w:val="clear" w:color="auto" w:fill="auto"/>
                  <w:noWrap/>
                  <w:vAlign w:val="center"/>
                </w:tcPr>
                <w:p w14:paraId="27EB6958">
                  <w:pPr>
                    <w:widowControl/>
                    <w:spacing w:line="276" w:lineRule="auto"/>
                    <w:jc w:val="center"/>
                    <w:rPr>
                      <w:rFonts w:ascii="Times New Roman" w:hAnsi="Times New Roman" w:eastAsia="宋体" w:cs="Times New Roman"/>
                      <w:color w:val="auto"/>
                      <w:kern w:val="0"/>
                      <w:sz w:val="21"/>
                      <w:szCs w:val="21"/>
                      <w:lang w:val="en-US" w:eastAsia="zh-CN" w:bidi="ar-SA"/>
                    </w:rPr>
                  </w:pPr>
                  <w:r>
                    <w:rPr>
                      <w:rFonts w:hint="eastAsia"/>
                      <w:color w:val="auto"/>
                      <w:highlight w:val="none"/>
                    </w:rPr>
                    <w:t>阀门</w:t>
                  </w:r>
                </w:p>
              </w:tc>
              <w:tc>
                <w:tcPr>
                  <w:tcW w:w="1414" w:type="pct"/>
                  <w:shd w:val="clear" w:color="auto" w:fill="auto"/>
                  <w:noWrap/>
                  <w:vAlign w:val="top"/>
                </w:tcPr>
                <w:p w14:paraId="71B4E2F9">
                  <w:pPr>
                    <w:widowControl/>
                    <w:spacing w:line="276"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939" w:type="pct"/>
                  <w:shd w:val="clear" w:color="auto" w:fill="auto"/>
                  <w:noWrap/>
                  <w:vAlign w:val="top"/>
                </w:tcPr>
                <w:p w14:paraId="7EDDF524">
                  <w:pPr>
                    <w:widowControl/>
                    <w:spacing w:line="276"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2个</w:t>
                  </w:r>
                </w:p>
              </w:tc>
              <w:tc>
                <w:tcPr>
                  <w:tcW w:w="1460" w:type="pct"/>
                  <w:vMerge w:val="restart"/>
                  <w:noWrap/>
                  <w:vAlign w:val="top"/>
                </w:tcPr>
                <w:p w14:paraId="3A7FD01B">
                  <w:pPr>
                    <w:widowControl/>
                    <w:spacing w:line="276" w:lineRule="auto"/>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排采施工</w:t>
                  </w:r>
                </w:p>
              </w:tc>
            </w:tr>
            <w:tr w14:paraId="4C255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9" w:type="pct"/>
                  <w:noWrap/>
                  <w:vAlign w:val="center"/>
                </w:tcPr>
                <w:p w14:paraId="03513078">
                  <w:pPr>
                    <w:widowControl/>
                    <w:spacing w:line="276" w:lineRule="auto"/>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9</w:t>
                  </w:r>
                </w:p>
              </w:tc>
              <w:tc>
                <w:tcPr>
                  <w:tcW w:w="836" w:type="pct"/>
                  <w:noWrap/>
                  <w:vAlign w:val="center"/>
                </w:tcPr>
                <w:p w14:paraId="41916DE6">
                  <w:pPr>
                    <w:widowControl/>
                    <w:spacing w:line="276" w:lineRule="auto"/>
                    <w:jc w:val="center"/>
                    <w:rPr>
                      <w:rFonts w:hint="eastAsia" w:ascii="Times New Roman" w:hAnsi="Times New Roman" w:eastAsia="宋体" w:cs="Times New Roman"/>
                      <w:color w:val="auto"/>
                      <w:kern w:val="0"/>
                      <w:szCs w:val="21"/>
                      <w:lang w:eastAsia="zh-CN"/>
                    </w:rPr>
                  </w:pPr>
                  <w:r>
                    <w:rPr>
                      <w:rFonts w:hint="eastAsia"/>
                      <w:color w:val="auto"/>
                      <w:highlight w:val="none"/>
                      <w:lang w:eastAsia="zh-CN"/>
                    </w:rPr>
                    <w:t>排采</w:t>
                  </w:r>
                  <w:r>
                    <w:rPr>
                      <w:rFonts w:hint="eastAsia"/>
                      <w:color w:val="auto"/>
                      <w:highlight w:val="none"/>
                    </w:rPr>
                    <w:t>自动化控制柜</w:t>
                  </w:r>
                </w:p>
              </w:tc>
              <w:tc>
                <w:tcPr>
                  <w:tcW w:w="1414" w:type="pct"/>
                  <w:noWrap/>
                  <w:vAlign w:val="top"/>
                </w:tcPr>
                <w:p w14:paraId="43E79BBB">
                  <w:pPr>
                    <w:widowControl/>
                    <w:spacing w:line="276" w:lineRule="auto"/>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939" w:type="pct"/>
                  <w:noWrap/>
                  <w:vAlign w:val="top"/>
                </w:tcPr>
                <w:p w14:paraId="50F8CF48">
                  <w:pPr>
                    <w:widowControl/>
                    <w:spacing w:line="276" w:lineRule="auto"/>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1套</w:t>
                  </w:r>
                </w:p>
              </w:tc>
              <w:tc>
                <w:tcPr>
                  <w:tcW w:w="1460" w:type="pct"/>
                  <w:vMerge w:val="continue"/>
                  <w:noWrap/>
                  <w:vAlign w:val="center"/>
                </w:tcPr>
                <w:p w14:paraId="46F18537">
                  <w:pPr>
                    <w:widowControl/>
                    <w:spacing w:line="276" w:lineRule="auto"/>
                    <w:jc w:val="both"/>
                    <w:rPr>
                      <w:rFonts w:hint="default" w:ascii="Times New Roman" w:hAnsi="Times New Roman" w:eastAsia="宋体" w:cs="Times New Roman"/>
                      <w:color w:val="auto"/>
                      <w:kern w:val="0"/>
                      <w:szCs w:val="21"/>
                      <w:lang w:val="en-US" w:eastAsia="zh-CN"/>
                    </w:rPr>
                  </w:pPr>
                </w:p>
              </w:tc>
            </w:tr>
            <w:tr w14:paraId="03EEC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9" w:type="pct"/>
                  <w:shd w:val="clear" w:color="auto" w:fill="auto"/>
                  <w:noWrap/>
                  <w:vAlign w:val="center"/>
                </w:tcPr>
                <w:p w14:paraId="73B3400D">
                  <w:pPr>
                    <w:widowControl/>
                    <w:spacing w:line="276"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10</w:t>
                  </w:r>
                </w:p>
              </w:tc>
              <w:tc>
                <w:tcPr>
                  <w:tcW w:w="836" w:type="pct"/>
                  <w:shd w:val="clear" w:color="auto" w:fill="auto"/>
                  <w:noWrap/>
                  <w:vAlign w:val="center"/>
                </w:tcPr>
                <w:p w14:paraId="60E26378">
                  <w:pPr>
                    <w:widowControl/>
                    <w:spacing w:line="276" w:lineRule="auto"/>
                    <w:jc w:val="center"/>
                    <w:rPr>
                      <w:rFonts w:hint="eastAsia" w:asciiTheme="minorHAnsi" w:hAnsiTheme="minorHAnsi" w:eastAsiaTheme="minorEastAsia" w:cstheme="minorBidi"/>
                      <w:color w:val="auto"/>
                      <w:kern w:val="2"/>
                      <w:sz w:val="21"/>
                      <w:szCs w:val="22"/>
                      <w:highlight w:val="none"/>
                      <w:lang w:val="en-US" w:eastAsia="zh-CN" w:bidi="ar-SA"/>
                    </w:rPr>
                  </w:pPr>
                  <w:r>
                    <w:rPr>
                      <w:rFonts w:hint="eastAsia"/>
                      <w:color w:val="auto"/>
                      <w:highlight w:val="none"/>
                      <w:lang w:bidi="ar"/>
                    </w:rPr>
                    <w:t>气液分离器</w:t>
                  </w:r>
                </w:p>
              </w:tc>
              <w:tc>
                <w:tcPr>
                  <w:tcW w:w="1414" w:type="pct"/>
                  <w:shd w:val="clear" w:color="auto" w:fill="auto"/>
                  <w:noWrap/>
                  <w:vAlign w:val="center"/>
                </w:tcPr>
                <w:p w14:paraId="4E780707">
                  <w:pPr>
                    <w:widowControl/>
                    <w:spacing w:line="276" w:lineRule="auto"/>
                    <w:jc w:val="center"/>
                    <w:rPr>
                      <w:rFonts w:hint="eastAsia" w:asciiTheme="minorHAnsi" w:hAnsiTheme="minorHAnsi" w:eastAsiaTheme="minorEastAsia" w:cstheme="minorBidi"/>
                      <w:color w:val="auto"/>
                      <w:kern w:val="2"/>
                      <w:sz w:val="21"/>
                      <w:szCs w:val="22"/>
                      <w:highlight w:val="none"/>
                      <w:lang w:val="en-US" w:eastAsia="zh-CN" w:bidi="ar"/>
                    </w:rPr>
                  </w:pPr>
                  <w:r>
                    <w:rPr>
                      <w:rFonts w:hint="eastAsia"/>
                      <w:color w:val="auto"/>
                      <w:highlight w:val="none"/>
                      <w:lang w:bidi="ar"/>
                    </w:rPr>
                    <w:t>挡板加旋风式</w:t>
                  </w:r>
                  <w:r>
                    <w:rPr>
                      <w:rFonts w:hint="eastAsia"/>
                      <w:color w:val="auto"/>
                      <w:highlight w:val="none"/>
                      <w:lang w:eastAsia="zh-CN" w:bidi="ar"/>
                    </w:rPr>
                    <w:t>，</w:t>
                  </w:r>
                  <w:r>
                    <w:rPr>
                      <w:rFonts w:hint="eastAsia"/>
                      <w:color w:val="auto"/>
                      <w:highlight w:val="none"/>
                      <w:lang w:bidi="ar"/>
                    </w:rPr>
                    <w:t>额定流量</w:t>
                  </w:r>
                  <w:r>
                    <w:rPr>
                      <w:rFonts w:hint="default"/>
                      <w:color w:val="auto"/>
                      <w:highlight w:val="none"/>
                      <w:lang w:val="en-US" w:bidi="ar"/>
                    </w:rPr>
                    <w:t>42</w:t>
                  </w:r>
                  <w:r>
                    <w:rPr>
                      <w:rFonts w:hint="eastAsia"/>
                      <w:color w:val="auto"/>
                      <w:highlight w:val="none"/>
                      <w:lang w:bidi="ar"/>
                    </w:rPr>
                    <w:t>0m³/h</w:t>
                  </w:r>
                </w:p>
              </w:tc>
              <w:tc>
                <w:tcPr>
                  <w:tcW w:w="939" w:type="pct"/>
                  <w:shd w:val="clear" w:color="auto" w:fill="auto"/>
                  <w:noWrap/>
                  <w:vAlign w:val="top"/>
                </w:tcPr>
                <w:p w14:paraId="0BC28B96">
                  <w:pPr>
                    <w:widowControl/>
                    <w:spacing w:line="276"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c>
                <w:tcPr>
                  <w:tcW w:w="1460" w:type="pct"/>
                  <w:vMerge w:val="continue"/>
                  <w:noWrap/>
                  <w:vAlign w:val="center"/>
                </w:tcPr>
                <w:p w14:paraId="1A11BB38">
                  <w:pPr>
                    <w:widowControl/>
                    <w:spacing w:line="276" w:lineRule="auto"/>
                    <w:jc w:val="both"/>
                    <w:rPr>
                      <w:rFonts w:hint="default" w:ascii="Times New Roman" w:hAnsi="Times New Roman" w:eastAsia="宋体" w:cs="Times New Roman"/>
                      <w:color w:val="auto"/>
                      <w:kern w:val="0"/>
                      <w:szCs w:val="21"/>
                      <w:lang w:val="en-US" w:eastAsia="zh-CN"/>
                    </w:rPr>
                  </w:pPr>
                </w:p>
              </w:tc>
            </w:tr>
            <w:tr w14:paraId="516FE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9" w:type="pct"/>
                  <w:shd w:val="clear" w:color="auto" w:fill="auto"/>
                  <w:noWrap/>
                  <w:vAlign w:val="center"/>
                </w:tcPr>
                <w:p w14:paraId="6AAFA1EE">
                  <w:pPr>
                    <w:widowControl/>
                    <w:spacing w:line="276"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11</w:t>
                  </w:r>
                </w:p>
              </w:tc>
              <w:tc>
                <w:tcPr>
                  <w:tcW w:w="836" w:type="pct"/>
                  <w:shd w:val="clear" w:color="auto" w:fill="auto"/>
                  <w:noWrap/>
                  <w:vAlign w:val="center"/>
                </w:tcPr>
                <w:p w14:paraId="00326DBB">
                  <w:pPr>
                    <w:widowControl/>
                    <w:spacing w:line="276" w:lineRule="auto"/>
                    <w:jc w:val="center"/>
                    <w:rPr>
                      <w:rFonts w:hint="eastAsia" w:asciiTheme="minorHAnsi" w:hAnsiTheme="minorHAnsi" w:eastAsiaTheme="minorEastAsia" w:cstheme="minorBidi"/>
                      <w:color w:val="auto"/>
                      <w:kern w:val="2"/>
                      <w:sz w:val="21"/>
                      <w:szCs w:val="22"/>
                      <w:highlight w:val="none"/>
                      <w:lang w:val="en-US" w:eastAsia="zh-CN" w:bidi="ar-SA"/>
                    </w:rPr>
                  </w:pPr>
                  <w:r>
                    <w:rPr>
                      <w:rFonts w:hint="eastAsia"/>
                      <w:color w:val="auto"/>
                      <w:highlight w:val="none"/>
                      <w:lang w:eastAsia="zh-CN"/>
                    </w:rPr>
                    <w:t>流量计</w:t>
                  </w:r>
                </w:p>
              </w:tc>
              <w:tc>
                <w:tcPr>
                  <w:tcW w:w="1414" w:type="pct"/>
                  <w:shd w:val="clear" w:color="auto" w:fill="auto"/>
                  <w:noWrap/>
                  <w:vAlign w:val="center"/>
                </w:tcPr>
                <w:p w14:paraId="02858C6A">
                  <w:pPr>
                    <w:widowControl/>
                    <w:spacing w:line="276"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highlight w:val="none"/>
                      <w:lang w:bidi="ar"/>
                    </w:rPr>
                    <w:t>流量</w:t>
                  </w:r>
                  <w:r>
                    <w:rPr>
                      <w:rFonts w:hint="default"/>
                      <w:color w:val="auto"/>
                      <w:highlight w:val="none"/>
                      <w:lang w:val="en-US" w:bidi="ar"/>
                    </w:rPr>
                    <w:t>150</w:t>
                  </w:r>
                  <w:r>
                    <w:rPr>
                      <w:rFonts w:hint="eastAsia"/>
                      <w:color w:val="auto"/>
                      <w:highlight w:val="none"/>
                      <w:lang w:val="en-US" w:eastAsia="zh-CN" w:bidi="ar"/>
                    </w:rPr>
                    <w:t>～1500</w:t>
                  </w:r>
                  <w:r>
                    <w:rPr>
                      <w:rFonts w:hint="eastAsia"/>
                      <w:color w:val="auto"/>
                      <w:highlight w:val="none"/>
                      <w:lang w:bidi="ar"/>
                    </w:rPr>
                    <w:t>m³/h</w:t>
                  </w:r>
                </w:p>
              </w:tc>
              <w:tc>
                <w:tcPr>
                  <w:tcW w:w="939" w:type="pct"/>
                  <w:shd w:val="clear" w:color="auto" w:fill="auto"/>
                  <w:noWrap/>
                  <w:vAlign w:val="top"/>
                </w:tcPr>
                <w:p w14:paraId="5AE71B43">
                  <w:pPr>
                    <w:widowControl/>
                    <w:spacing w:line="276"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3个</w:t>
                  </w:r>
                </w:p>
              </w:tc>
              <w:tc>
                <w:tcPr>
                  <w:tcW w:w="1460" w:type="pct"/>
                  <w:vMerge w:val="continue"/>
                  <w:noWrap/>
                  <w:vAlign w:val="center"/>
                </w:tcPr>
                <w:p w14:paraId="65169AC4">
                  <w:pPr>
                    <w:widowControl/>
                    <w:spacing w:line="276" w:lineRule="auto"/>
                    <w:jc w:val="both"/>
                    <w:rPr>
                      <w:rFonts w:hint="default" w:ascii="Times New Roman" w:hAnsi="Times New Roman" w:eastAsia="宋体" w:cs="Times New Roman"/>
                      <w:color w:val="auto"/>
                      <w:kern w:val="0"/>
                      <w:szCs w:val="21"/>
                      <w:lang w:val="en-US" w:eastAsia="zh-CN"/>
                    </w:rPr>
                  </w:pPr>
                </w:p>
              </w:tc>
            </w:tr>
            <w:tr w14:paraId="57F8F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9" w:type="pct"/>
                  <w:shd w:val="clear" w:color="auto" w:fill="auto"/>
                  <w:noWrap/>
                  <w:vAlign w:val="center"/>
                </w:tcPr>
                <w:p w14:paraId="2380A0E1">
                  <w:pPr>
                    <w:widowControl/>
                    <w:spacing w:line="276"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12</w:t>
                  </w:r>
                </w:p>
              </w:tc>
              <w:tc>
                <w:tcPr>
                  <w:tcW w:w="836" w:type="pct"/>
                  <w:shd w:val="clear" w:color="auto" w:fill="auto"/>
                  <w:noWrap/>
                  <w:vAlign w:val="center"/>
                </w:tcPr>
                <w:p w14:paraId="5AF02D65">
                  <w:pPr>
                    <w:widowControl/>
                    <w:spacing w:line="276" w:lineRule="auto"/>
                    <w:jc w:val="center"/>
                    <w:rPr>
                      <w:rFonts w:hint="eastAsia"/>
                      <w:color w:val="auto"/>
                      <w:highlight w:val="none"/>
                    </w:rPr>
                  </w:pPr>
                  <w:r>
                    <w:rPr>
                      <w:rFonts w:hint="eastAsia"/>
                      <w:color w:val="auto"/>
                      <w:highlight w:val="none"/>
                    </w:rPr>
                    <w:t>永磁潜油电机</w:t>
                  </w:r>
                </w:p>
              </w:tc>
              <w:tc>
                <w:tcPr>
                  <w:tcW w:w="1414" w:type="pct"/>
                  <w:shd w:val="clear" w:color="auto" w:fill="auto"/>
                  <w:noWrap/>
                  <w:vAlign w:val="center"/>
                </w:tcPr>
                <w:p w14:paraId="26FED238">
                  <w:pPr>
                    <w:widowControl/>
                    <w:spacing w:line="276"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939" w:type="pct"/>
                  <w:noWrap/>
                  <w:vAlign w:val="top"/>
                </w:tcPr>
                <w:p w14:paraId="06409942">
                  <w:pPr>
                    <w:widowControl/>
                    <w:spacing w:line="276"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c>
                <w:tcPr>
                  <w:tcW w:w="1460" w:type="pct"/>
                  <w:noWrap/>
                  <w:vAlign w:val="center"/>
                </w:tcPr>
                <w:p w14:paraId="5A3D6C64">
                  <w:pPr>
                    <w:widowControl/>
                    <w:spacing w:line="276" w:lineRule="auto"/>
                    <w:jc w:val="both"/>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eastAsia="zh-CN"/>
                    </w:rPr>
                    <w:t>排采施工，</w:t>
                  </w:r>
                  <w:r>
                    <w:rPr>
                      <w:rFonts w:hint="eastAsia" w:ascii="Times New Roman" w:hAnsi="Times New Roman" w:eastAsia="宋体" w:cs="Times New Roman"/>
                      <w:color w:val="auto"/>
                      <w:kern w:val="0"/>
                      <w:szCs w:val="21"/>
                      <w:lang w:val="en-US" w:eastAsia="zh-CN"/>
                    </w:rPr>
                    <w:t>布置于井下</w:t>
                  </w:r>
                </w:p>
              </w:tc>
            </w:tr>
            <w:tr w14:paraId="74A5BB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9" w:type="pct"/>
                  <w:shd w:val="clear" w:color="auto" w:fill="auto"/>
                  <w:noWrap/>
                  <w:vAlign w:val="center"/>
                </w:tcPr>
                <w:p w14:paraId="0790F21B">
                  <w:pPr>
                    <w:widowControl/>
                    <w:spacing w:line="276"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13</w:t>
                  </w:r>
                </w:p>
              </w:tc>
              <w:tc>
                <w:tcPr>
                  <w:tcW w:w="836" w:type="pct"/>
                  <w:shd w:val="clear" w:color="auto" w:fill="auto"/>
                  <w:noWrap/>
                  <w:vAlign w:val="center"/>
                </w:tcPr>
                <w:p w14:paraId="1E6CF92A">
                  <w:pPr>
                    <w:widowControl/>
                    <w:spacing w:line="276" w:lineRule="auto"/>
                    <w:jc w:val="center"/>
                    <w:rPr>
                      <w:rFonts w:hint="eastAsia"/>
                      <w:color w:val="auto"/>
                      <w:highlight w:val="none"/>
                    </w:rPr>
                  </w:pPr>
                  <w:r>
                    <w:rPr>
                      <w:rFonts w:hint="eastAsia"/>
                      <w:color w:val="auto"/>
                      <w:highlight w:val="none"/>
                    </w:rPr>
                    <w:t>螺杆泵</w:t>
                  </w:r>
                </w:p>
              </w:tc>
              <w:tc>
                <w:tcPr>
                  <w:tcW w:w="1414" w:type="pct"/>
                  <w:shd w:val="clear" w:color="auto" w:fill="auto"/>
                  <w:noWrap/>
                  <w:vAlign w:val="center"/>
                </w:tcPr>
                <w:p w14:paraId="0E76E1D0">
                  <w:pPr>
                    <w:widowControl/>
                    <w:spacing w:line="276"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939" w:type="pct"/>
                  <w:noWrap/>
                  <w:vAlign w:val="top"/>
                </w:tcPr>
                <w:p w14:paraId="334177DF">
                  <w:pPr>
                    <w:widowControl/>
                    <w:spacing w:line="276"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c>
                <w:tcPr>
                  <w:tcW w:w="1460" w:type="pct"/>
                  <w:noWrap/>
                  <w:vAlign w:val="center"/>
                </w:tcPr>
                <w:p w14:paraId="33825CBC">
                  <w:pPr>
                    <w:widowControl/>
                    <w:spacing w:line="276" w:lineRule="auto"/>
                    <w:jc w:val="both"/>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eastAsia="zh-CN"/>
                    </w:rPr>
                    <w:t>排采施工，</w:t>
                  </w:r>
                  <w:r>
                    <w:rPr>
                      <w:rFonts w:hint="eastAsia" w:ascii="Times New Roman" w:hAnsi="Times New Roman" w:eastAsia="宋体" w:cs="Times New Roman"/>
                      <w:color w:val="auto"/>
                      <w:kern w:val="0"/>
                      <w:szCs w:val="21"/>
                      <w:lang w:val="en-US" w:eastAsia="zh-CN"/>
                    </w:rPr>
                    <w:t>布置于井下</w:t>
                  </w:r>
                </w:p>
              </w:tc>
            </w:tr>
          </w:tbl>
          <w:p w14:paraId="08F1D481">
            <w:pPr>
              <w:spacing w:line="360" w:lineRule="auto"/>
              <w:rPr>
                <w:rFonts w:ascii="宋体" w:hAnsi="宋体" w:eastAsia="宋体" w:cs="宋体"/>
                <w:color w:val="auto"/>
                <w:kern w:val="0"/>
                <w:szCs w:val="21"/>
              </w:rPr>
            </w:pPr>
          </w:p>
        </w:tc>
      </w:tr>
    </w:tbl>
    <w:p w14:paraId="6D3B30B4">
      <w:pPr>
        <w:widowControl/>
        <w:spacing w:before="100" w:beforeAutospacing="1" w:after="100" w:afterAutospacing="1"/>
        <w:jc w:val="center"/>
        <w:outlineLvl w:val="0"/>
        <w:rPr>
          <w:rFonts w:ascii="宋体" w:hAnsi="宋体" w:eastAsia="仿宋_GB2312" w:cs="Times New Roman"/>
          <w:b/>
          <w:bCs/>
          <w:color w:val="FF0000"/>
          <w:kern w:val="0"/>
          <w:sz w:val="24"/>
          <w:szCs w:val="20"/>
        </w:rPr>
        <w:sectPr>
          <w:pgSz w:w="11906" w:h="16838"/>
          <w:pgMar w:top="1440" w:right="1911" w:bottom="1440" w:left="1797" w:header="851" w:footer="1077" w:gutter="0"/>
          <w:cols w:space="425" w:num="1"/>
          <w:docGrid w:type="lines" w:linePitch="312" w:charSpace="0"/>
        </w:sectPr>
      </w:pP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8084"/>
      </w:tblGrid>
      <w:tr w14:paraId="329CA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262" w:type="pct"/>
            <w:vAlign w:val="center"/>
          </w:tcPr>
          <w:p w14:paraId="38797FA1">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项目组成及规模</w:t>
            </w:r>
          </w:p>
        </w:tc>
        <w:tc>
          <w:tcPr>
            <w:tcW w:w="4737" w:type="pct"/>
            <w:vAlign w:val="center"/>
          </w:tcPr>
          <w:p w14:paraId="61A63B40">
            <w:pPr>
              <w:spacing w:line="360" w:lineRule="auto"/>
              <w:ind w:firstLine="482" w:firstLineChars="200"/>
              <w:rPr>
                <w:rFonts w:ascii="Times New Roman" w:hAnsi="宋体" w:eastAsia="宋体" w:cs="Times New Roman"/>
                <w:b/>
                <w:color w:val="auto"/>
                <w:sz w:val="24"/>
                <w:szCs w:val="24"/>
              </w:rPr>
            </w:pPr>
            <w:r>
              <w:rPr>
                <w:rFonts w:hint="eastAsia" w:ascii="Times New Roman" w:hAnsi="宋体" w:eastAsia="宋体" w:cs="Times New Roman"/>
                <w:b/>
                <w:color w:val="auto"/>
                <w:sz w:val="24"/>
                <w:szCs w:val="24"/>
              </w:rPr>
              <w:t>5、公用工程</w:t>
            </w:r>
          </w:p>
          <w:p w14:paraId="248EA3E4">
            <w:pPr>
              <w:spacing w:line="360" w:lineRule="auto"/>
              <w:ind w:firstLine="482" w:firstLineChars="200"/>
              <w:rPr>
                <w:rFonts w:ascii="Times New Roman" w:hAnsi="宋体" w:eastAsia="宋体" w:cs="Times New Roman"/>
                <w:b/>
                <w:color w:val="auto"/>
                <w:sz w:val="24"/>
                <w:szCs w:val="24"/>
              </w:rPr>
            </w:pPr>
            <w:r>
              <w:rPr>
                <w:rFonts w:hint="eastAsia" w:ascii="Times New Roman" w:hAnsi="宋体" w:eastAsia="宋体" w:cs="Times New Roman"/>
                <w:b/>
                <w:color w:val="auto"/>
                <w:sz w:val="24"/>
                <w:szCs w:val="24"/>
              </w:rPr>
              <w:t>（1）给</w:t>
            </w:r>
            <w:r>
              <w:rPr>
                <w:rFonts w:hint="eastAsia" w:ascii="Times New Roman" w:hAnsi="宋体" w:eastAsia="宋体" w:cs="Times New Roman"/>
                <w:b/>
                <w:color w:val="auto"/>
                <w:sz w:val="24"/>
                <w:szCs w:val="24"/>
                <w:lang w:eastAsia="zh-CN"/>
              </w:rPr>
              <w:t>排</w:t>
            </w:r>
            <w:r>
              <w:rPr>
                <w:rFonts w:hint="eastAsia" w:ascii="Times New Roman" w:hAnsi="宋体" w:eastAsia="宋体" w:cs="Times New Roman"/>
                <w:b/>
                <w:color w:val="auto"/>
                <w:sz w:val="24"/>
                <w:szCs w:val="24"/>
              </w:rPr>
              <w:t>水</w:t>
            </w:r>
          </w:p>
          <w:p w14:paraId="012720FF">
            <w:pPr>
              <w:spacing w:line="360" w:lineRule="auto"/>
              <w:ind w:firstLine="480" w:firstLineChars="200"/>
              <w:rPr>
                <w:rFonts w:hint="eastAsia" w:ascii="Times New Roman" w:hAnsi="宋体" w:eastAsia="宋体" w:cs="Times New Roman"/>
                <w:color w:val="auto"/>
                <w:sz w:val="24"/>
                <w:szCs w:val="24"/>
              </w:rPr>
            </w:pPr>
            <w:r>
              <w:rPr>
                <w:rFonts w:hint="eastAsia" w:ascii="Times New Roman" w:hAnsi="宋体" w:eastAsia="宋体" w:cs="Times New Roman"/>
                <w:color w:val="auto"/>
                <w:sz w:val="24"/>
                <w:szCs w:val="24"/>
              </w:rPr>
              <w:t>本项目</w:t>
            </w:r>
            <w:r>
              <w:rPr>
                <w:rFonts w:hint="eastAsia" w:ascii="Times New Roman" w:hAnsi="宋体" w:eastAsia="宋体" w:cs="Times New Roman"/>
                <w:color w:val="auto"/>
                <w:sz w:val="24"/>
                <w:szCs w:val="24"/>
                <w:lang w:eastAsia="zh-CN"/>
              </w:rPr>
              <w:t>施工期间用水</w:t>
            </w:r>
            <w:r>
              <w:rPr>
                <w:rFonts w:hint="eastAsia" w:ascii="Times New Roman" w:hAnsi="宋体" w:eastAsia="宋体" w:cs="Times New Roman"/>
                <w:color w:val="auto"/>
                <w:sz w:val="24"/>
                <w:szCs w:val="24"/>
              </w:rPr>
              <w:t>主要为钻井</w:t>
            </w:r>
            <w:r>
              <w:rPr>
                <w:rFonts w:hint="eastAsia" w:ascii="Times New Roman" w:hAnsi="宋体" w:eastAsia="宋体" w:cs="Times New Roman"/>
                <w:color w:val="auto"/>
                <w:sz w:val="24"/>
                <w:szCs w:val="24"/>
                <w:lang w:eastAsia="zh-CN"/>
              </w:rPr>
              <w:t>液配制</w:t>
            </w:r>
            <w:r>
              <w:rPr>
                <w:rFonts w:hint="eastAsia" w:ascii="Times New Roman" w:hAnsi="宋体" w:eastAsia="宋体" w:cs="Times New Roman"/>
                <w:color w:val="auto"/>
                <w:sz w:val="24"/>
                <w:szCs w:val="24"/>
              </w:rPr>
              <w:t>用水</w:t>
            </w:r>
            <w:r>
              <w:rPr>
                <w:rFonts w:hint="eastAsia" w:ascii="Times New Roman" w:hAnsi="宋体" w:eastAsia="宋体" w:cs="Times New Roman"/>
                <w:color w:val="auto"/>
                <w:sz w:val="24"/>
                <w:szCs w:val="24"/>
                <w:lang w:eastAsia="zh-CN"/>
              </w:rPr>
              <w:t>、水泥浆配置用水、</w:t>
            </w:r>
            <w:r>
              <w:rPr>
                <w:rFonts w:hint="eastAsia" w:ascii="Times New Roman" w:hAnsi="宋体" w:eastAsia="宋体" w:cs="Times New Roman"/>
                <w:color w:val="auto"/>
                <w:sz w:val="24"/>
                <w:szCs w:val="24"/>
                <w:lang w:val="en-US" w:eastAsia="zh-CN"/>
              </w:rPr>
              <w:t>压裂施工用水、冲砂用水、</w:t>
            </w:r>
            <w:r>
              <w:rPr>
                <w:rFonts w:hint="eastAsia" w:ascii="Times New Roman" w:hAnsi="宋体" w:eastAsia="宋体" w:cs="Times New Roman"/>
                <w:color w:val="auto"/>
                <w:sz w:val="24"/>
                <w:szCs w:val="24"/>
                <w:lang w:eastAsia="zh-CN"/>
              </w:rPr>
              <w:t>施工人员</w:t>
            </w:r>
            <w:r>
              <w:rPr>
                <w:rFonts w:hint="eastAsia" w:ascii="Times New Roman" w:hAnsi="宋体" w:eastAsia="宋体" w:cs="Times New Roman"/>
                <w:color w:val="auto"/>
                <w:sz w:val="24"/>
                <w:szCs w:val="24"/>
              </w:rPr>
              <w:t>生活用水。</w:t>
            </w:r>
            <w:r>
              <w:rPr>
                <w:rFonts w:hint="eastAsia" w:ascii="Times New Roman" w:hAnsi="宋体" w:eastAsia="宋体" w:cs="Times New Roman"/>
                <w:color w:val="auto"/>
                <w:sz w:val="24"/>
                <w:szCs w:val="24"/>
                <w:lang w:eastAsia="zh-CN"/>
              </w:rPr>
              <w:t>项目用水利用淮南潘一实业有限公司现有供水管网提供</w:t>
            </w:r>
            <w:r>
              <w:rPr>
                <w:rFonts w:hint="eastAsia" w:ascii="Times New Roman" w:hAnsi="宋体" w:eastAsia="宋体" w:cs="Times New Roman"/>
                <w:color w:val="auto"/>
                <w:sz w:val="24"/>
                <w:szCs w:val="24"/>
              </w:rPr>
              <w:t>。</w:t>
            </w:r>
          </w:p>
          <w:p w14:paraId="43971874">
            <w:pPr>
              <w:tabs>
                <w:tab w:val="left" w:pos="1755"/>
              </w:tabs>
              <w:spacing w:line="360" w:lineRule="auto"/>
              <w:ind w:firstLine="480" w:firstLineChars="200"/>
              <w:rPr>
                <w:rFonts w:hint="eastAsia" w:ascii="Times New Roman" w:hAnsi="宋体" w:eastAsia="宋体" w:cs="Times New Roman"/>
                <w:color w:val="auto"/>
                <w:sz w:val="24"/>
                <w:szCs w:val="24"/>
                <w:lang w:eastAsia="zh-CN"/>
              </w:rPr>
            </w:pPr>
            <w:r>
              <w:rPr>
                <w:rFonts w:hint="eastAsia" w:ascii="Times New Roman" w:hAnsi="宋体" w:eastAsia="宋体" w:cs="Times New Roman"/>
                <w:color w:val="auto"/>
                <w:sz w:val="24"/>
                <w:szCs w:val="24"/>
                <w:lang w:eastAsia="zh-CN"/>
              </w:rPr>
              <w:t>①钻</w:t>
            </w:r>
            <w:r>
              <w:rPr>
                <w:rFonts w:hint="eastAsia" w:ascii="Times New Roman" w:hAnsi="宋体" w:eastAsia="宋体" w:cs="Times New Roman"/>
                <w:color w:val="auto"/>
                <w:sz w:val="24"/>
                <w:szCs w:val="24"/>
                <w:highlight w:val="none"/>
                <w:lang w:eastAsia="zh-CN"/>
              </w:rPr>
              <w:t>井液（泥浆）配制用水：本项目钻井液使用水基钻井液，根据建设单位施工经验，每个钻孔总用水约为</w:t>
            </w:r>
            <w:r>
              <w:rPr>
                <w:rFonts w:hint="eastAsia" w:ascii="Times New Roman" w:hAnsi="宋体" w:eastAsia="宋体" w:cs="Times New Roman"/>
                <w:color w:val="auto"/>
                <w:sz w:val="24"/>
                <w:szCs w:val="24"/>
                <w:highlight w:val="none"/>
                <w:lang w:val="en-US" w:eastAsia="zh-CN"/>
              </w:rPr>
              <w:t>50</w:t>
            </w:r>
            <w:r>
              <w:rPr>
                <w:rFonts w:hint="eastAsia" w:ascii="Times New Roman" w:hAnsi="宋体" w:eastAsia="宋体" w:cs="Times New Roman"/>
                <w:color w:val="auto"/>
                <w:sz w:val="24"/>
                <w:szCs w:val="24"/>
                <w:highlight w:val="none"/>
                <w:lang w:eastAsia="zh-CN"/>
              </w:rPr>
              <w:t>m³，共</w:t>
            </w:r>
            <w:r>
              <w:rPr>
                <w:rFonts w:hint="eastAsia" w:ascii="Times New Roman" w:hAnsi="Times New Roman" w:eastAsia="宋体" w:cs="Times New Roman"/>
                <w:color w:val="auto"/>
                <w:sz w:val="24"/>
                <w:szCs w:val="24"/>
                <w:highlight w:val="none"/>
                <w:lang w:val="en-US" w:eastAsia="zh-CN"/>
              </w:rPr>
              <w:t>2</w:t>
            </w:r>
            <w:r>
              <w:rPr>
                <w:rFonts w:ascii="Times New Roman" w:hAnsi="Times New Roman" w:eastAsia="宋体" w:cs="Times New Roman"/>
                <w:color w:val="auto"/>
                <w:sz w:val="24"/>
                <w:szCs w:val="24"/>
                <w:highlight w:val="none"/>
              </w:rPr>
              <w:t>个钻孔，钻井总用水量</w:t>
            </w:r>
            <w:r>
              <w:rPr>
                <w:rFonts w:hint="eastAsia" w:ascii="Times New Roman" w:hAnsi="Times New Roman" w:eastAsia="宋体" w:cs="Times New Roman"/>
                <w:color w:val="auto"/>
                <w:sz w:val="24"/>
                <w:szCs w:val="24"/>
                <w:highlight w:val="none"/>
                <w:lang w:val="en-US" w:eastAsia="zh-CN"/>
              </w:rPr>
              <w:t>100</w:t>
            </w:r>
            <w:r>
              <w:rPr>
                <w:rFonts w:ascii="Times New Roman" w:hAnsi="Times New Roman" w:eastAsia="宋体" w:cs="Times New Roman"/>
                <w:color w:val="auto"/>
                <w:sz w:val="24"/>
                <w:szCs w:val="24"/>
                <w:highlight w:val="none"/>
              </w:rPr>
              <w:t>m³</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rPr>
              <w:t>项目钻孔</w:t>
            </w:r>
            <w:r>
              <w:rPr>
                <w:rFonts w:hint="eastAsia" w:ascii="Times New Roman" w:hAnsi="Times New Roman" w:eastAsia="宋体" w:cs="Times New Roman"/>
                <w:color w:val="auto"/>
                <w:sz w:val="24"/>
                <w:szCs w:val="24"/>
                <w:highlight w:val="none"/>
                <w:lang w:eastAsia="zh-CN"/>
              </w:rPr>
              <w:t>预计</w:t>
            </w:r>
            <w:r>
              <w:rPr>
                <w:rFonts w:ascii="Times New Roman" w:hAnsi="Times New Roman" w:eastAsia="宋体" w:cs="Times New Roman"/>
                <w:color w:val="auto"/>
                <w:sz w:val="24"/>
                <w:szCs w:val="24"/>
                <w:highlight w:val="none"/>
              </w:rPr>
              <w:t>施工</w:t>
            </w:r>
            <w:r>
              <w:rPr>
                <w:rFonts w:hint="eastAsia" w:ascii="Times New Roman" w:hAnsi="Times New Roman" w:eastAsia="宋体" w:cs="Times New Roman"/>
                <w:color w:val="auto"/>
                <w:sz w:val="24"/>
                <w:szCs w:val="24"/>
                <w:highlight w:val="none"/>
                <w:lang w:val="en-US" w:eastAsia="zh-CN"/>
              </w:rPr>
              <w:t>时间3个月即90天，</w:t>
            </w:r>
            <w:r>
              <w:rPr>
                <w:rFonts w:ascii="Times New Roman" w:hAnsi="Times New Roman" w:eastAsia="宋体" w:cs="Times New Roman"/>
                <w:color w:val="auto"/>
                <w:sz w:val="24"/>
                <w:szCs w:val="24"/>
                <w:highlight w:val="none"/>
              </w:rPr>
              <w:t>每天</w:t>
            </w:r>
            <w:r>
              <w:rPr>
                <w:rFonts w:hint="eastAsia" w:ascii="Times New Roman" w:hAnsi="宋体" w:eastAsia="宋体" w:cs="Times New Roman"/>
                <w:color w:val="auto"/>
                <w:sz w:val="24"/>
                <w:szCs w:val="24"/>
                <w:highlight w:val="none"/>
                <w:lang w:eastAsia="zh-CN"/>
              </w:rPr>
              <w:t>钻井液</w:t>
            </w:r>
            <w:r>
              <w:rPr>
                <w:rFonts w:ascii="Times New Roman" w:hAnsi="Times New Roman" w:eastAsia="宋体" w:cs="Times New Roman"/>
                <w:color w:val="auto"/>
                <w:sz w:val="24"/>
                <w:szCs w:val="24"/>
                <w:highlight w:val="none"/>
              </w:rPr>
              <w:t>用水</w:t>
            </w:r>
            <w:r>
              <w:rPr>
                <w:rFonts w:hint="eastAsia" w:ascii="Times New Roman" w:hAnsi="Times New Roman" w:eastAsia="宋体" w:cs="Times New Roman"/>
                <w:color w:val="auto"/>
                <w:sz w:val="24"/>
                <w:szCs w:val="24"/>
                <w:highlight w:val="none"/>
                <w:lang w:val="en-US" w:eastAsia="zh-CN"/>
              </w:rPr>
              <w:t>1.11</w:t>
            </w:r>
            <w:r>
              <w:rPr>
                <w:rFonts w:ascii="Times New Roman" w:hAnsi="Times New Roman" w:eastAsia="宋体" w:cs="Times New Roman"/>
                <w:color w:val="auto"/>
                <w:sz w:val="24"/>
                <w:szCs w:val="24"/>
                <w:highlight w:val="none"/>
              </w:rPr>
              <w:t>m³</w:t>
            </w:r>
            <w:r>
              <w:rPr>
                <w:rFonts w:hint="eastAsia" w:ascii="Times New Roman" w:hAnsi="Times New Roman" w:eastAsia="宋体" w:cs="Times New Roman"/>
                <w:color w:val="auto"/>
                <w:sz w:val="24"/>
                <w:szCs w:val="24"/>
                <w:highlight w:val="none"/>
                <w:lang w:eastAsia="zh-CN"/>
              </w:rPr>
              <w:t>，其中钻井消耗量约</w:t>
            </w:r>
            <w:bookmarkStart w:id="2" w:name="OLE_LINK6"/>
            <w:r>
              <w:rPr>
                <w:rFonts w:hint="eastAsia" w:ascii="Times New Roman" w:hAnsi="Times New Roman" w:eastAsia="宋体" w:cs="Times New Roman"/>
                <w:color w:val="auto"/>
                <w:sz w:val="24"/>
                <w:szCs w:val="24"/>
                <w:highlight w:val="none"/>
                <w:lang w:val="en-US" w:eastAsia="zh-CN"/>
              </w:rPr>
              <w:t>0.33</w:t>
            </w:r>
            <w:r>
              <w:rPr>
                <w:rFonts w:hint="eastAsia" w:ascii="Times New Roman" w:hAnsi="Times New Roman" w:eastAsia="宋体" w:cs="Times New Roman"/>
                <w:color w:val="auto"/>
                <w:sz w:val="24"/>
                <w:szCs w:val="24"/>
                <w:highlight w:val="none"/>
                <w:lang w:eastAsia="zh-CN"/>
              </w:rPr>
              <w:t>m</w:t>
            </w:r>
            <w:r>
              <w:rPr>
                <w:rFonts w:hint="eastAsia" w:ascii="Times New Roman" w:hAnsi="Times New Roman" w:eastAsia="宋体" w:cs="Times New Roman"/>
                <w:color w:val="auto"/>
                <w:sz w:val="24"/>
                <w:szCs w:val="24"/>
                <w:highlight w:val="none"/>
                <w:vertAlign w:val="superscript"/>
                <w:lang w:eastAsia="zh-CN"/>
              </w:rPr>
              <w:t>3</w:t>
            </w:r>
            <w:r>
              <w:rPr>
                <w:rFonts w:hint="eastAsia" w:ascii="Times New Roman" w:hAnsi="Times New Roman" w:eastAsia="宋体" w:cs="Times New Roman"/>
                <w:color w:val="auto"/>
                <w:sz w:val="24"/>
                <w:szCs w:val="24"/>
                <w:highlight w:val="none"/>
                <w:lang w:eastAsia="zh-CN"/>
              </w:rPr>
              <w:t>/d</w:t>
            </w:r>
            <w:bookmarkEnd w:id="2"/>
            <w:r>
              <w:rPr>
                <w:rFonts w:hint="eastAsia" w:ascii="Times New Roman" w:hAnsi="Times New Roman" w:eastAsia="宋体" w:cs="Times New Roman"/>
                <w:color w:val="auto"/>
                <w:sz w:val="24"/>
                <w:szCs w:val="24"/>
                <w:highlight w:val="none"/>
                <w:lang w:eastAsia="zh-CN"/>
              </w:rPr>
              <w:t>，循环水量约</w:t>
            </w:r>
            <w:r>
              <w:rPr>
                <w:rFonts w:hint="eastAsia" w:ascii="Times New Roman" w:hAnsi="Times New Roman" w:eastAsia="宋体" w:cs="Times New Roman"/>
                <w:color w:val="auto"/>
                <w:sz w:val="24"/>
                <w:szCs w:val="24"/>
                <w:highlight w:val="none"/>
                <w:lang w:val="en-US" w:eastAsia="zh-CN"/>
              </w:rPr>
              <w:t>0.78</w:t>
            </w:r>
            <w:r>
              <w:rPr>
                <w:rFonts w:hint="eastAsia" w:ascii="Times New Roman" w:hAnsi="Times New Roman" w:eastAsia="宋体" w:cs="Times New Roman"/>
                <w:color w:val="auto"/>
                <w:sz w:val="24"/>
                <w:szCs w:val="24"/>
                <w:highlight w:val="none"/>
                <w:lang w:eastAsia="zh-CN"/>
              </w:rPr>
              <w:t>m</w:t>
            </w:r>
            <w:r>
              <w:rPr>
                <w:rFonts w:hint="eastAsia" w:ascii="Times New Roman" w:hAnsi="Times New Roman" w:eastAsia="宋体" w:cs="Times New Roman"/>
                <w:color w:val="auto"/>
                <w:sz w:val="24"/>
                <w:szCs w:val="24"/>
                <w:highlight w:val="none"/>
                <w:vertAlign w:val="superscript"/>
                <w:lang w:eastAsia="zh-CN"/>
              </w:rPr>
              <w:t>3</w:t>
            </w:r>
            <w:r>
              <w:rPr>
                <w:rFonts w:hint="eastAsia" w:ascii="Times New Roman" w:hAnsi="Times New Roman" w:eastAsia="宋体" w:cs="Times New Roman"/>
                <w:color w:val="auto"/>
                <w:sz w:val="24"/>
                <w:szCs w:val="24"/>
                <w:highlight w:val="none"/>
                <w:lang w:eastAsia="zh-CN"/>
              </w:rPr>
              <w:t>/d。大部分</w:t>
            </w:r>
            <w:r>
              <w:rPr>
                <w:rFonts w:hint="eastAsia" w:ascii="Times New Roman" w:hAnsi="宋体" w:eastAsia="宋体" w:cs="Times New Roman"/>
                <w:color w:val="auto"/>
                <w:sz w:val="24"/>
                <w:szCs w:val="24"/>
                <w:highlight w:val="none"/>
                <w:lang w:eastAsia="zh-CN"/>
              </w:rPr>
              <w:t>钻井</w:t>
            </w:r>
            <w:r>
              <w:rPr>
                <w:rFonts w:hint="eastAsia" w:ascii="Times New Roman" w:hAnsi="宋体" w:eastAsia="宋体" w:cs="Times New Roman"/>
                <w:color w:val="auto"/>
                <w:sz w:val="24"/>
                <w:szCs w:val="24"/>
                <w:lang w:eastAsia="zh-CN"/>
              </w:rPr>
              <w:t>液</w:t>
            </w:r>
            <w:r>
              <w:rPr>
                <w:rFonts w:ascii="Times New Roman" w:hAnsi="宋体" w:eastAsia="宋体" w:cs="Times New Roman"/>
                <w:color w:val="auto"/>
                <w:sz w:val="24"/>
                <w:szCs w:val="24"/>
              </w:rPr>
              <w:t>经</w:t>
            </w:r>
            <w:r>
              <w:rPr>
                <w:rFonts w:hint="eastAsia" w:ascii="Times New Roman" w:hAnsi="宋体" w:eastAsia="宋体" w:cs="Times New Roman"/>
                <w:color w:val="auto"/>
                <w:sz w:val="24"/>
                <w:szCs w:val="24"/>
                <w:lang w:eastAsia="zh-CN"/>
              </w:rPr>
              <w:t>泥浆固控系统处理后回用于钻井，少部分因性能不合格而会被废弃进入废浆池中干化后作为固废处置，无钻井废水产生。</w:t>
            </w:r>
          </w:p>
          <w:p w14:paraId="61B97CEB">
            <w:pPr>
              <w:keepLines w:val="0"/>
              <w:pageBreakBefore w:val="0"/>
              <w:widowControl w:val="0"/>
              <w:kinsoku/>
              <w:wordWrap/>
              <w:topLinePunct w:val="0"/>
              <w:autoSpaceDE/>
              <w:autoSpaceDN/>
              <w:bidi w:val="0"/>
              <w:adjustRightInd/>
              <w:spacing w:line="360" w:lineRule="auto"/>
              <w:ind w:left="0" w:leftChars="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highlight w:val="none"/>
              </w:rPr>
              <w:t>②</w:t>
            </w:r>
            <w:r>
              <w:rPr>
                <w:rFonts w:hint="eastAsia" w:ascii="Times New Roman" w:hAnsi="宋体" w:eastAsia="宋体" w:cs="Times New Roman"/>
                <w:color w:val="auto"/>
                <w:sz w:val="24"/>
                <w:szCs w:val="24"/>
                <w:highlight w:val="none"/>
                <w:lang w:eastAsia="zh-CN"/>
              </w:rPr>
              <w:t>水泥浆配置用水</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本项目施工过程中下</w:t>
            </w:r>
            <w:r>
              <w:rPr>
                <w:rFonts w:hint="eastAsia" w:ascii="Times New Roman" w:hAnsi="Times New Roman" w:eastAsia="宋体" w:cs="Times New Roman"/>
                <w:color w:val="auto"/>
                <w:sz w:val="24"/>
                <w:szCs w:val="24"/>
              </w:rPr>
              <w:t>套管及</w:t>
            </w:r>
            <w:r>
              <w:rPr>
                <w:rFonts w:hint="eastAsia" w:ascii="Times New Roman" w:hAnsi="Times New Roman" w:eastAsia="宋体" w:cs="Times New Roman"/>
                <w:color w:val="auto"/>
                <w:sz w:val="24"/>
                <w:szCs w:val="24"/>
                <w:lang w:eastAsia="zh-CN"/>
              </w:rPr>
              <w:t>封孔</w:t>
            </w:r>
            <w:r>
              <w:rPr>
                <w:rFonts w:hint="eastAsia" w:ascii="Times New Roman" w:hAnsi="Times New Roman" w:eastAsia="宋体" w:cs="Times New Roman"/>
                <w:color w:val="auto"/>
                <w:sz w:val="24"/>
                <w:szCs w:val="24"/>
              </w:rPr>
              <w:t>用水泥浆封闭，</w:t>
            </w:r>
            <w:r>
              <w:rPr>
                <w:rFonts w:hint="eastAsia" w:ascii="Times New Roman" w:hAnsi="Times New Roman" w:eastAsia="宋体" w:cs="Times New Roman"/>
                <w:color w:val="auto"/>
                <w:sz w:val="24"/>
                <w:szCs w:val="24"/>
                <w:lang w:eastAsia="zh-CN"/>
              </w:rPr>
              <w:t>按</w:t>
            </w:r>
            <w:r>
              <w:rPr>
                <w:rFonts w:hint="eastAsia" w:ascii="Times New Roman" w:hAnsi="Times New Roman" w:eastAsia="宋体" w:cs="Times New Roman"/>
                <w:color w:val="auto"/>
                <w:sz w:val="24"/>
                <w:szCs w:val="24"/>
              </w:rPr>
              <w:t>0.6:1的水灰比配制水泥浆，</w:t>
            </w:r>
            <w:r>
              <w:rPr>
                <w:rFonts w:hint="eastAsia" w:ascii="Times New Roman" w:hAnsi="Times New Roman" w:eastAsia="宋体" w:cs="Times New Roman"/>
                <w:color w:val="auto"/>
                <w:sz w:val="24"/>
                <w:szCs w:val="24"/>
                <w:lang w:eastAsia="zh-CN"/>
              </w:rPr>
              <w:t>本项目总计用水泥量用</w:t>
            </w:r>
            <w:r>
              <w:rPr>
                <w:rFonts w:hint="eastAsia" w:ascii="Times New Roman" w:hAnsi="Times New Roman" w:eastAsia="宋体" w:cs="Times New Roman"/>
                <w:color w:val="auto"/>
                <w:sz w:val="24"/>
                <w:szCs w:val="24"/>
                <w:lang w:val="en-US" w:eastAsia="zh-CN"/>
              </w:rPr>
              <w:t>100t，</w:t>
            </w:r>
            <w:r>
              <w:rPr>
                <w:rFonts w:hint="eastAsia" w:ascii="Times New Roman" w:hAnsi="Times New Roman" w:eastAsia="宋体" w:cs="Times New Roman"/>
                <w:color w:val="auto"/>
                <w:sz w:val="24"/>
                <w:szCs w:val="24"/>
                <w:lang w:eastAsia="zh-CN"/>
              </w:rPr>
              <w:t>水泥</w:t>
            </w:r>
            <w:r>
              <w:rPr>
                <w:rFonts w:hint="eastAsia" w:ascii="Times New Roman" w:hAnsi="宋体" w:eastAsia="宋体" w:cs="Times New Roman"/>
                <w:color w:val="auto"/>
                <w:sz w:val="24"/>
                <w:szCs w:val="24"/>
                <w:lang w:eastAsia="zh-CN"/>
              </w:rPr>
              <w:t>浆配置用水约为</w:t>
            </w:r>
            <w:r>
              <w:rPr>
                <w:rFonts w:hint="eastAsia" w:ascii="Times New Roman" w:hAnsi="宋体" w:eastAsia="宋体" w:cs="Times New Roman"/>
                <w:color w:val="auto"/>
                <w:sz w:val="24"/>
                <w:szCs w:val="24"/>
                <w:lang w:val="en-US" w:eastAsia="zh-CN"/>
              </w:rPr>
              <w:t>60吨，0.6</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/d。</w:t>
            </w:r>
          </w:p>
          <w:p w14:paraId="24F7A7A0">
            <w:pPr>
              <w:pStyle w:val="2"/>
              <w:keepLines w:val="0"/>
              <w:pageBreakBefore w:val="0"/>
              <w:widowControl w:val="0"/>
              <w:kinsoku/>
              <w:wordWrap/>
              <w:topLinePunct w:val="0"/>
              <w:autoSpaceDE/>
              <w:autoSpaceDN/>
              <w:bidi w:val="0"/>
              <w:adjustRightInd/>
              <w:spacing w:before="0" w:after="0" w:line="360" w:lineRule="auto"/>
              <w:ind w:left="0" w:leftChars="0" w:firstLine="408" w:firstLineChars="170"/>
              <w:textAlignment w:val="auto"/>
              <w:rPr>
                <w:rFonts w:hint="eastAsia" w:ascii="Times New Roman" w:hAnsi="宋体" w:eastAsia="宋体" w:cs="Times New Roman"/>
                <w:b w:val="0"/>
                <w:bCs w:val="0"/>
                <w:color w:val="auto"/>
                <w:kern w:val="2"/>
                <w:sz w:val="24"/>
                <w:szCs w:val="24"/>
                <w:lang w:val="en-US" w:eastAsia="zh-CN" w:bidi="ar-SA"/>
              </w:rPr>
            </w:pPr>
            <w:r>
              <w:rPr>
                <w:rFonts w:hint="eastAsia" w:ascii="Times New Roman" w:hAnsi="宋体" w:eastAsia="宋体" w:cs="Times New Roman"/>
                <w:b w:val="0"/>
                <w:bCs w:val="0"/>
                <w:color w:val="auto"/>
                <w:kern w:val="2"/>
                <w:sz w:val="24"/>
                <w:szCs w:val="24"/>
                <w:lang w:val="en-US" w:eastAsia="zh-CN" w:bidi="ar-SA"/>
              </w:rPr>
              <w:t>③定向钻施工用水：定向钻施工过程中使用水基泥浆进行润滑、降温、护臂等，泥浆循环使用。根据建设单位提供数据，定向钻施工过程中</w:t>
            </w:r>
            <w:r>
              <w:rPr>
                <w:rFonts w:hint="eastAsia" w:hAnsi="宋体" w:eastAsia="宋体" w:cs="Times New Roman"/>
                <w:b w:val="0"/>
                <w:bCs w:val="0"/>
                <w:color w:val="auto"/>
                <w:kern w:val="2"/>
                <w:sz w:val="24"/>
                <w:szCs w:val="24"/>
                <w:lang w:val="en-US" w:eastAsia="zh-CN" w:bidi="ar-SA"/>
              </w:rPr>
              <w:t>总</w:t>
            </w:r>
            <w:r>
              <w:rPr>
                <w:rFonts w:hint="eastAsia" w:ascii="Times New Roman" w:hAnsi="宋体" w:eastAsia="宋体" w:cs="Times New Roman"/>
                <w:b w:val="0"/>
                <w:bCs w:val="0"/>
                <w:color w:val="auto"/>
                <w:kern w:val="2"/>
                <w:sz w:val="24"/>
                <w:szCs w:val="24"/>
                <w:lang w:val="en-US" w:eastAsia="zh-CN" w:bidi="ar-SA"/>
              </w:rPr>
              <w:t>用水量约为30m³，</w:t>
            </w:r>
            <w:r>
              <w:rPr>
                <w:rFonts w:hint="eastAsia" w:hAnsi="宋体" w:eastAsia="宋体" w:cs="Times New Roman"/>
                <w:b w:val="0"/>
                <w:bCs w:val="0"/>
                <w:color w:val="auto"/>
                <w:kern w:val="2"/>
                <w:sz w:val="24"/>
                <w:szCs w:val="24"/>
                <w:lang w:val="en-US" w:eastAsia="zh-CN" w:bidi="ar-SA"/>
              </w:rPr>
              <w:t>定向钻施工工期20天，1.5</w:t>
            </w:r>
            <w:r>
              <w:rPr>
                <w:rFonts w:hint="eastAsia" w:ascii="Times New Roman" w:hAnsi="宋体" w:eastAsia="宋体" w:cs="Times New Roman"/>
                <w:b w:val="0"/>
                <w:bCs w:val="0"/>
                <w:color w:val="auto"/>
                <w:kern w:val="2"/>
                <w:sz w:val="24"/>
                <w:szCs w:val="24"/>
                <w:lang w:val="en-US" w:eastAsia="zh-CN" w:bidi="ar-SA"/>
              </w:rPr>
              <w:t>m³</w:t>
            </w:r>
            <w:r>
              <w:rPr>
                <w:rFonts w:hint="eastAsia" w:hAnsi="宋体" w:eastAsia="宋体" w:cs="Times New Roman"/>
                <w:b w:val="0"/>
                <w:bCs w:val="0"/>
                <w:color w:val="auto"/>
                <w:kern w:val="2"/>
                <w:sz w:val="24"/>
                <w:szCs w:val="24"/>
                <w:lang w:val="en-US" w:eastAsia="zh-CN" w:bidi="ar-SA"/>
              </w:rPr>
              <w:t>/d，</w:t>
            </w:r>
            <w:r>
              <w:rPr>
                <w:rFonts w:hint="eastAsia" w:ascii="Times New Roman" w:hAnsi="宋体" w:eastAsia="宋体" w:cs="Times New Roman"/>
                <w:b w:val="0"/>
                <w:bCs w:val="0"/>
                <w:color w:val="auto"/>
                <w:kern w:val="2"/>
                <w:sz w:val="24"/>
                <w:szCs w:val="24"/>
                <w:lang w:val="en-US" w:eastAsia="zh-CN" w:bidi="ar-SA"/>
              </w:rPr>
              <w:t>大部分约80%随着钻孔施工进入地层，少量约20%施工完成后的泥浆水分自然蒸发后固体份原地进行场地整平。</w:t>
            </w:r>
          </w:p>
          <w:p w14:paraId="627D8573">
            <w:pPr>
              <w:keepLines w:val="0"/>
              <w:pageBreakBefore w:val="0"/>
              <w:widowControl w:val="0"/>
              <w:kinsoku/>
              <w:wordWrap/>
              <w:topLinePunct w:val="0"/>
              <w:autoSpaceDE/>
              <w:autoSpaceDN/>
              <w:bidi w:val="0"/>
              <w:adjustRightInd/>
              <w:spacing w:line="360" w:lineRule="auto"/>
              <w:ind w:left="0" w:leftChars="0" w:firstLine="408" w:firstLineChars="170"/>
              <w:textAlignment w:val="auto"/>
              <w:rPr>
                <w:rFonts w:hint="eastAsia" w:ascii="Times New Roman" w:hAnsi="宋体" w:eastAsia="宋体" w:cs="Times New Roman"/>
                <w:color w:val="auto"/>
                <w:sz w:val="24"/>
                <w:szCs w:val="24"/>
                <w:lang w:val="en-US" w:eastAsia="zh-CN"/>
              </w:rPr>
            </w:pPr>
            <w:r>
              <w:rPr>
                <w:rFonts w:hint="eastAsia" w:ascii="Times New Roman" w:hAnsi="宋体" w:eastAsia="宋体" w:cs="Times New Roman"/>
                <w:b w:val="0"/>
                <w:bCs w:val="0"/>
                <w:color w:val="auto"/>
                <w:kern w:val="2"/>
                <w:sz w:val="24"/>
                <w:szCs w:val="24"/>
                <w:lang w:val="en-US" w:eastAsia="zh-CN" w:bidi="ar-SA"/>
              </w:rPr>
              <w:t>④压裂施工用水</w:t>
            </w:r>
            <w:r>
              <w:rPr>
                <w:rFonts w:hint="eastAsia" w:ascii="Times New Roman" w:hAnsi="宋体" w:eastAsia="宋体" w:cs="Times New Roman"/>
                <w:color w:val="auto"/>
                <w:sz w:val="24"/>
                <w:szCs w:val="24"/>
                <w:lang w:val="en-US" w:eastAsia="zh-CN"/>
              </w:rPr>
              <w:t>：项目</w:t>
            </w:r>
            <w:r>
              <w:rPr>
                <w:rFonts w:hint="eastAsia" w:ascii="Times New Roman" w:hAnsi="宋体" w:eastAsia="宋体" w:cs="Times New Roman"/>
                <w:color w:val="auto"/>
                <w:sz w:val="24"/>
                <w:szCs w:val="24"/>
              </w:rPr>
              <w:t>压裂液选用活性水压裂液</w:t>
            </w:r>
            <w:r>
              <w:rPr>
                <w:rFonts w:hint="eastAsia" w:ascii="Times New Roman" w:hAnsi="宋体" w:eastAsia="宋体" w:cs="Times New Roman"/>
                <w:color w:val="auto"/>
                <w:sz w:val="24"/>
                <w:szCs w:val="24"/>
                <w:lang w:eastAsia="zh-CN"/>
              </w:rPr>
              <w:t>，根据建设单位提供数据，每个钻孔压裂过程中用水量为</w:t>
            </w:r>
            <w:r>
              <w:rPr>
                <w:rFonts w:hint="default" w:ascii="Times New Roman" w:hAnsi="宋体" w:eastAsia="宋体" w:cs="Times New Roman"/>
                <w:color w:val="auto"/>
                <w:sz w:val="24"/>
                <w:szCs w:val="24"/>
                <w:lang w:val="en-US" w:eastAsia="zh-CN"/>
              </w:rPr>
              <w:t>10m</w:t>
            </w:r>
            <w:r>
              <w:rPr>
                <w:rFonts w:hint="default" w:ascii="Times New Roman" w:hAnsi="宋体" w:eastAsia="宋体" w:cs="Times New Roman"/>
                <w:color w:val="auto"/>
                <w:sz w:val="24"/>
                <w:szCs w:val="24"/>
                <w:vertAlign w:val="superscript"/>
                <w:lang w:val="en-US" w:eastAsia="zh-CN"/>
              </w:rPr>
              <w:t>3</w:t>
            </w:r>
            <w:r>
              <w:rPr>
                <w:rFonts w:hint="default" w:ascii="Times New Roman" w:hAnsi="宋体" w:eastAsia="宋体" w:cs="Times New Roman"/>
                <w:color w:val="auto"/>
                <w:sz w:val="24"/>
                <w:szCs w:val="24"/>
                <w:lang w:val="en-US" w:eastAsia="zh-CN"/>
              </w:rPr>
              <w:t xml:space="preserve"> /d</w:t>
            </w:r>
            <w:r>
              <w:rPr>
                <w:rFonts w:hint="eastAsia" w:ascii="Times New Roman" w:hAnsi="宋体" w:eastAsia="宋体" w:cs="Times New Roman"/>
                <w:color w:val="auto"/>
                <w:sz w:val="24"/>
                <w:szCs w:val="24"/>
                <w:lang w:val="en-US" w:eastAsia="zh-CN"/>
              </w:rPr>
              <w:t>，压裂工期15天，本项目施工两个钻孔，因此压裂施工用水量为20</w:t>
            </w:r>
            <w:r>
              <w:rPr>
                <w:rFonts w:hint="default" w:ascii="Times New Roman" w:hAnsi="宋体" w:eastAsia="宋体" w:cs="Times New Roman"/>
                <w:color w:val="auto"/>
                <w:sz w:val="24"/>
                <w:szCs w:val="24"/>
                <w:lang w:val="en-US" w:eastAsia="zh-CN"/>
              </w:rPr>
              <w:t>m</w:t>
            </w:r>
            <w:r>
              <w:rPr>
                <w:rFonts w:hint="default" w:ascii="Times New Roman" w:hAnsi="宋体" w:eastAsia="宋体" w:cs="Times New Roman"/>
                <w:color w:val="auto"/>
                <w:sz w:val="24"/>
                <w:szCs w:val="24"/>
                <w:vertAlign w:val="superscript"/>
                <w:lang w:val="en-US" w:eastAsia="zh-CN"/>
              </w:rPr>
              <w:t>3</w:t>
            </w:r>
            <w:r>
              <w:rPr>
                <w:rFonts w:hint="default" w:ascii="Times New Roman" w:hAnsi="宋体" w:eastAsia="宋体" w:cs="Times New Roman"/>
                <w:color w:val="auto"/>
                <w:sz w:val="24"/>
                <w:szCs w:val="24"/>
                <w:lang w:val="en-US" w:eastAsia="zh-CN"/>
              </w:rPr>
              <w:t xml:space="preserve"> /d</w:t>
            </w:r>
            <w:r>
              <w:rPr>
                <w:rFonts w:hint="eastAsia" w:ascii="Times New Roman" w:hAnsi="宋体" w:eastAsia="宋体" w:cs="Times New Roman"/>
                <w:color w:val="auto"/>
                <w:sz w:val="24"/>
                <w:szCs w:val="24"/>
                <w:lang w:val="en-US" w:eastAsia="zh-CN"/>
              </w:rPr>
              <w:t>，项目压裂工序总用水量为300</w:t>
            </w:r>
            <w:r>
              <w:rPr>
                <w:rFonts w:hint="default" w:ascii="Times New Roman" w:hAnsi="宋体" w:eastAsia="宋体" w:cs="Times New Roman"/>
                <w:color w:val="auto"/>
                <w:sz w:val="24"/>
                <w:szCs w:val="24"/>
                <w:lang w:val="en-US" w:eastAsia="zh-CN"/>
              </w:rPr>
              <w:t>m</w:t>
            </w:r>
            <w:r>
              <w:rPr>
                <w:rFonts w:hint="default" w:ascii="Times New Roman" w:hAnsi="宋体" w:eastAsia="宋体" w:cs="Times New Roman"/>
                <w:color w:val="auto"/>
                <w:sz w:val="24"/>
                <w:szCs w:val="24"/>
                <w:vertAlign w:val="superscript"/>
                <w:lang w:val="en-US" w:eastAsia="zh-CN"/>
              </w:rPr>
              <w:t>3</w:t>
            </w:r>
            <w:r>
              <w:rPr>
                <w:rFonts w:hint="eastAsia" w:ascii="Times New Roman" w:hAnsi="宋体" w:eastAsia="宋体" w:cs="Times New Roman"/>
                <w:color w:val="auto"/>
                <w:sz w:val="24"/>
                <w:szCs w:val="24"/>
                <w:lang w:val="en-US" w:eastAsia="zh-CN"/>
              </w:rPr>
              <w:t>。</w:t>
            </w:r>
          </w:p>
          <w:p w14:paraId="0B74F456">
            <w:pPr>
              <w:keepNext w:val="0"/>
              <w:keepLines w:val="0"/>
              <w:widowControl/>
              <w:suppressLineNumbers w:val="0"/>
              <w:spacing w:line="360" w:lineRule="auto"/>
              <w:ind w:firstLine="480" w:firstLineChars="200"/>
              <w:jc w:val="left"/>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⑤冲砂用水：项目正常排采前冲砂过程采用清水反洗冲砂至人工井底，冲到井底后则充分循环洗井，直至进出口水质一致或出口含砂量小于</w:t>
            </w:r>
            <w:r>
              <w:rPr>
                <w:rFonts w:hint="default" w:ascii="Times New Roman" w:hAnsi="宋体" w:eastAsia="宋体" w:cs="Times New Roman"/>
                <w:color w:val="auto"/>
                <w:sz w:val="24"/>
                <w:szCs w:val="24"/>
                <w:lang w:val="en-US" w:eastAsia="zh-CN"/>
              </w:rPr>
              <w:t>0.2%</w:t>
            </w:r>
            <w:r>
              <w:rPr>
                <w:rFonts w:hint="eastAsia" w:ascii="Times New Roman" w:hAnsi="宋体" w:eastAsia="宋体" w:cs="Times New Roman"/>
                <w:color w:val="auto"/>
                <w:sz w:val="24"/>
                <w:szCs w:val="24"/>
                <w:lang w:val="en-US" w:eastAsia="zh-CN"/>
              </w:rPr>
              <w:t>时则停泵，起出冲砂管柱完成冲砂工序。冲砂废水循环回用于冲砂工序，不外排。钻孔冲砂用水为</w:t>
            </w:r>
            <w:r>
              <w:rPr>
                <w:rFonts w:hint="default" w:ascii="Times New Roman" w:hAnsi="宋体" w:eastAsia="宋体" w:cs="Times New Roman"/>
                <w:color w:val="auto"/>
                <w:sz w:val="24"/>
                <w:szCs w:val="24"/>
                <w:lang w:val="en-US" w:eastAsia="zh-CN"/>
              </w:rPr>
              <w:t>5m</w:t>
            </w:r>
            <w:r>
              <w:rPr>
                <w:rFonts w:hint="default" w:ascii="Times New Roman" w:hAnsi="宋体" w:eastAsia="宋体" w:cs="Times New Roman"/>
                <w:color w:val="auto"/>
                <w:sz w:val="24"/>
                <w:szCs w:val="24"/>
                <w:vertAlign w:val="superscript"/>
                <w:lang w:val="en-US" w:eastAsia="zh-CN"/>
              </w:rPr>
              <w:t xml:space="preserve">3 </w:t>
            </w:r>
            <w:r>
              <w:rPr>
                <w:rFonts w:hint="default" w:ascii="Times New Roman" w:hAnsi="宋体" w:eastAsia="宋体" w:cs="Times New Roman"/>
                <w:color w:val="auto"/>
                <w:sz w:val="24"/>
                <w:szCs w:val="24"/>
                <w:lang w:val="en-US" w:eastAsia="zh-CN"/>
              </w:rPr>
              <w:t>/d</w:t>
            </w:r>
            <w:r>
              <w:rPr>
                <w:rFonts w:hint="eastAsia" w:ascii="Times New Roman" w:hAnsi="宋体" w:eastAsia="宋体" w:cs="Times New Roman"/>
                <w:color w:val="auto"/>
                <w:sz w:val="24"/>
                <w:szCs w:val="24"/>
                <w:lang w:val="en-US" w:eastAsia="zh-CN"/>
              </w:rPr>
              <w:t>，冲砂工序时间为2天，冲砂过程总用水量为10</w:t>
            </w:r>
            <w:r>
              <w:rPr>
                <w:rFonts w:hint="default" w:ascii="Times New Roman" w:hAnsi="宋体" w:eastAsia="宋体" w:cs="Times New Roman"/>
                <w:color w:val="auto"/>
                <w:sz w:val="24"/>
                <w:szCs w:val="24"/>
                <w:lang w:val="en-US" w:eastAsia="zh-CN"/>
              </w:rPr>
              <w:t>m</w:t>
            </w:r>
            <w:r>
              <w:rPr>
                <w:rFonts w:hint="default" w:ascii="Times New Roman" w:hAnsi="宋体" w:eastAsia="宋体" w:cs="Times New Roman"/>
                <w:color w:val="auto"/>
                <w:sz w:val="24"/>
                <w:szCs w:val="24"/>
                <w:vertAlign w:val="superscript"/>
                <w:lang w:val="en-US" w:eastAsia="zh-CN"/>
              </w:rPr>
              <w:t>3</w:t>
            </w:r>
            <w:r>
              <w:rPr>
                <w:rFonts w:hint="eastAsia" w:ascii="Times New Roman" w:hAnsi="宋体" w:eastAsia="宋体" w:cs="Times New Roman"/>
                <w:color w:val="auto"/>
                <w:sz w:val="24"/>
                <w:szCs w:val="24"/>
                <w:lang w:val="en-US" w:eastAsia="zh-CN"/>
              </w:rPr>
              <w:t>。冲砂用水在使用过程中每日损耗量为20%，即1m</w:t>
            </w:r>
            <w:r>
              <w:rPr>
                <w:rFonts w:hint="eastAsia" w:ascii="Times New Roman" w:hAnsi="宋体" w:eastAsia="宋体" w:cs="Times New Roman"/>
                <w:color w:val="auto"/>
                <w:sz w:val="24"/>
                <w:szCs w:val="24"/>
                <w:vertAlign w:val="superscript"/>
                <w:lang w:val="en-US" w:eastAsia="zh-CN"/>
              </w:rPr>
              <w:t>3</w:t>
            </w:r>
            <w:r>
              <w:rPr>
                <w:rFonts w:hint="eastAsia" w:ascii="Times New Roman" w:hAnsi="宋体" w:eastAsia="宋体" w:cs="Times New Roman"/>
                <w:color w:val="auto"/>
                <w:sz w:val="24"/>
                <w:szCs w:val="24"/>
                <w:lang w:val="en-US" w:eastAsia="zh-CN"/>
              </w:rPr>
              <w:t>。</w:t>
            </w:r>
          </w:p>
          <w:p w14:paraId="7DEFC571">
            <w:pPr>
              <w:keepNext w:val="0"/>
              <w:keepLines w:val="0"/>
              <w:widowControl/>
              <w:suppressLineNumbers w:val="0"/>
              <w:spacing w:line="360" w:lineRule="auto"/>
              <w:ind w:firstLine="480" w:firstLineChars="200"/>
              <w:jc w:val="left"/>
            </w:pPr>
            <w:r>
              <w:rPr>
                <w:rFonts w:hint="eastAsia" w:ascii="Times New Roman" w:hAnsi="宋体" w:eastAsia="宋体" w:cs="Times New Roman"/>
                <w:color w:val="auto"/>
                <w:sz w:val="24"/>
                <w:szCs w:val="24"/>
                <w:lang w:val="en-US" w:eastAsia="zh-CN"/>
              </w:rPr>
              <w:t>⑥</w:t>
            </w:r>
            <w:r>
              <w:rPr>
                <w:rFonts w:hint="eastAsia" w:ascii="宋体" w:hAnsi="宋体" w:eastAsia="宋体" w:cs="宋体"/>
                <w:color w:val="000000"/>
                <w:kern w:val="0"/>
                <w:sz w:val="24"/>
                <w:szCs w:val="24"/>
                <w:lang w:val="en-US" w:eastAsia="zh-CN" w:bidi="ar"/>
              </w:rPr>
              <w:t xml:space="preserve">清管、试压废水 </w:t>
            </w:r>
          </w:p>
          <w:p w14:paraId="56CB720C">
            <w:pPr>
              <w:keepLines w:val="0"/>
              <w:pageBreakBefore w:val="0"/>
              <w:widowControl w:val="0"/>
              <w:kinsoku/>
              <w:wordWrap/>
              <w:topLinePunct w:val="0"/>
              <w:autoSpaceDE/>
              <w:autoSpaceDN/>
              <w:bidi w:val="0"/>
              <w:adjustRightInd/>
              <w:spacing w:line="360" w:lineRule="auto"/>
              <w:ind w:left="0" w:leftChars="0" w:firstLine="408" w:firstLineChars="170"/>
              <w:textAlignment w:val="auto"/>
            </w:pPr>
            <w:r>
              <w:rPr>
                <w:rFonts w:hint="eastAsia" w:ascii="Times New Roman" w:hAnsi="宋体" w:eastAsia="宋体" w:cs="Times New Roman"/>
                <w:color w:val="auto"/>
                <w:sz w:val="24"/>
                <w:szCs w:val="24"/>
                <w:lang w:val="en-US" w:eastAsia="zh-CN"/>
              </w:rPr>
              <w:t xml:space="preserve">本项目试压前采用清管器进行清管，采用以空气为动力的压风机推动清管器进行清管，该过程无废水产生。试压用水量一般为充满整个管道容积的 </w:t>
            </w:r>
            <w:r>
              <w:rPr>
                <w:rFonts w:hint="default" w:ascii="Times New Roman" w:hAnsi="宋体" w:eastAsia="宋体" w:cs="Times New Roman"/>
                <w:color w:val="auto"/>
                <w:sz w:val="24"/>
                <w:szCs w:val="24"/>
                <w:lang w:val="en-US" w:eastAsia="zh-CN"/>
              </w:rPr>
              <w:t xml:space="preserve">1.2 </w:t>
            </w:r>
            <w:r>
              <w:rPr>
                <w:rFonts w:hint="eastAsia" w:ascii="Times New Roman" w:hAnsi="宋体" w:eastAsia="宋体" w:cs="Times New Roman"/>
                <w:color w:val="auto"/>
                <w:sz w:val="24"/>
                <w:szCs w:val="24"/>
                <w:lang w:val="en-US" w:eastAsia="zh-CN"/>
              </w:rPr>
              <w:t>倍，</w:t>
            </w:r>
            <w:r>
              <w:rPr>
                <w:rFonts w:hint="eastAsia" w:ascii="Times New Roman" w:hAnsi="宋体" w:eastAsia="宋体" w:cs="Times New Roman"/>
                <w:color w:val="auto"/>
                <w:sz w:val="24"/>
                <w:szCs w:val="24"/>
                <w:highlight w:val="none"/>
                <w:lang w:val="en-US" w:eastAsia="zh-CN"/>
              </w:rPr>
              <w:t>本项目管线全长1070，试压用水量约为24.91</w:t>
            </w:r>
            <w:r>
              <w:rPr>
                <w:rFonts w:hint="default" w:ascii="Times New Roman" w:hAnsi="宋体" w:eastAsia="宋体" w:cs="Times New Roman"/>
                <w:color w:val="auto"/>
                <w:sz w:val="24"/>
                <w:szCs w:val="24"/>
                <w:highlight w:val="none"/>
                <w:lang w:val="en-US" w:eastAsia="zh-CN"/>
              </w:rPr>
              <w:t>m</w:t>
            </w:r>
            <w:r>
              <w:rPr>
                <w:rFonts w:hint="default" w:ascii="Times New Roman" w:hAnsi="宋体" w:eastAsia="宋体" w:cs="Times New Roman"/>
                <w:color w:val="auto"/>
                <w:sz w:val="24"/>
                <w:szCs w:val="24"/>
                <w:highlight w:val="none"/>
                <w:vertAlign w:val="superscript"/>
                <w:lang w:val="en-US" w:eastAsia="zh-CN"/>
              </w:rPr>
              <w:t>3</w:t>
            </w:r>
            <w:r>
              <w:rPr>
                <w:rFonts w:hint="eastAsia" w:ascii="Times New Roman" w:hAnsi="宋体" w:eastAsia="宋体" w:cs="Times New Roman"/>
                <w:color w:val="auto"/>
                <w:sz w:val="24"/>
                <w:szCs w:val="24"/>
                <w:highlight w:val="none"/>
                <w:lang w:val="en-US" w:eastAsia="zh-CN"/>
              </w:rPr>
              <w:t>，</w:t>
            </w:r>
            <w:r>
              <w:rPr>
                <w:rFonts w:hint="eastAsia" w:ascii="Times New Roman" w:hAnsi="宋体" w:eastAsia="宋体" w:cs="Times New Roman"/>
                <w:color w:val="auto"/>
                <w:sz w:val="24"/>
                <w:szCs w:val="24"/>
                <w:lang w:val="en-US" w:eastAsia="zh-CN"/>
              </w:rPr>
              <w:t>清管、试压时间为5天。试压废水产生率按</w:t>
            </w:r>
            <w:r>
              <w:rPr>
                <w:rFonts w:hint="default" w:ascii="Times New Roman" w:hAnsi="宋体" w:eastAsia="宋体" w:cs="Times New Roman"/>
                <w:color w:val="auto"/>
                <w:sz w:val="24"/>
                <w:szCs w:val="24"/>
                <w:lang w:val="en-US" w:eastAsia="zh-CN"/>
              </w:rPr>
              <w:t>80%</w:t>
            </w:r>
            <w:r>
              <w:rPr>
                <w:rFonts w:hint="eastAsia" w:ascii="Times New Roman" w:hAnsi="宋体" w:eastAsia="宋体" w:cs="Times New Roman"/>
                <w:color w:val="auto"/>
                <w:sz w:val="24"/>
                <w:szCs w:val="24"/>
                <w:lang w:val="en-US" w:eastAsia="zh-CN"/>
              </w:rPr>
              <w:t>计，则试压废水产生量为19.93</w:t>
            </w:r>
            <w:r>
              <w:rPr>
                <w:rFonts w:hint="default" w:ascii="Times New Roman" w:hAnsi="宋体" w:eastAsia="宋体" w:cs="Times New Roman"/>
                <w:color w:val="auto"/>
                <w:sz w:val="24"/>
                <w:szCs w:val="24"/>
                <w:lang w:val="en-US" w:eastAsia="zh-CN"/>
              </w:rPr>
              <w:t>m</w:t>
            </w:r>
            <w:r>
              <w:rPr>
                <w:rFonts w:hint="default" w:ascii="Times New Roman" w:hAnsi="宋体" w:eastAsia="宋体" w:cs="Times New Roman"/>
                <w:color w:val="auto"/>
                <w:sz w:val="24"/>
                <w:szCs w:val="24"/>
                <w:vertAlign w:val="superscript"/>
                <w:lang w:val="en-US" w:eastAsia="zh-CN"/>
              </w:rPr>
              <w:t>3</w:t>
            </w:r>
            <w:r>
              <w:rPr>
                <w:rFonts w:hint="eastAsia" w:ascii="Times New Roman" w:hAnsi="宋体" w:eastAsia="宋体" w:cs="Times New Roman"/>
                <w:color w:val="auto"/>
                <w:sz w:val="24"/>
                <w:szCs w:val="24"/>
                <w:lang w:val="en-US" w:eastAsia="zh-CN"/>
              </w:rPr>
              <w:t>，试压废水主要污染物为悬浮物</w:t>
            </w:r>
            <w:r>
              <w:rPr>
                <w:rFonts w:hint="default" w:ascii="Times New Roman" w:hAnsi="宋体" w:eastAsia="宋体" w:cs="Times New Roman"/>
                <w:color w:val="auto"/>
                <w:sz w:val="24"/>
                <w:szCs w:val="24"/>
                <w:lang w:val="en-US" w:eastAsia="zh-CN"/>
              </w:rPr>
              <w:t>(≤70mg/L)</w:t>
            </w:r>
            <w:r>
              <w:rPr>
                <w:rFonts w:hint="eastAsia" w:ascii="Times New Roman" w:hAnsi="宋体" w:eastAsia="宋体" w:cs="Times New Roman"/>
                <w:color w:val="auto"/>
                <w:sz w:val="24"/>
                <w:szCs w:val="24"/>
                <w:lang w:val="en-US" w:eastAsia="zh-CN"/>
              </w:rPr>
              <w:t>，经收集沉淀后用于场地洒水抑尘，不外排。</w:t>
            </w:r>
          </w:p>
          <w:p w14:paraId="65338C9A">
            <w:pPr>
              <w:widowControl/>
              <w:spacing w:line="360" w:lineRule="auto"/>
              <w:ind w:firstLine="480" w:firstLineChars="200"/>
              <w:rPr>
                <w:rFonts w:hint="default" w:ascii="Times New Roman" w:hAnsi="Times New Roman" w:eastAsia="宋体" w:cs="Times New Roman"/>
                <w:color w:val="FF0000"/>
                <w:sz w:val="24"/>
                <w:szCs w:val="24"/>
                <w:highlight w:val="none"/>
              </w:rPr>
            </w:pPr>
            <w:r>
              <w:rPr>
                <w:rFonts w:hint="eastAsia" w:ascii="Times New Roman" w:hAnsi="Times New Roman" w:eastAsia="宋体" w:cs="Times New Roman"/>
                <w:color w:val="auto"/>
                <w:sz w:val="24"/>
                <w:szCs w:val="24"/>
                <w:lang w:eastAsia="zh-CN"/>
              </w:rPr>
              <w:t>⑦</w:t>
            </w:r>
            <w:r>
              <w:rPr>
                <w:rFonts w:ascii="Times New Roman" w:hAnsi="Times New Roman" w:eastAsia="宋体" w:cs="Times New Roman"/>
                <w:color w:val="auto"/>
                <w:sz w:val="24"/>
                <w:szCs w:val="24"/>
              </w:rPr>
              <w:t>生活</w:t>
            </w:r>
            <w:r>
              <w:rPr>
                <w:rFonts w:hint="eastAsia" w:ascii="Times New Roman" w:hAnsi="Times New Roman" w:eastAsia="宋体" w:cs="Times New Roman"/>
                <w:color w:val="auto"/>
                <w:sz w:val="24"/>
                <w:szCs w:val="24"/>
                <w:lang w:eastAsia="zh-CN"/>
              </w:rPr>
              <w:t>用排水</w:t>
            </w:r>
            <w:r>
              <w:rPr>
                <w:rFonts w:ascii="Times New Roman" w:hAnsi="Times New Roman" w:eastAsia="宋体" w:cs="Times New Roman"/>
                <w:color w:val="auto"/>
                <w:sz w:val="24"/>
                <w:szCs w:val="24"/>
              </w:rPr>
              <w:t>：本项目施工</w:t>
            </w:r>
            <w:r>
              <w:rPr>
                <w:rFonts w:hint="eastAsia" w:ascii="Times New Roman" w:hAnsi="Times New Roman" w:eastAsia="宋体" w:cs="Times New Roman"/>
                <w:color w:val="auto"/>
                <w:sz w:val="24"/>
                <w:szCs w:val="24"/>
                <w:lang w:eastAsia="zh-CN"/>
              </w:rPr>
              <w:t>场地不提供</w:t>
            </w:r>
            <w:r>
              <w:rPr>
                <w:rFonts w:hint="default" w:ascii="Times New Roman" w:hAnsi="Times New Roman" w:eastAsia="宋体" w:cs="Times New Roman"/>
                <w:color w:val="auto"/>
                <w:sz w:val="24"/>
                <w:szCs w:val="24"/>
              </w:rPr>
              <w:t>食宿，</w:t>
            </w:r>
            <w:r>
              <w:rPr>
                <w:rFonts w:hint="eastAsia" w:ascii="Times New Roman" w:hAnsi="Times New Roman" w:eastAsia="宋体" w:cs="Times New Roman"/>
                <w:color w:val="auto"/>
                <w:sz w:val="24"/>
                <w:szCs w:val="24"/>
                <w:lang w:eastAsia="zh-CN"/>
              </w:rPr>
              <w:t>施工人员</w:t>
            </w:r>
            <w:r>
              <w:rPr>
                <w:rFonts w:hint="default" w:ascii="Times New Roman" w:hAnsi="Times New Roman" w:eastAsia="宋体" w:cs="Times New Roman"/>
                <w:color w:val="auto"/>
                <w:sz w:val="24"/>
                <w:szCs w:val="24"/>
              </w:rPr>
              <w:t>食宿</w:t>
            </w:r>
            <w:r>
              <w:rPr>
                <w:rFonts w:hint="eastAsia" w:ascii="Times New Roman" w:hAnsi="Times New Roman" w:eastAsia="宋体" w:cs="Times New Roman"/>
                <w:color w:val="auto"/>
                <w:sz w:val="24"/>
                <w:szCs w:val="24"/>
                <w:lang w:eastAsia="zh-CN"/>
              </w:rPr>
              <w:t>依托附近</w:t>
            </w:r>
            <w:r>
              <w:rPr>
                <w:rFonts w:hint="default" w:ascii="Times New Roman" w:hAnsi="Times New Roman" w:eastAsia="宋体" w:cs="Times New Roman"/>
                <w:color w:val="auto"/>
                <w:sz w:val="24"/>
                <w:szCs w:val="24"/>
              </w:rPr>
              <w:t>民房</w:t>
            </w:r>
            <w:r>
              <w:rPr>
                <w:rFonts w:hint="eastAsia" w:ascii="Times New Roman" w:hAnsi="Times New Roman" w:eastAsia="宋体" w:cs="Times New Roman"/>
                <w:color w:val="auto"/>
                <w:sz w:val="24"/>
                <w:szCs w:val="24"/>
                <w:lang w:eastAsia="zh-CN"/>
              </w:rPr>
              <w:t>解决</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施工场地配备</w:t>
            </w:r>
            <w:r>
              <w:rPr>
                <w:rFonts w:hint="default" w:ascii="Times New Roman" w:hAnsi="Times New Roman" w:eastAsia="宋体" w:cs="Times New Roman"/>
                <w:color w:val="auto"/>
                <w:sz w:val="24"/>
                <w:szCs w:val="24"/>
              </w:rPr>
              <w:t>员工</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人，根据《安徽省行业用水定额》（DB34/T 679-2019），员工生活用水按</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0L/人·d计，</w:t>
            </w:r>
            <w:r>
              <w:rPr>
                <w:rFonts w:hint="default" w:ascii="Times New Roman" w:hAnsi="Times New Roman" w:eastAsia="宋体" w:cs="Times New Roman"/>
                <w:color w:val="auto"/>
                <w:sz w:val="24"/>
                <w:szCs w:val="24"/>
                <w:lang w:eastAsia="zh-CN"/>
              </w:rPr>
              <w:t>施工期</w:t>
            </w:r>
            <w:r>
              <w:rPr>
                <w:rFonts w:hint="default" w:ascii="Times New Roman" w:hAnsi="Times New Roman" w:eastAsia="宋体" w:cs="Times New Roman"/>
                <w:color w:val="auto"/>
                <w:sz w:val="24"/>
                <w:szCs w:val="24"/>
              </w:rPr>
              <w:t>用水量约为</w:t>
            </w:r>
            <w:r>
              <w:rPr>
                <w:rFonts w:hint="eastAsia"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。生活污水产生量按用水量的80%计，生活污水产生量为</w:t>
            </w:r>
            <w:r>
              <w:rPr>
                <w:rFonts w:hint="eastAsia" w:ascii="Times New Roman" w:hAnsi="Times New Roman" w:eastAsia="宋体" w:cs="Times New Roman"/>
                <w:color w:val="auto"/>
                <w:sz w:val="24"/>
                <w:szCs w:val="24"/>
                <w:lang w:val="en-US" w:eastAsia="zh-CN"/>
              </w:rPr>
              <w:t>0.4</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/d</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highlight w:val="none"/>
              </w:rPr>
              <w:t>生活污水</w:t>
            </w:r>
            <w:r>
              <w:rPr>
                <w:rFonts w:hint="eastAsia" w:ascii="Times New Roman" w:hAnsi="Times New Roman" w:eastAsia="宋体" w:cs="Times New Roman"/>
                <w:color w:val="auto"/>
                <w:sz w:val="24"/>
                <w:szCs w:val="24"/>
                <w:highlight w:val="none"/>
                <w:lang w:eastAsia="zh-CN"/>
              </w:rPr>
              <w:t>经场地设置的化粪池预处理后用于周边农田肥田，不外排</w:t>
            </w:r>
            <w:r>
              <w:rPr>
                <w:rFonts w:hint="default" w:ascii="Times New Roman" w:hAnsi="Times New Roman" w:eastAsia="宋体" w:cs="Times New Roman"/>
                <w:color w:val="auto"/>
                <w:sz w:val="24"/>
                <w:szCs w:val="24"/>
                <w:highlight w:val="none"/>
              </w:rPr>
              <w:t>。</w:t>
            </w:r>
          </w:p>
          <w:p w14:paraId="3312843A">
            <w:pPr>
              <w:widowControl/>
              <w:spacing w:line="360" w:lineRule="auto"/>
              <w:ind w:firstLine="480" w:firstLineChars="20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object>
                <v:shape id="_x0000_i1025" o:spt="75" type="#_x0000_t75" style="height:499.5pt;width:371.25pt;" o:ole="t" filled="f" o:preferrelative="t" stroked="f" coordsize="21600,21600">
                  <v:path/>
                  <v:fill on="f" focussize="0,0"/>
                  <v:stroke on="f"/>
                  <v:imagedata r:id="rId16" o:title=""/>
                  <o:lock v:ext="edit" aspectratio="f"/>
                  <w10:wrap type="none"/>
                  <w10:anchorlock/>
                </v:shape>
                <o:OLEObject Type="Embed" ProgID="Visio.Drawing.11" ShapeID="_x0000_i1025" DrawAspect="Content" ObjectID="_1468075725" r:id="rId15">
                  <o:LockedField>false</o:LockedField>
                </o:OLEObject>
              </w:object>
            </w:r>
          </w:p>
          <w:p w14:paraId="14B25CDF">
            <w:pPr>
              <w:numPr>
                <w:ilvl w:val="0"/>
                <w:numId w:val="3"/>
              </w:numPr>
              <w:spacing w:line="360" w:lineRule="auto"/>
              <w:ind w:left="0" w:leftChars="0" w:firstLine="560" w:firstLineChars="0"/>
              <w:jc w:val="center"/>
              <w:rPr>
                <w:rFonts w:hint="default" w:ascii="Times New Roman" w:hAnsi="宋体" w:eastAsia="黑体" w:cs="Times New Roman"/>
                <w:b/>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  项目水平衡图</w:t>
            </w:r>
            <w:r>
              <w:rPr>
                <w:rFonts w:hint="eastAsia" w:ascii="Times New Roman" w:hAnsi="黑体" w:eastAsia="黑体" w:cs="Times New Roman"/>
                <w:color w:val="auto"/>
                <w:sz w:val="24"/>
                <w:szCs w:val="24"/>
                <w:highlight w:val="none"/>
                <w:lang w:val="en-US" w:eastAsia="zh-CN"/>
              </w:rPr>
              <w:t xml:space="preserve">   单位</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/d</w:t>
            </w:r>
          </w:p>
          <w:p w14:paraId="6C394BFC">
            <w:pPr>
              <w:spacing w:line="360" w:lineRule="auto"/>
              <w:ind w:firstLine="482" w:firstLineChars="200"/>
              <w:rPr>
                <w:rFonts w:hint="eastAsia" w:ascii="Times New Roman" w:hAnsi="宋体" w:eastAsia="宋体" w:cs="Times New Roman"/>
                <w:b/>
                <w:color w:val="auto"/>
                <w:sz w:val="24"/>
                <w:szCs w:val="24"/>
              </w:rPr>
            </w:pPr>
            <w:r>
              <w:rPr>
                <w:rFonts w:hint="eastAsia" w:ascii="Times New Roman" w:hAnsi="宋体" w:eastAsia="宋体" w:cs="Times New Roman"/>
                <w:b/>
                <w:color w:val="auto"/>
                <w:sz w:val="24"/>
                <w:szCs w:val="24"/>
                <w:lang w:eastAsia="zh-CN"/>
              </w:rPr>
              <w:t>（</w:t>
            </w:r>
            <w:r>
              <w:rPr>
                <w:rFonts w:hint="eastAsia" w:ascii="Times New Roman" w:hAnsi="宋体" w:eastAsia="宋体" w:cs="Times New Roman"/>
                <w:b/>
                <w:color w:val="auto"/>
                <w:sz w:val="24"/>
                <w:szCs w:val="24"/>
                <w:lang w:val="en-US" w:eastAsia="zh-CN"/>
              </w:rPr>
              <w:t>2</w:t>
            </w:r>
            <w:r>
              <w:rPr>
                <w:rFonts w:hint="eastAsia" w:ascii="Times New Roman" w:hAnsi="宋体" w:eastAsia="宋体" w:cs="Times New Roman"/>
                <w:b/>
                <w:color w:val="auto"/>
                <w:sz w:val="24"/>
                <w:szCs w:val="24"/>
                <w:lang w:eastAsia="zh-CN"/>
              </w:rPr>
              <w:t>）</w:t>
            </w:r>
            <w:r>
              <w:rPr>
                <w:rFonts w:hint="eastAsia" w:ascii="Times New Roman" w:hAnsi="宋体" w:eastAsia="宋体" w:cs="Times New Roman"/>
                <w:b/>
                <w:color w:val="auto"/>
                <w:sz w:val="24"/>
                <w:szCs w:val="24"/>
              </w:rPr>
              <w:t>供电</w:t>
            </w:r>
          </w:p>
          <w:p w14:paraId="7A2DEC75">
            <w:pPr>
              <w:spacing w:line="360" w:lineRule="auto"/>
              <w:ind w:firstLine="480" w:firstLineChars="200"/>
              <w:rPr>
                <w:rFonts w:hint="eastAsia" w:ascii="Times New Roman" w:hAnsi="宋体" w:eastAsia="宋体" w:cs="Times New Roman"/>
                <w:color w:val="auto"/>
                <w:sz w:val="24"/>
                <w:szCs w:val="24"/>
                <w:lang w:eastAsia="zh-CN"/>
              </w:rPr>
            </w:pPr>
            <w:r>
              <w:rPr>
                <w:rFonts w:hint="eastAsia"/>
                <w:color w:val="auto"/>
                <w:sz w:val="24"/>
                <w:szCs w:val="24"/>
              </w:rPr>
              <w:t>本项目</w:t>
            </w:r>
            <w:r>
              <w:rPr>
                <w:rFonts w:hint="eastAsia"/>
                <w:color w:val="auto"/>
                <w:sz w:val="24"/>
                <w:szCs w:val="24"/>
                <w:lang w:eastAsia="zh-CN"/>
              </w:rPr>
              <w:t>施工用电由淮南潘一实业有限公司现有供电设施提供</w:t>
            </w:r>
            <w:r>
              <w:rPr>
                <w:rFonts w:hint="eastAsia"/>
                <w:color w:val="auto"/>
                <w:sz w:val="24"/>
                <w:szCs w:val="24"/>
                <w:highlight w:val="none"/>
              </w:rPr>
              <w:t>。</w:t>
            </w:r>
          </w:p>
          <w:p w14:paraId="06A5E924">
            <w:pPr>
              <w:spacing w:line="360" w:lineRule="auto"/>
              <w:ind w:firstLine="482" w:firstLineChars="200"/>
              <w:rPr>
                <w:rFonts w:hint="eastAsia" w:ascii="Times New Roman" w:hAnsi="宋体" w:eastAsia="宋体" w:cs="Times New Roman"/>
                <w:b/>
                <w:color w:val="auto"/>
                <w:sz w:val="24"/>
                <w:szCs w:val="24"/>
              </w:rPr>
            </w:pPr>
            <w:r>
              <w:rPr>
                <w:rFonts w:hint="eastAsia" w:ascii="Times New Roman" w:hAnsi="宋体" w:eastAsia="宋体" w:cs="Times New Roman"/>
                <w:b/>
                <w:color w:val="auto"/>
                <w:sz w:val="24"/>
                <w:szCs w:val="24"/>
                <w:lang w:val="en-US" w:eastAsia="zh-CN"/>
              </w:rPr>
              <w:t>6</w:t>
            </w:r>
            <w:r>
              <w:rPr>
                <w:rFonts w:hint="eastAsia" w:ascii="Times New Roman" w:hAnsi="宋体" w:eastAsia="宋体" w:cs="Times New Roman"/>
                <w:b/>
                <w:color w:val="auto"/>
                <w:sz w:val="24"/>
                <w:szCs w:val="24"/>
              </w:rPr>
              <w:t>、劳动定员及工作制度</w:t>
            </w:r>
          </w:p>
          <w:p w14:paraId="0CCDB71C">
            <w:pPr>
              <w:pStyle w:val="96"/>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default" w:ascii="Times New Roman" w:hAnsi="Times New Roman" w:eastAsia="宋体" w:cs="Times New Roman"/>
                <w:color w:val="auto"/>
                <w:sz w:val="24"/>
                <w:szCs w:val="24"/>
                <w:highlight w:val="none"/>
                <w:lang w:val="en-US" w:eastAsia="zh-CN"/>
              </w:rPr>
            </w:pPr>
            <w:r>
              <w:rPr>
                <w:rFonts w:hint="eastAsia" w:asciiTheme="minorHAnsi" w:hAnsiTheme="minorHAnsi" w:eastAsiaTheme="minorEastAsia" w:cstheme="minorBidi"/>
                <w:color w:val="auto"/>
                <w:kern w:val="2"/>
                <w:sz w:val="24"/>
                <w:szCs w:val="24"/>
                <w:lang w:val="en-US" w:eastAsia="zh-CN" w:bidi="ar-SA"/>
              </w:rPr>
              <w:t>本项目施工场地劳动定员为10人。项目施工实行3班制，每班工作8小时。</w:t>
            </w:r>
          </w:p>
        </w:tc>
      </w:tr>
      <w:tr w14:paraId="79B9E3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3" w:hRule="atLeast"/>
          <w:jc w:val="center"/>
        </w:trPr>
        <w:tc>
          <w:tcPr>
            <w:tcW w:w="262" w:type="pct"/>
            <w:vAlign w:val="center"/>
          </w:tcPr>
          <w:p w14:paraId="3F63C0C2">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总平面及现场布置</w:t>
            </w:r>
          </w:p>
        </w:tc>
        <w:tc>
          <w:tcPr>
            <w:tcW w:w="4737" w:type="pct"/>
            <w:vAlign w:val="center"/>
          </w:tcPr>
          <w:p w14:paraId="26DFB78F">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宋体" w:eastAsia="宋体" w:cs="Times New Roman"/>
                <w:color w:val="auto"/>
                <w:kern w:val="0"/>
                <w:sz w:val="24"/>
                <w:szCs w:val="24"/>
                <w:lang w:val="en-US" w:eastAsia="zh-CN"/>
              </w:rPr>
              <w:t>本项目施工场地不设置施工营地，仅布置与钻井相关的设施设备。</w:t>
            </w:r>
            <w:r>
              <w:rPr>
                <w:rFonts w:hint="eastAsia" w:ascii="宋体" w:hAnsi="宋体" w:eastAsia="宋体" w:cs="宋体"/>
                <w:color w:val="000000"/>
                <w:kern w:val="0"/>
                <w:sz w:val="24"/>
                <w:szCs w:val="24"/>
                <w:lang w:val="en-US" w:eastAsia="zh-CN" w:bidi="ar"/>
              </w:rPr>
              <w:t>施工场地设置钻井作业区（包括钻机、钻塔、泥浆泵、固控系统等）、蓄水池、废浆池、沉砂池、原料库房、控制配电室等。</w:t>
            </w:r>
            <w:r>
              <w:rPr>
                <w:rFonts w:hint="eastAsia" w:ascii="Times New Roman" w:hAnsi="Times New Roman" w:eastAsia="宋体" w:cs="Times New Roman"/>
                <w:color w:val="auto"/>
                <w:sz w:val="24"/>
                <w:szCs w:val="24"/>
                <w:lang w:val="en-US" w:eastAsia="zh-CN"/>
              </w:rPr>
              <w:t>详细现场布置见附图。</w:t>
            </w:r>
          </w:p>
          <w:p w14:paraId="699016EA">
            <w:pPr>
              <w:spacing w:line="360" w:lineRule="auto"/>
              <w:ind w:firstLine="480" w:firstLineChars="200"/>
              <w:rPr>
                <w:rFonts w:hint="eastAsia" w:ascii="Times New Roman" w:hAnsi="宋体" w:eastAsia="宋体" w:cs="Times New Roman"/>
                <w:color w:val="auto"/>
                <w:kern w:val="0"/>
                <w:sz w:val="24"/>
                <w:szCs w:val="24"/>
                <w:lang w:val="en-US" w:eastAsia="zh-CN"/>
              </w:rPr>
            </w:pPr>
            <w:r>
              <w:rPr>
                <w:rFonts w:hint="eastAsia" w:ascii="Times New Roman" w:hAnsi="Times New Roman" w:eastAsia="宋体" w:cs="Times New Roman"/>
                <w:color w:val="auto"/>
                <w:sz w:val="24"/>
                <w:szCs w:val="24"/>
                <w:lang w:val="en-US" w:eastAsia="zh-CN"/>
              </w:rPr>
              <w:t>本项目施工场地设置一处临时堆土区，堆土区设置于场地一角，方便管理，堆土区设置截、排水沟、苫盖等措施。</w:t>
            </w:r>
          </w:p>
        </w:tc>
      </w:tr>
      <w:tr w14:paraId="6B570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262" w:type="pct"/>
            <w:vAlign w:val="center"/>
          </w:tcPr>
          <w:p w14:paraId="4A2CCB40">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施工方案</w:t>
            </w:r>
          </w:p>
        </w:tc>
        <w:tc>
          <w:tcPr>
            <w:tcW w:w="4737" w:type="pct"/>
            <w:vAlign w:val="center"/>
          </w:tcPr>
          <w:p w14:paraId="5AF85A60">
            <w:pPr>
              <w:numPr>
                <w:ilvl w:val="0"/>
                <w:numId w:val="0"/>
              </w:numPr>
              <w:spacing w:line="360" w:lineRule="auto"/>
              <w:ind w:firstLine="480" w:firstLineChars="200"/>
              <w:rPr>
                <w:rFonts w:hint="eastAsia" w:ascii="Times New Roman" w:hAnsi="宋体" w:eastAsia="宋体" w:cs="Times New Roman"/>
                <w:color w:val="auto"/>
                <w:kern w:val="0"/>
                <w:sz w:val="24"/>
                <w:szCs w:val="24"/>
                <w:lang w:eastAsia="zh-CN"/>
              </w:rPr>
            </w:pPr>
            <w:r>
              <w:rPr>
                <w:rFonts w:ascii="Times New Roman" w:hAnsi="宋体" w:eastAsia="宋体" w:cs="Times New Roman"/>
                <w:color w:val="auto"/>
                <w:kern w:val="0"/>
                <w:sz w:val="24"/>
                <w:szCs w:val="24"/>
              </w:rPr>
              <w:t>本项目为</w:t>
            </w:r>
            <w:r>
              <w:rPr>
                <w:rFonts w:hint="eastAsia" w:ascii="Times New Roman" w:hAnsi="宋体" w:eastAsia="宋体" w:cs="Times New Roman"/>
                <w:color w:val="auto"/>
                <w:kern w:val="0"/>
                <w:sz w:val="24"/>
                <w:szCs w:val="24"/>
                <w:lang w:eastAsia="zh-CN"/>
              </w:rPr>
              <w:t>煤炭开采</w:t>
            </w:r>
            <w:r>
              <w:rPr>
                <w:rFonts w:hint="eastAsia" w:ascii="Times New Roman" w:hAnsi="宋体" w:eastAsia="宋体" w:cs="Times New Roman"/>
                <w:color w:val="auto"/>
                <w:kern w:val="0"/>
                <w:sz w:val="24"/>
                <w:szCs w:val="24"/>
                <w:lang w:val="en-US" w:eastAsia="zh-CN"/>
              </w:rPr>
              <w:t>深部松软低透煤层高瓦斯压力治理工程，主要建设内容为建设2口L型</w:t>
            </w:r>
            <w:r>
              <w:rPr>
                <w:rFonts w:hint="eastAsia" w:ascii="Times New Roman" w:hAnsi="宋体" w:eastAsia="宋体" w:cs="Times New Roman"/>
                <w:color w:val="auto"/>
                <w:kern w:val="0"/>
                <w:sz w:val="24"/>
                <w:szCs w:val="24"/>
              </w:rPr>
              <w:t>地面预抽井</w:t>
            </w:r>
            <w:r>
              <w:rPr>
                <w:rFonts w:hint="eastAsia" w:ascii="Times New Roman" w:hAnsi="宋体" w:eastAsia="宋体" w:cs="Times New Roman"/>
                <w:color w:val="auto"/>
                <w:kern w:val="0"/>
                <w:sz w:val="24"/>
                <w:szCs w:val="24"/>
                <w:lang w:eastAsia="zh-CN"/>
              </w:rPr>
              <w:t>和少量输气管路</w:t>
            </w:r>
            <w:r>
              <w:rPr>
                <w:rFonts w:ascii="Times New Roman" w:hAnsi="宋体" w:eastAsia="宋体" w:cs="Times New Roman"/>
                <w:color w:val="auto"/>
                <w:kern w:val="0"/>
                <w:sz w:val="24"/>
                <w:szCs w:val="24"/>
              </w:rPr>
              <w:t>，</w:t>
            </w:r>
            <w:r>
              <w:rPr>
                <w:rFonts w:hint="eastAsia" w:ascii="Times New Roman" w:hAnsi="宋体" w:eastAsia="宋体" w:cs="Times New Roman"/>
                <w:color w:val="auto"/>
                <w:kern w:val="0"/>
                <w:sz w:val="24"/>
                <w:szCs w:val="24"/>
                <w:lang w:eastAsia="zh-CN"/>
              </w:rPr>
              <w:t>共</w:t>
            </w:r>
            <w:r>
              <w:rPr>
                <w:rFonts w:ascii="Times New Roman" w:hAnsi="宋体" w:eastAsia="宋体" w:cs="Times New Roman"/>
                <w:color w:val="auto"/>
                <w:kern w:val="0"/>
                <w:sz w:val="24"/>
                <w:szCs w:val="24"/>
              </w:rPr>
              <w:t>设置</w:t>
            </w:r>
            <w:r>
              <w:rPr>
                <w:rFonts w:hint="eastAsia" w:ascii="Times New Roman" w:hAnsi="宋体" w:eastAsia="宋体" w:cs="Times New Roman"/>
                <w:color w:val="auto"/>
                <w:kern w:val="0"/>
                <w:sz w:val="24"/>
                <w:szCs w:val="24"/>
                <w:lang w:val="en-US" w:eastAsia="zh-CN"/>
              </w:rPr>
              <w:t>1</w:t>
            </w:r>
            <w:r>
              <w:rPr>
                <w:rFonts w:hint="eastAsia" w:ascii="Times New Roman" w:hAnsi="宋体" w:eastAsia="宋体" w:cs="Times New Roman"/>
                <w:color w:val="auto"/>
                <w:kern w:val="0"/>
                <w:sz w:val="24"/>
                <w:szCs w:val="24"/>
              </w:rPr>
              <w:t>个</w:t>
            </w:r>
            <w:r>
              <w:rPr>
                <w:rFonts w:hint="eastAsia" w:ascii="Times New Roman" w:hAnsi="宋体" w:eastAsia="宋体" w:cs="Times New Roman"/>
                <w:color w:val="auto"/>
                <w:kern w:val="0"/>
                <w:sz w:val="24"/>
                <w:szCs w:val="24"/>
                <w:lang w:eastAsia="zh-CN"/>
              </w:rPr>
              <w:t>地面施工场地，项目</w:t>
            </w:r>
            <w:r>
              <w:rPr>
                <w:rFonts w:ascii="Times New Roman" w:hAnsi="宋体" w:eastAsia="宋体" w:cs="Times New Roman"/>
                <w:color w:val="auto"/>
                <w:kern w:val="0"/>
                <w:sz w:val="24"/>
                <w:szCs w:val="24"/>
              </w:rPr>
              <w:t>施工方案分为钻井工程</w:t>
            </w:r>
            <w:r>
              <w:rPr>
                <w:rFonts w:hint="eastAsia" w:ascii="Times New Roman" w:hAnsi="宋体" w:eastAsia="宋体" w:cs="Times New Roman"/>
                <w:color w:val="auto"/>
                <w:kern w:val="0"/>
                <w:sz w:val="24"/>
                <w:szCs w:val="24"/>
              </w:rPr>
              <w:t>、</w:t>
            </w:r>
            <w:r>
              <w:rPr>
                <w:rFonts w:hint="eastAsia" w:ascii="Times New Roman" w:hAnsi="宋体" w:eastAsia="宋体" w:cs="Times New Roman"/>
                <w:color w:val="auto"/>
                <w:kern w:val="0"/>
                <w:sz w:val="24"/>
                <w:szCs w:val="24"/>
                <w:lang w:eastAsia="zh-CN"/>
              </w:rPr>
              <w:t>压裂工程、排采工程、输气管路</w:t>
            </w:r>
            <w:r>
              <w:rPr>
                <w:rFonts w:hint="eastAsia" w:ascii="Times New Roman" w:hAnsi="宋体" w:eastAsia="宋体" w:cs="Times New Roman"/>
                <w:color w:val="auto"/>
                <w:kern w:val="0"/>
                <w:sz w:val="24"/>
                <w:szCs w:val="24"/>
              </w:rPr>
              <w:t>工程</w:t>
            </w:r>
            <w:r>
              <w:rPr>
                <w:rFonts w:hint="eastAsia" w:ascii="Times New Roman" w:hAnsi="宋体" w:eastAsia="宋体" w:cs="Times New Roman"/>
                <w:color w:val="auto"/>
                <w:kern w:val="0"/>
                <w:sz w:val="24"/>
                <w:szCs w:val="24"/>
                <w:lang w:eastAsia="zh-CN"/>
              </w:rPr>
              <w:t>、封孔工程</w:t>
            </w:r>
            <w:r>
              <w:rPr>
                <w:rFonts w:ascii="Times New Roman" w:hAnsi="宋体" w:eastAsia="宋体" w:cs="Times New Roman"/>
                <w:color w:val="auto"/>
                <w:kern w:val="0"/>
                <w:sz w:val="24"/>
                <w:szCs w:val="24"/>
              </w:rPr>
              <w:t>。</w:t>
            </w:r>
            <w:r>
              <w:rPr>
                <w:rFonts w:hint="eastAsia" w:ascii="Times New Roman" w:hAnsi="宋体" w:eastAsia="宋体" w:cs="Times New Roman"/>
                <w:color w:val="auto"/>
                <w:kern w:val="0"/>
                <w:sz w:val="24"/>
                <w:szCs w:val="24"/>
                <w:lang w:eastAsia="zh-CN"/>
              </w:rPr>
              <w:t>施工工艺流程如下：</w:t>
            </w:r>
          </w:p>
          <w:p w14:paraId="19D69351">
            <w:pPr>
              <w:pStyle w:val="2"/>
              <w:rPr>
                <w:rFonts w:hint="eastAsia"/>
                <w:lang w:eastAsia="zh-CN"/>
              </w:rPr>
            </w:pPr>
            <w:r>
              <w:rPr>
                <w:rFonts w:hint="eastAsia"/>
                <w:lang w:eastAsia="zh-CN"/>
              </w:rPr>
              <w:object>
                <v:shape id="_x0000_i1026" o:spt="75" type="#_x0000_t75" style="height:526.2pt;width:392.6pt;" o:ole="t" filled="f" o:preferrelative="t" stroked="f" coordsize="21600,21600">
                  <v:path/>
                  <v:fill on="f" focussize="0,0"/>
                  <v:stroke on="f"/>
                  <v:imagedata r:id="rId18" o:title=""/>
                  <o:lock v:ext="edit" aspectratio="f"/>
                  <w10:wrap type="none"/>
                  <w10:anchorlock/>
                </v:shape>
                <o:OLEObject Type="Embed" ProgID="Visio.Drawing.11" ShapeID="_x0000_i1026" DrawAspect="Content" ObjectID="_1468075726" r:id="rId17">
                  <o:LockedField>false</o:LockedField>
                </o:OLEObject>
              </w:object>
            </w:r>
          </w:p>
          <w:p w14:paraId="4E5A7E31">
            <w:pPr>
              <w:numPr>
                <w:ilvl w:val="0"/>
                <w:numId w:val="3"/>
              </w:numPr>
              <w:spacing w:line="360" w:lineRule="auto"/>
              <w:ind w:left="0" w:leftChars="0" w:firstLine="560" w:firstLineChars="0"/>
              <w:jc w:val="center"/>
              <w:rPr>
                <w:rFonts w:hint="eastAsia" w:ascii="Times New Roman" w:hAnsi="宋体" w:eastAsia="宋体" w:cs="Times New Roman"/>
                <w:color w:val="auto"/>
                <w:kern w:val="0"/>
                <w:sz w:val="24"/>
                <w:szCs w:val="24"/>
                <w:lang w:eastAsia="zh-CN"/>
              </w:rPr>
            </w:pPr>
            <w:r>
              <w:rPr>
                <w:rFonts w:hint="eastAsia" w:ascii="Times New Roman" w:hAnsi="宋体" w:eastAsia="宋体" w:cs="Times New Roman"/>
                <w:b/>
                <w:color w:val="auto"/>
                <w:kern w:val="0"/>
                <w:sz w:val="24"/>
                <w:szCs w:val="24"/>
                <w:lang w:val="en-US" w:eastAsia="zh-CN"/>
              </w:rPr>
              <w:t xml:space="preserve">  施工工艺流程及产排污环节图</w:t>
            </w:r>
          </w:p>
          <w:p w14:paraId="34511ADF">
            <w:pPr>
              <w:rPr>
                <w:rFonts w:hint="eastAsia" w:ascii="Times New Roman" w:hAnsi="宋体" w:eastAsia="宋体" w:cs="Times New Roman"/>
                <w:color w:val="auto"/>
                <w:kern w:val="0"/>
                <w:sz w:val="24"/>
                <w:szCs w:val="24"/>
                <w:lang w:val="en-US" w:eastAsia="zh-CN"/>
              </w:rPr>
            </w:pPr>
            <w:r>
              <w:rPr>
                <w:rFonts w:hint="eastAsia" w:ascii="Times New Roman" w:hAnsi="宋体" w:eastAsia="宋体" w:cs="Times New Roman"/>
                <w:color w:val="auto"/>
                <w:kern w:val="0"/>
                <w:sz w:val="24"/>
                <w:szCs w:val="24"/>
                <w:lang w:val="en-US" w:eastAsia="zh-CN"/>
              </w:rPr>
              <w:t>N：噪声；S:岩屑、废泥浆、废包装材料</w:t>
            </w:r>
          </w:p>
          <w:p w14:paraId="158C30DA">
            <w:pPr>
              <w:numPr>
                <w:ilvl w:val="0"/>
                <w:numId w:val="0"/>
              </w:numPr>
              <w:spacing w:line="360" w:lineRule="auto"/>
              <w:ind w:firstLine="480" w:firstLineChars="200"/>
              <w:rPr>
                <w:rFonts w:hint="eastAsia" w:ascii="Times New Roman" w:hAnsi="宋体" w:eastAsia="宋体" w:cs="Times New Roman"/>
                <w:color w:val="auto"/>
                <w:kern w:val="0"/>
                <w:sz w:val="24"/>
                <w:szCs w:val="24"/>
                <w:lang w:val="en-US" w:eastAsia="zh-CN"/>
              </w:rPr>
            </w:pPr>
            <w:r>
              <w:rPr>
                <w:rFonts w:hint="eastAsia" w:ascii="Times New Roman" w:hAnsi="宋体" w:eastAsia="宋体" w:cs="Times New Roman"/>
                <w:color w:val="auto"/>
                <w:kern w:val="0"/>
                <w:sz w:val="24"/>
                <w:szCs w:val="24"/>
                <w:lang w:val="en-US" w:eastAsia="zh-CN"/>
              </w:rPr>
              <w:t>工艺流程简述</w:t>
            </w:r>
          </w:p>
          <w:p w14:paraId="172A6787">
            <w:pPr>
              <w:numPr>
                <w:ilvl w:val="0"/>
                <w:numId w:val="0"/>
              </w:numPr>
              <w:spacing w:line="360" w:lineRule="auto"/>
              <w:ind w:firstLine="480" w:firstLineChars="200"/>
              <w:rPr>
                <w:rFonts w:hint="eastAsia" w:ascii="Times New Roman" w:hAnsi="宋体" w:eastAsia="宋体" w:cs="Times New Roman"/>
                <w:color w:val="auto"/>
                <w:kern w:val="0"/>
                <w:sz w:val="24"/>
                <w:szCs w:val="24"/>
                <w:lang w:eastAsia="zh-CN"/>
              </w:rPr>
            </w:pPr>
            <w:r>
              <w:rPr>
                <w:rFonts w:hint="eastAsia" w:ascii="Times New Roman" w:hAnsi="宋体" w:eastAsia="宋体" w:cs="Times New Roman"/>
                <w:color w:val="auto"/>
                <w:kern w:val="0"/>
                <w:sz w:val="24"/>
                <w:szCs w:val="24"/>
                <w:lang w:val="en-US" w:eastAsia="zh-CN"/>
              </w:rPr>
              <w:t>1、</w:t>
            </w:r>
            <w:r>
              <w:rPr>
                <w:rFonts w:ascii="Times New Roman" w:hAnsi="宋体" w:eastAsia="宋体" w:cs="Times New Roman"/>
                <w:color w:val="auto"/>
                <w:kern w:val="0"/>
                <w:sz w:val="24"/>
                <w:szCs w:val="24"/>
              </w:rPr>
              <w:t>钻井</w:t>
            </w:r>
            <w:r>
              <w:rPr>
                <w:rFonts w:hint="eastAsia" w:ascii="Times New Roman" w:hAnsi="宋体" w:eastAsia="宋体" w:cs="Times New Roman"/>
                <w:color w:val="auto"/>
                <w:kern w:val="0"/>
                <w:sz w:val="24"/>
                <w:szCs w:val="24"/>
                <w:lang w:eastAsia="zh-CN"/>
              </w:rPr>
              <w:t>施工</w:t>
            </w:r>
          </w:p>
          <w:p w14:paraId="65906444">
            <w:pPr>
              <w:spacing w:line="360" w:lineRule="auto"/>
              <w:ind w:firstLine="480" w:firstLineChars="200"/>
              <w:rPr>
                <w:rFonts w:hint="eastAsia"/>
                <w:color w:val="auto"/>
                <w:sz w:val="24"/>
                <w:lang w:val="en-US" w:eastAsia="zh-CN"/>
              </w:rPr>
            </w:pPr>
            <w:r>
              <w:rPr>
                <w:rFonts w:hint="eastAsia"/>
                <w:color w:val="auto"/>
                <w:sz w:val="24"/>
                <w:lang w:val="en-US" w:eastAsia="zh-CN"/>
              </w:rPr>
              <w:t>本项目钻井工程采用目前常用的井身结构，一开选用Φ444.5mm钻头，钻至基岩面以下不少于10m（稳定基岩），下入Φ339.7×9.65mm表层套管，封第四系表土层。采用G级水泥石油固井。二开选用Φ311.15mm钻头，钻至设计的着陆点（水平井由斜井变水平的位置），下入Φ244.5×8.94mm技术套管，采用G级水泥石油固井。为确保水平井水平段钻遇率，在水平井着陆前，采用大斜度导眼揭露目标煤层，获取煤层及上覆岩层埋深、岩性特征及随钻测井响应特征等参数，为水平段精确地质导向钻进提供依据；导眼井判定煤层位置后使用水泥进行封孔。三开使用随钻导向仪器、Φ215.9mm钻头沿目标煤层进行水平段钻进，钻至设计停钻位置，下入Φ139.7×9.17mm生产套管，采用G级水泥石油固井。</w:t>
            </w:r>
          </w:p>
          <w:p w14:paraId="4836D38D">
            <w:pPr>
              <w:pStyle w:val="95"/>
              <w:numPr>
                <w:ilvl w:val="1"/>
                <w:numId w:val="2"/>
              </w:numPr>
              <w:tabs>
                <w:tab w:val="left" w:pos="2100"/>
                <w:tab w:val="clear" w:pos="1440"/>
              </w:tabs>
              <w:spacing w:line="240" w:lineRule="auto"/>
              <w:ind w:left="3300" w:leftChars="0" w:firstLine="60" w:firstLineChars="0"/>
              <w:jc w:val="both"/>
              <w:rPr>
                <w:color w:val="auto"/>
                <w:highlight w:val="none"/>
              </w:rPr>
            </w:pPr>
            <w:r>
              <w:rPr>
                <w:rFonts w:hint="eastAsia"/>
                <w:color w:val="auto"/>
                <w:highlight w:val="none"/>
                <w:lang w:eastAsia="zh-CN"/>
              </w:rPr>
              <w:t>钻井</w:t>
            </w:r>
            <w:r>
              <w:rPr>
                <w:rFonts w:hint="eastAsia"/>
                <w:color w:val="auto"/>
                <w:highlight w:val="none"/>
              </w:rPr>
              <w:t>井身结构说明</w:t>
            </w:r>
          </w:p>
          <w:tbl>
            <w:tblPr>
              <w:tblStyle w:val="25"/>
              <w:tblW w:w="7677" w:type="dxa"/>
              <w:tblInd w:w="-5" w:type="dxa"/>
              <w:shd w:val="clear" w:color="auto" w:fill="CCE8CF" w:themeFill="background1"/>
              <w:tblLayout w:type="autofit"/>
              <w:tblCellMar>
                <w:top w:w="0" w:type="dxa"/>
                <w:left w:w="0" w:type="dxa"/>
                <w:bottom w:w="0" w:type="dxa"/>
                <w:right w:w="0" w:type="dxa"/>
              </w:tblCellMar>
            </w:tblPr>
            <w:tblGrid>
              <w:gridCol w:w="762"/>
              <w:gridCol w:w="1084"/>
              <w:gridCol w:w="1084"/>
              <w:gridCol w:w="4747"/>
            </w:tblGrid>
            <w:tr w14:paraId="5E995F3B">
              <w:tblPrEx>
                <w:shd w:val="clear" w:color="auto" w:fill="CCE8CF" w:themeFill="background1"/>
              </w:tblPrEx>
              <w:trPr>
                <w:trHeight w:val="469" w:hRule="atLeast"/>
                <w:tblHeader/>
              </w:trPr>
              <w:tc>
                <w:tcPr>
                  <w:tcW w:w="49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6C6ADC39">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开钻次序</w:t>
                  </w:r>
                </w:p>
              </w:tc>
              <w:tc>
                <w:tcPr>
                  <w:tcW w:w="70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7CF5F6CA">
                  <w:pPr>
                    <w:adjustRightInd w:val="0"/>
                    <w:snapToGrid w:val="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孔径</w:t>
                  </w:r>
                  <w:r>
                    <w:rPr>
                      <w:rFonts w:hint="default" w:ascii="Times New Roman" w:hAnsi="Times New Roman" w:eastAsia="宋体" w:cs="Times New Roman"/>
                      <w:color w:val="auto"/>
                      <w:highlight w:val="none"/>
                    </w:rPr>
                    <w:t>mm</w:t>
                  </w:r>
                </w:p>
              </w:tc>
              <w:tc>
                <w:tcPr>
                  <w:tcW w:w="70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3A6EECF9">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套管尺寸mm</w:t>
                  </w:r>
                </w:p>
              </w:tc>
              <w:tc>
                <w:tcPr>
                  <w:tcW w:w="3091"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47F760F8">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    计    说    明</w:t>
                  </w:r>
                </w:p>
              </w:tc>
            </w:tr>
            <w:tr w14:paraId="4CB4D5F2">
              <w:tblPrEx>
                <w:tblCellMar>
                  <w:top w:w="0" w:type="dxa"/>
                  <w:left w:w="0" w:type="dxa"/>
                  <w:bottom w:w="0" w:type="dxa"/>
                  <w:right w:w="0" w:type="dxa"/>
                </w:tblCellMar>
              </w:tblPrEx>
              <w:trPr>
                <w:trHeight w:val="949" w:hRule="exact"/>
              </w:trPr>
              <w:tc>
                <w:tcPr>
                  <w:tcW w:w="49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0EC78A48">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  开</w:t>
                  </w:r>
                </w:p>
              </w:tc>
              <w:tc>
                <w:tcPr>
                  <w:tcW w:w="70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12291B2F">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444.5mm</w:t>
                  </w:r>
                </w:p>
              </w:tc>
              <w:tc>
                <w:tcPr>
                  <w:tcW w:w="70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37E032E9">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339.7</w:t>
                  </w:r>
                </w:p>
              </w:tc>
              <w:tc>
                <w:tcPr>
                  <w:tcW w:w="3091"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6B40FB13">
                  <w:pPr>
                    <w:adjustRightInd w:val="0"/>
                    <w:snapToGrid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用Φ444.5mm钻头钻进至基岩10米以下（稳定基岩面），一开完钻，下表层套管Φ339.7×9.65mm,水泥浆返至地面</w:t>
                  </w:r>
                </w:p>
              </w:tc>
            </w:tr>
            <w:tr w14:paraId="586EE38E">
              <w:tblPrEx>
                <w:tblCellMar>
                  <w:top w:w="0" w:type="dxa"/>
                  <w:left w:w="0" w:type="dxa"/>
                  <w:bottom w:w="0" w:type="dxa"/>
                  <w:right w:w="0" w:type="dxa"/>
                </w:tblCellMar>
              </w:tblPrEx>
              <w:trPr>
                <w:trHeight w:val="961" w:hRule="exact"/>
              </w:trPr>
              <w:tc>
                <w:tcPr>
                  <w:tcW w:w="49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25C252D7">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二  开</w:t>
                  </w:r>
                </w:p>
              </w:tc>
              <w:tc>
                <w:tcPr>
                  <w:tcW w:w="70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24B4B388">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311.15</w:t>
                  </w:r>
                </w:p>
              </w:tc>
              <w:tc>
                <w:tcPr>
                  <w:tcW w:w="70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7AC3E5D8">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244.5</w:t>
                  </w:r>
                </w:p>
              </w:tc>
              <w:tc>
                <w:tcPr>
                  <w:tcW w:w="3091"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3D51010F">
                  <w:pPr>
                    <w:adjustRightInd w:val="0"/>
                    <w:snapToGrid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用Φ311.15mm钻头钻进至着陆点，井斜达到90°左右，二开完钻，下Φ244.5×8.94mm技术套管固井，水泥浆返至地面</w:t>
                  </w:r>
                </w:p>
              </w:tc>
            </w:tr>
            <w:tr w14:paraId="36C05967">
              <w:tblPrEx>
                <w:tblCellMar>
                  <w:top w:w="0" w:type="dxa"/>
                  <w:left w:w="0" w:type="dxa"/>
                  <w:bottom w:w="0" w:type="dxa"/>
                  <w:right w:w="0" w:type="dxa"/>
                </w:tblCellMar>
              </w:tblPrEx>
              <w:trPr>
                <w:trHeight w:val="915" w:hRule="exact"/>
              </w:trPr>
              <w:tc>
                <w:tcPr>
                  <w:tcW w:w="49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064045EB">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三  开</w:t>
                  </w:r>
                </w:p>
              </w:tc>
              <w:tc>
                <w:tcPr>
                  <w:tcW w:w="70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6494872F">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215.9</w:t>
                  </w:r>
                </w:p>
              </w:tc>
              <w:tc>
                <w:tcPr>
                  <w:tcW w:w="706"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38BD8ECC">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139.7</w:t>
                  </w:r>
                </w:p>
              </w:tc>
              <w:tc>
                <w:tcPr>
                  <w:tcW w:w="3091" w:type="pct"/>
                  <w:tcBorders>
                    <w:top w:val="single" w:color="auto" w:sz="4" w:space="0"/>
                    <w:left w:val="single" w:color="auto" w:sz="4" w:space="0"/>
                    <w:bottom w:val="single" w:color="auto" w:sz="4" w:space="0"/>
                    <w:right w:val="single" w:color="auto" w:sz="4" w:space="0"/>
                  </w:tcBorders>
                  <w:shd w:val="clear" w:color="auto" w:fill="CCE8CF" w:themeFill="background1"/>
                  <w:tcMar>
                    <w:top w:w="15" w:type="dxa"/>
                    <w:left w:w="108" w:type="dxa"/>
                    <w:bottom w:w="0" w:type="dxa"/>
                    <w:right w:w="108" w:type="dxa"/>
                  </w:tcMar>
                  <w:vAlign w:val="center"/>
                </w:tcPr>
                <w:p w14:paraId="59753FCC">
                  <w:pPr>
                    <w:adjustRightInd w:val="0"/>
                    <w:snapToGrid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着陆后，用Φ215.9mm钻头在目标煤层钻进，钻至设计井深完钻，下入Φ139.7×9.17mm套管进行固井，水泥返至地面</w:t>
                  </w:r>
                </w:p>
              </w:tc>
            </w:tr>
          </w:tbl>
          <w:p w14:paraId="77520C78">
            <w:pPr>
              <w:pStyle w:val="2"/>
              <w:rPr>
                <w:rFonts w:hint="eastAsia"/>
                <w:color w:val="auto"/>
                <w:highlight w:val="none"/>
              </w:rPr>
            </w:pPr>
            <w:r>
              <w:drawing>
                <wp:inline distT="0" distB="0" distL="114300" distR="114300">
                  <wp:extent cx="5006340" cy="2698750"/>
                  <wp:effectExtent l="0" t="0" r="3810" b="635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9"/>
                          <a:stretch>
                            <a:fillRect/>
                          </a:stretch>
                        </pic:blipFill>
                        <pic:spPr>
                          <a:xfrm>
                            <a:off x="0" y="0"/>
                            <a:ext cx="5006340" cy="2698750"/>
                          </a:xfrm>
                          <a:prstGeom prst="rect">
                            <a:avLst/>
                          </a:prstGeom>
                          <a:noFill/>
                          <a:ln>
                            <a:noFill/>
                          </a:ln>
                        </pic:spPr>
                      </pic:pic>
                    </a:graphicData>
                  </a:graphic>
                </wp:inline>
              </w:drawing>
            </w:r>
          </w:p>
          <w:p w14:paraId="06896433">
            <w:pPr>
              <w:numPr>
                <w:ilvl w:val="0"/>
                <w:numId w:val="3"/>
              </w:numPr>
              <w:spacing w:line="360" w:lineRule="auto"/>
              <w:ind w:left="0" w:leftChars="0" w:firstLine="560" w:firstLineChars="0"/>
              <w:jc w:val="center"/>
              <w:rPr>
                <w:rFonts w:hint="eastAsia" w:ascii="Times New Roman" w:hAnsi="宋体" w:eastAsia="宋体" w:cs="Times New Roman"/>
                <w:b/>
                <w:color w:val="auto"/>
                <w:kern w:val="0"/>
                <w:sz w:val="24"/>
                <w:szCs w:val="24"/>
                <w:lang w:val="en-US" w:eastAsia="zh-CN"/>
              </w:rPr>
            </w:pPr>
            <w:r>
              <w:rPr>
                <w:rFonts w:hint="eastAsia" w:ascii="Times New Roman" w:hAnsi="宋体" w:eastAsia="宋体" w:cs="Times New Roman"/>
                <w:b/>
                <w:color w:val="auto"/>
                <w:kern w:val="0"/>
                <w:sz w:val="24"/>
                <w:szCs w:val="24"/>
                <w:lang w:val="en-US" w:eastAsia="zh-CN"/>
              </w:rPr>
              <w:t xml:space="preserve">  井身结构示意图</w:t>
            </w:r>
          </w:p>
          <w:p w14:paraId="5FC2DD32">
            <w:pPr>
              <w:numPr>
                <w:ilvl w:val="0"/>
                <w:numId w:val="0"/>
              </w:numPr>
              <w:spacing w:line="360" w:lineRule="auto"/>
              <w:ind w:firstLine="480" w:firstLineChars="200"/>
              <w:rPr>
                <w:rFonts w:ascii="Times New Roman" w:hAnsi="宋体" w:eastAsia="宋体" w:cs="Times New Roman"/>
                <w:color w:val="auto"/>
                <w:kern w:val="0"/>
                <w:sz w:val="24"/>
                <w:szCs w:val="24"/>
              </w:rPr>
            </w:pPr>
            <w:r>
              <w:rPr>
                <w:rFonts w:hint="eastAsia" w:ascii="Times New Roman" w:hAnsi="宋体" w:eastAsia="宋体" w:cs="Times New Roman"/>
                <w:color w:val="auto"/>
                <w:kern w:val="0"/>
                <w:sz w:val="24"/>
                <w:szCs w:val="24"/>
                <w:lang w:val="en-US" w:eastAsia="zh-CN"/>
              </w:rPr>
              <w:t>1）</w:t>
            </w:r>
            <w:r>
              <w:rPr>
                <w:rFonts w:hint="eastAsia" w:ascii="Times New Roman" w:hAnsi="宋体" w:eastAsia="宋体" w:cs="Times New Roman"/>
                <w:color w:val="auto"/>
                <w:kern w:val="0"/>
                <w:sz w:val="24"/>
                <w:szCs w:val="24"/>
              </w:rPr>
              <w:t>录井</w:t>
            </w:r>
          </w:p>
          <w:p w14:paraId="136D839D">
            <w:pPr>
              <w:numPr>
                <w:ilvl w:val="0"/>
                <w:numId w:val="0"/>
              </w:numPr>
              <w:spacing w:line="360" w:lineRule="auto"/>
              <w:ind w:firstLine="480" w:firstLineChars="200"/>
              <w:rPr>
                <w:rFonts w:ascii="Times New Roman" w:hAnsi="宋体" w:eastAsia="宋体" w:cs="Times New Roman"/>
                <w:color w:val="auto"/>
                <w:kern w:val="0"/>
                <w:sz w:val="24"/>
                <w:szCs w:val="24"/>
              </w:rPr>
            </w:pPr>
            <w:bookmarkStart w:id="3" w:name="_Toc2932342"/>
            <w:bookmarkStart w:id="4" w:name="_Toc345936128"/>
            <w:bookmarkStart w:id="5" w:name="_Toc3695"/>
            <w:bookmarkStart w:id="6" w:name="_Toc23229"/>
            <w:bookmarkStart w:id="7" w:name="_Toc12033"/>
            <w:bookmarkStart w:id="8" w:name="_Toc517349217"/>
            <w:bookmarkStart w:id="9" w:name="_Toc32550"/>
            <w:bookmarkStart w:id="10" w:name="_Toc491247109"/>
            <w:bookmarkStart w:id="11" w:name="_Toc21500"/>
            <w:r>
              <w:rPr>
                <w:rFonts w:ascii="Times New Roman" w:hAnsi="宋体" w:eastAsia="宋体" w:cs="Times New Roman"/>
                <w:color w:val="auto"/>
                <w:kern w:val="0"/>
                <w:sz w:val="24"/>
                <w:szCs w:val="24"/>
              </w:rPr>
              <w:t>钻探过程中严格按照</w:t>
            </w:r>
            <w:r>
              <w:rPr>
                <w:rFonts w:hint="eastAsia" w:ascii="Times New Roman" w:hAnsi="宋体" w:eastAsia="宋体" w:cs="Times New Roman"/>
                <w:color w:val="auto"/>
                <w:kern w:val="0"/>
                <w:sz w:val="24"/>
                <w:szCs w:val="24"/>
              </w:rPr>
              <w:t>淮河能源《淮南矿区A组煤、B组煤、C组煤 煤层气水平井钻井工程技术规范》</w:t>
            </w:r>
            <w:r>
              <w:rPr>
                <w:rFonts w:ascii="Times New Roman" w:hAnsi="宋体" w:eastAsia="宋体" w:cs="Times New Roman"/>
                <w:color w:val="auto"/>
                <w:kern w:val="0"/>
                <w:sz w:val="24"/>
                <w:szCs w:val="24"/>
              </w:rPr>
              <w:t>和设计进行录井作业，具体包括：钻时录井、岩屑录井、钻井液录井、</w:t>
            </w:r>
            <w:r>
              <w:rPr>
                <w:rFonts w:hint="eastAsia" w:ascii="Times New Roman" w:hAnsi="宋体" w:eastAsia="宋体" w:cs="Times New Roman"/>
                <w:color w:val="auto"/>
                <w:kern w:val="0"/>
                <w:sz w:val="24"/>
                <w:szCs w:val="24"/>
              </w:rPr>
              <w:t>气测录井、</w:t>
            </w:r>
            <w:r>
              <w:rPr>
                <w:rFonts w:ascii="Times New Roman" w:hAnsi="宋体" w:eastAsia="宋体" w:cs="Times New Roman"/>
                <w:color w:val="auto"/>
                <w:kern w:val="0"/>
                <w:sz w:val="24"/>
                <w:szCs w:val="24"/>
              </w:rPr>
              <w:t>简易水文观测、工程参数录井、特殊作业录井</w:t>
            </w:r>
            <w:r>
              <w:rPr>
                <w:rFonts w:hint="eastAsia" w:ascii="Times New Roman" w:hAnsi="宋体" w:eastAsia="宋体" w:cs="Times New Roman"/>
                <w:color w:val="auto"/>
                <w:kern w:val="0"/>
                <w:sz w:val="24"/>
                <w:szCs w:val="24"/>
              </w:rPr>
              <w:t>等</w:t>
            </w:r>
            <w:r>
              <w:rPr>
                <w:rFonts w:ascii="Times New Roman" w:hAnsi="宋体" w:eastAsia="宋体" w:cs="Times New Roman"/>
                <w:color w:val="auto"/>
                <w:kern w:val="0"/>
                <w:sz w:val="24"/>
                <w:szCs w:val="24"/>
              </w:rPr>
              <w:t>。</w:t>
            </w:r>
          </w:p>
          <w:p w14:paraId="5ED822FD">
            <w:pPr>
              <w:numPr>
                <w:ilvl w:val="0"/>
                <w:numId w:val="0"/>
              </w:numPr>
              <w:spacing w:line="360" w:lineRule="auto"/>
              <w:ind w:firstLine="480" w:firstLineChars="200"/>
              <w:rPr>
                <w:rFonts w:ascii="Times New Roman" w:hAnsi="宋体" w:eastAsia="宋体" w:cs="Times New Roman"/>
                <w:color w:val="auto"/>
                <w:kern w:val="0"/>
                <w:sz w:val="24"/>
                <w:szCs w:val="24"/>
              </w:rPr>
            </w:pPr>
            <w:bookmarkStart w:id="12" w:name="_Toc14973"/>
            <w:bookmarkStart w:id="13" w:name="_Toc2153"/>
            <w:r>
              <w:rPr>
                <w:rFonts w:hint="eastAsia" w:ascii="Times New Roman" w:hAnsi="宋体" w:eastAsia="宋体" w:cs="Times New Roman"/>
                <w:color w:val="auto"/>
                <w:kern w:val="0"/>
                <w:sz w:val="24"/>
                <w:szCs w:val="24"/>
                <w:lang w:eastAsia="zh-CN"/>
              </w:rPr>
              <w:t>①</w:t>
            </w:r>
            <w:r>
              <w:rPr>
                <w:rFonts w:ascii="Times New Roman" w:hAnsi="宋体" w:eastAsia="宋体" w:cs="Times New Roman"/>
                <w:color w:val="auto"/>
                <w:kern w:val="0"/>
                <w:sz w:val="24"/>
                <w:szCs w:val="24"/>
              </w:rPr>
              <w:t>钻时录井</w:t>
            </w:r>
            <w:bookmarkEnd w:id="12"/>
            <w:bookmarkEnd w:id="13"/>
          </w:p>
          <w:p w14:paraId="0D732423">
            <w:pPr>
              <w:numPr>
                <w:ilvl w:val="0"/>
                <w:numId w:val="0"/>
              </w:numPr>
              <w:spacing w:line="360" w:lineRule="auto"/>
              <w:ind w:firstLine="480" w:firstLineChars="200"/>
              <w:rPr>
                <w:rFonts w:ascii="Times New Roman" w:hAnsi="宋体" w:eastAsia="宋体" w:cs="Times New Roman"/>
                <w:color w:val="auto"/>
                <w:kern w:val="0"/>
                <w:sz w:val="24"/>
                <w:szCs w:val="24"/>
              </w:rPr>
            </w:pPr>
            <w:r>
              <w:rPr>
                <w:rFonts w:ascii="Times New Roman" w:hAnsi="宋体" w:eastAsia="宋体" w:cs="Times New Roman"/>
                <w:color w:val="auto"/>
                <w:kern w:val="0"/>
                <w:sz w:val="24"/>
                <w:szCs w:val="24"/>
              </w:rPr>
              <w:t>1</w:t>
            </w:r>
            <w:r>
              <w:rPr>
                <w:rFonts w:hint="eastAsia" w:ascii="Times New Roman" w:hAnsi="宋体" w:eastAsia="宋体" w:cs="Times New Roman"/>
                <w:color w:val="auto"/>
                <w:kern w:val="0"/>
                <w:sz w:val="24"/>
                <w:szCs w:val="24"/>
              </w:rPr>
              <w:t>．全井从一开每钻进1m记录1个点，打导眼进入下石盒子组后0.5m记录1个点。</w:t>
            </w:r>
          </w:p>
          <w:p w14:paraId="0CAF77C3">
            <w:pPr>
              <w:numPr>
                <w:ilvl w:val="0"/>
                <w:numId w:val="0"/>
              </w:numPr>
              <w:spacing w:line="360" w:lineRule="auto"/>
              <w:ind w:firstLine="480" w:firstLineChars="200"/>
              <w:rPr>
                <w:rFonts w:ascii="Times New Roman" w:hAnsi="宋体" w:eastAsia="宋体" w:cs="Times New Roman"/>
                <w:color w:val="auto"/>
                <w:kern w:val="0"/>
                <w:sz w:val="24"/>
                <w:szCs w:val="24"/>
              </w:rPr>
            </w:pPr>
            <w:r>
              <w:rPr>
                <w:rFonts w:hint="eastAsia" w:ascii="Times New Roman" w:hAnsi="宋体" w:eastAsia="宋体" w:cs="Times New Roman"/>
                <w:color w:val="auto"/>
                <w:kern w:val="0"/>
                <w:sz w:val="24"/>
                <w:szCs w:val="24"/>
              </w:rPr>
              <w:t>2．要随时记录钻时突变点，以便及时发现煤层，卡准煤层深度等。</w:t>
            </w:r>
          </w:p>
          <w:p w14:paraId="17A745A1">
            <w:pPr>
              <w:numPr>
                <w:ilvl w:val="0"/>
                <w:numId w:val="0"/>
              </w:numPr>
              <w:spacing w:line="360" w:lineRule="auto"/>
              <w:ind w:firstLine="480" w:firstLineChars="200"/>
              <w:rPr>
                <w:rFonts w:ascii="Times New Roman" w:hAnsi="宋体" w:eastAsia="宋体" w:cs="Times New Roman"/>
                <w:color w:val="auto"/>
                <w:kern w:val="0"/>
                <w:sz w:val="24"/>
                <w:szCs w:val="24"/>
              </w:rPr>
            </w:pPr>
            <w:r>
              <w:rPr>
                <w:rFonts w:ascii="Times New Roman" w:hAnsi="宋体" w:eastAsia="宋体" w:cs="Times New Roman"/>
                <w:color w:val="auto"/>
                <w:kern w:val="0"/>
                <w:sz w:val="24"/>
                <w:szCs w:val="24"/>
              </w:rPr>
              <w:t>3</w:t>
            </w:r>
            <w:r>
              <w:rPr>
                <w:rFonts w:hint="eastAsia" w:ascii="Times New Roman" w:hAnsi="宋体" w:eastAsia="宋体" w:cs="Times New Roman"/>
                <w:color w:val="auto"/>
                <w:kern w:val="0"/>
                <w:sz w:val="24"/>
                <w:szCs w:val="24"/>
              </w:rPr>
              <w:t>．保持钻井参数的相对稳定，以便提高钻时参数反映地层岩性的有效性，并记录造成假钻时的非地质因素。</w:t>
            </w:r>
          </w:p>
          <w:p w14:paraId="0EF0C7CC">
            <w:pPr>
              <w:numPr>
                <w:ilvl w:val="0"/>
                <w:numId w:val="0"/>
              </w:numPr>
              <w:spacing w:line="360" w:lineRule="auto"/>
              <w:ind w:firstLine="480" w:firstLineChars="200"/>
              <w:rPr>
                <w:rFonts w:ascii="Times New Roman" w:hAnsi="宋体" w:eastAsia="宋体" w:cs="Times New Roman"/>
                <w:color w:val="auto"/>
                <w:kern w:val="0"/>
                <w:sz w:val="24"/>
                <w:szCs w:val="24"/>
              </w:rPr>
            </w:pPr>
            <w:r>
              <w:rPr>
                <w:rFonts w:ascii="Times New Roman" w:hAnsi="宋体" w:eastAsia="宋体" w:cs="Times New Roman"/>
                <w:color w:val="auto"/>
                <w:kern w:val="0"/>
                <w:sz w:val="24"/>
                <w:szCs w:val="24"/>
              </w:rPr>
              <w:t>4</w:t>
            </w:r>
            <w:r>
              <w:rPr>
                <w:rFonts w:hint="eastAsia" w:ascii="Times New Roman" w:hAnsi="宋体" w:eastAsia="宋体" w:cs="Times New Roman"/>
                <w:color w:val="auto"/>
                <w:kern w:val="0"/>
                <w:sz w:val="24"/>
                <w:szCs w:val="24"/>
              </w:rPr>
              <w:t>．必须经常核对钻具长度和井深，每钻完一个单根和起钻前必须校对井深，单根钻完井深与计算井深误差不得超过0.1m。钻时分层深度与测井深度相对误差不得超过两个录井间距。</w:t>
            </w:r>
          </w:p>
          <w:p w14:paraId="2F111104">
            <w:pPr>
              <w:numPr>
                <w:ilvl w:val="0"/>
                <w:numId w:val="0"/>
              </w:numPr>
              <w:spacing w:line="360" w:lineRule="auto"/>
              <w:ind w:firstLine="480" w:firstLineChars="200"/>
              <w:rPr>
                <w:rFonts w:ascii="Times New Roman" w:hAnsi="宋体" w:eastAsia="宋体" w:cs="Times New Roman"/>
                <w:color w:val="auto"/>
                <w:kern w:val="0"/>
                <w:sz w:val="24"/>
                <w:szCs w:val="24"/>
              </w:rPr>
            </w:pPr>
            <w:r>
              <w:rPr>
                <w:rFonts w:ascii="Times New Roman" w:hAnsi="宋体" w:eastAsia="宋体" w:cs="Times New Roman"/>
                <w:color w:val="auto"/>
                <w:kern w:val="0"/>
                <w:sz w:val="24"/>
                <w:szCs w:val="24"/>
              </w:rPr>
              <w:t>5</w:t>
            </w:r>
            <w:r>
              <w:rPr>
                <w:rFonts w:hint="eastAsia" w:ascii="Times New Roman" w:hAnsi="宋体" w:eastAsia="宋体" w:cs="Times New Roman"/>
                <w:color w:val="auto"/>
                <w:kern w:val="0"/>
                <w:sz w:val="24"/>
                <w:szCs w:val="24"/>
              </w:rPr>
              <w:t>．全井漏取钻时点数不得超过总数的0.5%，目的层井段钻时点不允许漏取。</w:t>
            </w:r>
          </w:p>
          <w:bookmarkEnd w:id="3"/>
          <w:bookmarkEnd w:id="4"/>
          <w:bookmarkEnd w:id="5"/>
          <w:bookmarkEnd w:id="6"/>
          <w:bookmarkEnd w:id="7"/>
          <w:bookmarkEnd w:id="8"/>
          <w:bookmarkEnd w:id="9"/>
          <w:bookmarkEnd w:id="10"/>
          <w:bookmarkEnd w:id="11"/>
          <w:p w14:paraId="59827F1C">
            <w:pPr>
              <w:numPr>
                <w:ilvl w:val="0"/>
                <w:numId w:val="0"/>
              </w:numPr>
              <w:spacing w:line="360" w:lineRule="auto"/>
              <w:ind w:firstLine="480" w:firstLineChars="200"/>
              <w:rPr>
                <w:rFonts w:ascii="Times New Roman" w:hAnsi="宋体" w:eastAsia="宋体" w:cs="Times New Roman"/>
                <w:color w:val="auto"/>
                <w:kern w:val="0"/>
                <w:sz w:val="24"/>
                <w:szCs w:val="24"/>
              </w:rPr>
            </w:pPr>
            <w:bookmarkStart w:id="14" w:name="_Toc4438"/>
            <w:bookmarkStart w:id="15" w:name="_Toc26116"/>
            <w:bookmarkStart w:id="16" w:name="_Toc32452"/>
            <w:bookmarkStart w:id="17" w:name="_Toc327263909"/>
            <w:bookmarkStart w:id="18" w:name="_Toc491247111"/>
            <w:bookmarkStart w:id="19" w:name="_Toc517349219"/>
            <w:bookmarkStart w:id="20" w:name="_Toc28098"/>
            <w:bookmarkStart w:id="21" w:name="_Toc345936130"/>
            <w:bookmarkStart w:id="22" w:name="_Toc21302"/>
            <w:bookmarkStart w:id="23" w:name="_Toc6588"/>
            <w:bookmarkStart w:id="24" w:name="_Toc29610"/>
            <w:bookmarkStart w:id="25" w:name="_Toc2932344"/>
            <w:r>
              <w:rPr>
                <w:rFonts w:hint="eastAsia" w:ascii="Times New Roman" w:hAnsi="宋体" w:eastAsia="宋体" w:cs="Times New Roman"/>
                <w:color w:val="auto"/>
                <w:kern w:val="0"/>
                <w:sz w:val="24"/>
                <w:szCs w:val="24"/>
                <w:lang w:eastAsia="zh-CN"/>
              </w:rPr>
              <w:t>②</w:t>
            </w:r>
            <w:r>
              <w:rPr>
                <w:rFonts w:ascii="Times New Roman" w:hAnsi="宋体" w:eastAsia="宋体" w:cs="Times New Roman"/>
                <w:color w:val="auto"/>
                <w:kern w:val="0"/>
                <w:sz w:val="24"/>
                <w:szCs w:val="24"/>
              </w:rPr>
              <w:t>岩屑录井</w:t>
            </w:r>
            <w:bookmarkEnd w:id="14"/>
            <w:bookmarkEnd w:id="15"/>
          </w:p>
          <w:p w14:paraId="73D40BA4">
            <w:pPr>
              <w:numPr>
                <w:ilvl w:val="0"/>
                <w:numId w:val="0"/>
              </w:numPr>
              <w:spacing w:line="360" w:lineRule="auto"/>
              <w:ind w:firstLine="480" w:firstLineChars="200"/>
              <w:rPr>
                <w:rFonts w:ascii="Times New Roman" w:hAnsi="宋体" w:eastAsia="宋体" w:cs="Times New Roman"/>
                <w:color w:val="auto"/>
                <w:kern w:val="0"/>
                <w:sz w:val="24"/>
                <w:szCs w:val="24"/>
              </w:rPr>
            </w:pPr>
            <w:r>
              <w:rPr>
                <w:rFonts w:ascii="Times New Roman" w:hAnsi="宋体" w:eastAsia="宋体" w:cs="Times New Roman"/>
                <w:color w:val="auto"/>
                <w:kern w:val="0"/>
                <w:sz w:val="24"/>
                <w:szCs w:val="24"/>
              </w:rPr>
              <w:t>1</w:t>
            </w:r>
            <w:r>
              <w:rPr>
                <w:rFonts w:hint="eastAsia" w:ascii="Times New Roman" w:hAnsi="宋体" w:eastAsia="宋体" w:cs="Times New Roman"/>
                <w:color w:val="auto"/>
                <w:kern w:val="0"/>
                <w:sz w:val="24"/>
                <w:szCs w:val="24"/>
              </w:rPr>
              <w:t>．</w:t>
            </w:r>
            <w:r>
              <w:rPr>
                <w:rFonts w:ascii="Times New Roman" w:hAnsi="宋体" w:eastAsia="宋体" w:cs="Times New Roman"/>
                <w:color w:val="auto"/>
                <w:kern w:val="0"/>
                <w:sz w:val="24"/>
                <w:szCs w:val="24"/>
              </w:rPr>
              <w:t>全井段进行岩屑录井。一开井段</w:t>
            </w:r>
            <w:r>
              <w:rPr>
                <w:rFonts w:hint="eastAsia" w:ascii="Times New Roman" w:hAnsi="宋体" w:eastAsia="宋体" w:cs="Times New Roman"/>
                <w:color w:val="auto"/>
                <w:kern w:val="0"/>
                <w:sz w:val="24"/>
                <w:szCs w:val="24"/>
              </w:rPr>
              <w:t>每2m捞1包岩屑样品，要求准确判断基岩面</w:t>
            </w:r>
            <w:r>
              <w:rPr>
                <w:rFonts w:ascii="Times New Roman" w:hAnsi="宋体" w:eastAsia="宋体" w:cs="Times New Roman"/>
                <w:color w:val="auto"/>
                <w:kern w:val="0"/>
                <w:sz w:val="24"/>
                <w:szCs w:val="24"/>
              </w:rPr>
              <w:t>；</w:t>
            </w:r>
            <w:r>
              <w:rPr>
                <w:rFonts w:hint="eastAsia" w:ascii="Times New Roman" w:hAnsi="宋体" w:eastAsia="宋体" w:cs="Times New Roman"/>
                <w:color w:val="auto"/>
                <w:kern w:val="0"/>
                <w:sz w:val="24"/>
                <w:szCs w:val="24"/>
              </w:rPr>
              <w:t>其他井段每1m捞1包岩屑样品，</w:t>
            </w:r>
            <w:r>
              <w:rPr>
                <w:rFonts w:ascii="Times New Roman" w:hAnsi="宋体" w:eastAsia="宋体" w:cs="Times New Roman"/>
                <w:color w:val="auto"/>
                <w:kern w:val="0"/>
                <w:sz w:val="24"/>
                <w:szCs w:val="24"/>
              </w:rPr>
              <w:t>并做好鉴定，建立地层剖面。现场整理、汇总岩屑录井表，并绘制1:500随钻剖面，对地层做出初步的判定和划分。</w:t>
            </w:r>
          </w:p>
          <w:p w14:paraId="61DEBDCB">
            <w:pPr>
              <w:numPr>
                <w:ilvl w:val="0"/>
                <w:numId w:val="0"/>
              </w:numPr>
              <w:spacing w:line="360" w:lineRule="auto"/>
              <w:ind w:firstLine="480" w:firstLineChars="200"/>
              <w:rPr>
                <w:rFonts w:ascii="Times New Roman" w:hAnsi="宋体" w:eastAsia="宋体" w:cs="Times New Roman"/>
                <w:color w:val="auto"/>
                <w:kern w:val="0"/>
                <w:sz w:val="24"/>
                <w:szCs w:val="24"/>
              </w:rPr>
            </w:pPr>
            <w:r>
              <w:rPr>
                <w:rFonts w:hint="eastAsia" w:ascii="Times New Roman" w:hAnsi="宋体" w:eastAsia="宋体" w:cs="Times New Roman"/>
                <w:color w:val="auto"/>
                <w:kern w:val="0"/>
                <w:sz w:val="24"/>
                <w:szCs w:val="24"/>
              </w:rPr>
              <w:t>2．</w:t>
            </w:r>
            <w:r>
              <w:rPr>
                <w:rFonts w:ascii="Times New Roman" w:hAnsi="宋体" w:eastAsia="宋体" w:cs="Times New Roman"/>
                <w:color w:val="auto"/>
                <w:kern w:val="0"/>
                <w:sz w:val="24"/>
                <w:szCs w:val="24"/>
              </w:rPr>
              <w:t>岩屑录井时，必须把握岩屑样的代表性，并注意洗净、晾干、做好描述，并装袋保管，岩屑晾干后不得少于500g。全井漏取岩屑样的包数不得超过总数的0.5%，目的层井段不允许漏样。</w:t>
            </w:r>
          </w:p>
          <w:bookmarkEnd w:id="16"/>
          <w:bookmarkEnd w:id="17"/>
          <w:bookmarkEnd w:id="18"/>
          <w:bookmarkEnd w:id="19"/>
          <w:bookmarkEnd w:id="20"/>
          <w:bookmarkEnd w:id="21"/>
          <w:bookmarkEnd w:id="22"/>
          <w:bookmarkEnd w:id="23"/>
          <w:bookmarkEnd w:id="24"/>
          <w:bookmarkEnd w:id="25"/>
          <w:p w14:paraId="255EC41D">
            <w:pPr>
              <w:numPr>
                <w:ilvl w:val="0"/>
                <w:numId w:val="0"/>
              </w:numPr>
              <w:spacing w:line="360" w:lineRule="auto"/>
              <w:ind w:firstLine="480" w:firstLineChars="200"/>
              <w:rPr>
                <w:rFonts w:ascii="Times New Roman" w:hAnsi="宋体" w:eastAsia="宋体" w:cs="Times New Roman"/>
                <w:color w:val="auto"/>
                <w:kern w:val="0"/>
                <w:sz w:val="24"/>
                <w:szCs w:val="24"/>
              </w:rPr>
            </w:pPr>
            <w:bookmarkStart w:id="26" w:name="_Toc27942"/>
            <w:bookmarkStart w:id="27" w:name="_Toc31761"/>
            <w:bookmarkStart w:id="28" w:name="_Toc23661"/>
            <w:bookmarkStart w:id="29" w:name="_Toc9002"/>
            <w:r>
              <w:rPr>
                <w:rFonts w:hint="eastAsia" w:ascii="Times New Roman" w:hAnsi="宋体" w:eastAsia="宋体" w:cs="Times New Roman"/>
                <w:color w:val="auto"/>
                <w:kern w:val="0"/>
                <w:sz w:val="24"/>
                <w:szCs w:val="24"/>
                <w:lang w:eastAsia="zh-CN"/>
              </w:rPr>
              <w:t>③</w:t>
            </w:r>
            <w:r>
              <w:rPr>
                <w:rFonts w:ascii="Times New Roman" w:hAnsi="宋体" w:eastAsia="宋体" w:cs="Times New Roman"/>
                <w:color w:val="auto"/>
                <w:kern w:val="0"/>
                <w:sz w:val="24"/>
                <w:szCs w:val="24"/>
              </w:rPr>
              <w:t>钻井液录井</w:t>
            </w:r>
            <w:bookmarkEnd w:id="26"/>
            <w:bookmarkEnd w:id="27"/>
          </w:p>
          <w:p w14:paraId="68E3EABE">
            <w:pPr>
              <w:numPr>
                <w:ilvl w:val="0"/>
                <w:numId w:val="0"/>
              </w:numPr>
              <w:spacing w:line="360" w:lineRule="auto"/>
              <w:ind w:firstLine="480" w:firstLineChars="200"/>
              <w:rPr>
                <w:rFonts w:ascii="Times New Roman" w:hAnsi="宋体" w:eastAsia="宋体" w:cs="Times New Roman"/>
                <w:color w:val="auto"/>
                <w:kern w:val="0"/>
                <w:sz w:val="24"/>
                <w:szCs w:val="24"/>
              </w:rPr>
            </w:pPr>
            <w:r>
              <w:rPr>
                <w:rFonts w:ascii="Times New Roman" w:hAnsi="宋体" w:eastAsia="宋体" w:cs="Times New Roman"/>
                <w:color w:val="auto"/>
                <w:kern w:val="0"/>
                <w:sz w:val="24"/>
                <w:szCs w:val="24"/>
              </w:rPr>
              <w:t>钻井液录井是发现气层的重要手段之一，要求每8h作一次失水、含砂、泥饼、酸碱度等</w:t>
            </w:r>
            <w:r>
              <w:rPr>
                <w:rFonts w:hint="eastAsia" w:ascii="Times New Roman" w:hAnsi="宋体" w:eastAsia="宋体" w:cs="Times New Roman"/>
                <w:color w:val="auto"/>
                <w:kern w:val="0"/>
                <w:sz w:val="24"/>
                <w:szCs w:val="24"/>
              </w:rPr>
              <w:t>测定</w:t>
            </w:r>
            <w:r>
              <w:rPr>
                <w:rFonts w:ascii="Times New Roman" w:hAnsi="宋体" w:eastAsia="宋体" w:cs="Times New Roman"/>
                <w:color w:val="auto"/>
                <w:kern w:val="0"/>
                <w:sz w:val="24"/>
                <w:szCs w:val="24"/>
              </w:rPr>
              <w:t>，每2h作一次密度、粘度变化测定，煤层井段或发现气体显示异常(如粘度突变，钻时变快，钻井液有气侵，槽面冒气泡等)应连续测定钻井液密度、粘度、加密</w:t>
            </w:r>
            <w:r>
              <w:rPr>
                <w:rFonts w:hint="eastAsia" w:ascii="Times New Roman" w:hAnsi="宋体" w:eastAsia="宋体" w:cs="Times New Roman"/>
                <w:color w:val="auto"/>
                <w:kern w:val="0"/>
                <w:sz w:val="24"/>
                <w:szCs w:val="24"/>
              </w:rPr>
              <w:t>泥浆</w:t>
            </w:r>
            <w:r>
              <w:rPr>
                <w:rFonts w:ascii="Times New Roman" w:hAnsi="宋体" w:eastAsia="宋体" w:cs="Times New Roman"/>
                <w:color w:val="auto"/>
                <w:kern w:val="0"/>
                <w:sz w:val="24"/>
                <w:szCs w:val="24"/>
              </w:rPr>
              <w:t>性能的测定。同时要作好详细记录，如槽面冒气泡的大小、产状、占槽面百分比，槽面上涨高度，进、出口钻井液性能的变化情况等。</w:t>
            </w:r>
          </w:p>
          <w:bookmarkEnd w:id="28"/>
          <w:bookmarkEnd w:id="29"/>
          <w:p w14:paraId="2CC50CDA">
            <w:pPr>
              <w:numPr>
                <w:ilvl w:val="0"/>
                <w:numId w:val="0"/>
              </w:numPr>
              <w:spacing w:line="360" w:lineRule="auto"/>
              <w:ind w:firstLine="480" w:firstLineChars="200"/>
              <w:rPr>
                <w:rFonts w:ascii="Times New Roman" w:hAnsi="宋体" w:eastAsia="宋体" w:cs="Times New Roman"/>
                <w:color w:val="auto"/>
                <w:kern w:val="0"/>
                <w:sz w:val="24"/>
                <w:szCs w:val="24"/>
              </w:rPr>
            </w:pPr>
            <w:bookmarkStart w:id="30" w:name="_Toc8782"/>
            <w:bookmarkStart w:id="31" w:name="_Toc21136"/>
            <w:bookmarkStart w:id="32" w:name="_Toc5939"/>
            <w:bookmarkStart w:id="33" w:name="_Toc491247112"/>
            <w:bookmarkStart w:id="34" w:name="_Toc18854"/>
            <w:bookmarkStart w:id="35" w:name="_Toc327263910"/>
            <w:bookmarkStart w:id="36" w:name="_Toc517349220"/>
            <w:bookmarkStart w:id="37" w:name="_Toc12225"/>
            <w:bookmarkStart w:id="38" w:name="_Toc21158"/>
            <w:bookmarkStart w:id="39" w:name="_Toc345936131"/>
            <w:bookmarkStart w:id="40" w:name="_Toc2932345"/>
            <w:bookmarkStart w:id="41" w:name="_Toc17665"/>
            <w:r>
              <w:rPr>
                <w:rFonts w:hint="eastAsia" w:ascii="Times New Roman" w:hAnsi="宋体" w:eastAsia="宋体" w:cs="Times New Roman"/>
                <w:color w:val="auto"/>
                <w:kern w:val="0"/>
                <w:sz w:val="24"/>
                <w:szCs w:val="24"/>
                <w:lang w:eastAsia="zh-CN"/>
              </w:rPr>
              <w:t>④</w:t>
            </w:r>
            <w:r>
              <w:rPr>
                <w:rFonts w:hint="eastAsia" w:ascii="Times New Roman" w:hAnsi="宋体" w:eastAsia="宋体" w:cs="Times New Roman"/>
                <w:color w:val="auto"/>
                <w:kern w:val="0"/>
                <w:sz w:val="24"/>
                <w:szCs w:val="24"/>
              </w:rPr>
              <w:t>气测录井</w:t>
            </w:r>
            <w:bookmarkEnd w:id="30"/>
            <w:bookmarkEnd w:id="31"/>
          </w:p>
          <w:bookmarkEnd w:id="32"/>
          <w:bookmarkEnd w:id="33"/>
          <w:bookmarkEnd w:id="34"/>
          <w:bookmarkEnd w:id="35"/>
          <w:bookmarkEnd w:id="36"/>
          <w:bookmarkEnd w:id="37"/>
          <w:bookmarkEnd w:id="38"/>
          <w:bookmarkEnd w:id="39"/>
          <w:bookmarkEnd w:id="40"/>
          <w:bookmarkEnd w:id="41"/>
          <w:p w14:paraId="06019EE7">
            <w:pPr>
              <w:numPr>
                <w:ilvl w:val="0"/>
                <w:numId w:val="0"/>
              </w:numPr>
              <w:spacing w:line="360" w:lineRule="auto"/>
              <w:ind w:firstLine="480" w:firstLineChars="200"/>
              <w:rPr>
                <w:rFonts w:ascii="Times New Roman" w:hAnsi="宋体" w:eastAsia="宋体" w:cs="Times New Roman"/>
                <w:color w:val="auto"/>
                <w:kern w:val="0"/>
                <w:sz w:val="24"/>
                <w:szCs w:val="24"/>
              </w:rPr>
            </w:pPr>
            <w:bookmarkStart w:id="42" w:name="_Toc18899"/>
            <w:bookmarkStart w:id="43" w:name="_Toc13746"/>
            <w:bookmarkStart w:id="44" w:name="_Toc31107"/>
            <w:bookmarkStart w:id="45" w:name="_Toc491247114"/>
            <w:bookmarkStart w:id="46" w:name="_Toc345936132"/>
            <w:bookmarkStart w:id="47" w:name="_Toc2932346"/>
            <w:bookmarkStart w:id="48" w:name="_Toc327263911"/>
            <w:bookmarkStart w:id="49" w:name="_Toc29306"/>
            <w:bookmarkStart w:id="50" w:name="_Toc599"/>
            <w:bookmarkStart w:id="51" w:name="_Toc17951"/>
            <w:bookmarkStart w:id="52" w:name="_Toc517349222"/>
            <w:bookmarkStart w:id="53" w:name="_Toc28512"/>
            <w:r>
              <w:rPr>
                <w:rFonts w:hint="eastAsia" w:ascii="Times New Roman" w:hAnsi="宋体" w:eastAsia="宋体" w:cs="Times New Roman"/>
                <w:color w:val="auto"/>
                <w:kern w:val="0"/>
                <w:sz w:val="24"/>
                <w:szCs w:val="24"/>
              </w:rPr>
              <w:t>对水平井自二开开始至井底连续进行气测录井，重点监测含煤地层的含气情况，每1m读数1点所测资料，特殊情况加密记录。全烃为连续记录曲线，每米选一最高数记录到原始记录表上；无异常时，组分分析每4h至少进行一次，如发现异常或钻时明显变低时，连续分析。</w:t>
            </w:r>
          </w:p>
          <w:p w14:paraId="14DDB814">
            <w:pPr>
              <w:numPr>
                <w:ilvl w:val="0"/>
                <w:numId w:val="0"/>
              </w:numPr>
              <w:spacing w:line="360" w:lineRule="auto"/>
              <w:ind w:firstLine="480" w:firstLineChars="200"/>
              <w:rPr>
                <w:rFonts w:ascii="Times New Roman" w:hAnsi="宋体" w:eastAsia="宋体" w:cs="Times New Roman"/>
                <w:color w:val="auto"/>
                <w:kern w:val="0"/>
                <w:sz w:val="24"/>
                <w:szCs w:val="24"/>
              </w:rPr>
            </w:pPr>
            <w:r>
              <w:rPr>
                <w:rFonts w:hint="eastAsia" w:ascii="Times New Roman" w:hAnsi="宋体" w:eastAsia="宋体" w:cs="Times New Roman"/>
                <w:color w:val="auto"/>
                <w:kern w:val="0"/>
                <w:sz w:val="24"/>
                <w:szCs w:val="24"/>
              </w:rPr>
              <w:t>钻遇气显示时，及时抽取样品做点火试验，做好记录，并取样做全脱分析，现场提供组分数据和初步解释成果。起下钻测量后效显示，计算上窜速度。</w:t>
            </w:r>
          </w:p>
          <w:p w14:paraId="6FEAD1E3">
            <w:pPr>
              <w:numPr>
                <w:ilvl w:val="0"/>
                <w:numId w:val="0"/>
              </w:numPr>
              <w:spacing w:line="360" w:lineRule="auto"/>
              <w:ind w:firstLine="480" w:firstLineChars="200"/>
              <w:rPr>
                <w:rFonts w:hint="eastAsia" w:ascii="Times New Roman" w:hAnsi="宋体" w:eastAsia="宋体" w:cs="Times New Roman"/>
                <w:color w:val="auto"/>
                <w:kern w:val="0"/>
                <w:sz w:val="24"/>
                <w:szCs w:val="24"/>
              </w:rPr>
            </w:pPr>
            <w:r>
              <w:rPr>
                <w:rFonts w:hint="eastAsia" w:ascii="Times New Roman" w:hAnsi="宋体" w:eastAsia="宋体" w:cs="Times New Roman"/>
                <w:color w:val="auto"/>
                <w:kern w:val="0"/>
                <w:sz w:val="24"/>
                <w:szCs w:val="24"/>
              </w:rPr>
              <w:t>应经常校验仪器，保证仪器的灵敏性和准确性，校验记录要作为一项随钻气测资料保存。</w:t>
            </w:r>
          </w:p>
          <w:p w14:paraId="16D43BB1">
            <w:pPr>
              <w:numPr>
                <w:ilvl w:val="0"/>
                <w:numId w:val="0"/>
              </w:numPr>
              <w:spacing w:line="360" w:lineRule="auto"/>
              <w:ind w:firstLine="480" w:firstLineChars="200"/>
              <w:rPr>
                <w:rFonts w:ascii="Times New Roman" w:hAnsi="宋体" w:eastAsia="宋体" w:cs="Times New Roman"/>
                <w:color w:val="auto"/>
                <w:kern w:val="0"/>
                <w:sz w:val="24"/>
                <w:szCs w:val="24"/>
              </w:rPr>
            </w:pPr>
            <w:r>
              <w:rPr>
                <w:rFonts w:hint="eastAsia" w:ascii="Times New Roman" w:hAnsi="宋体" w:eastAsia="宋体" w:cs="Times New Roman"/>
                <w:color w:val="auto"/>
                <w:kern w:val="0"/>
                <w:sz w:val="24"/>
                <w:szCs w:val="24"/>
                <w:lang w:eastAsia="zh-CN"/>
              </w:rPr>
              <w:t>⑤</w:t>
            </w:r>
            <w:r>
              <w:rPr>
                <w:rFonts w:ascii="Times New Roman" w:hAnsi="宋体" w:eastAsia="宋体" w:cs="Times New Roman"/>
                <w:color w:val="auto"/>
                <w:kern w:val="0"/>
                <w:sz w:val="24"/>
                <w:szCs w:val="24"/>
              </w:rPr>
              <w:t>简易水文观测</w:t>
            </w:r>
            <w:bookmarkEnd w:id="42"/>
            <w:bookmarkEnd w:id="43"/>
          </w:p>
          <w:p w14:paraId="7228706D">
            <w:pPr>
              <w:numPr>
                <w:ilvl w:val="0"/>
                <w:numId w:val="0"/>
              </w:numPr>
              <w:spacing w:line="360" w:lineRule="auto"/>
              <w:ind w:firstLine="480" w:firstLineChars="200"/>
              <w:rPr>
                <w:rFonts w:ascii="Times New Roman" w:hAnsi="宋体" w:eastAsia="宋体" w:cs="Times New Roman"/>
                <w:color w:val="auto"/>
                <w:kern w:val="0"/>
                <w:sz w:val="24"/>
                <w:szCs w:val="24"/>
              </w:rPr>
            </w:pPr>
            <w:r>
              <w:rPr>
                <w:rFonts w:ascii="Times New Roman" w:hAnsi="宋体" w:eastAsia="宋体" w:cs="Times New Roman"/>
                <w:color w:val="auto"/>
                <w:kern w:val="0"/>
                <w:sz w:val="24"/>
                <w:szCs w:val="24"/>
              </w:rPr>
              <w:t>全井钻进过程中均应做好简易水文观测记录工作。</w:t>
            </w:r>
          </w:p>
          <w:p w14:paraId="5B89BEE8">
            <w:pPr>
              <w:numPr>
                <w:ilvl w:val="0"/>
                <w:numId w:val="0"/>
              </w:numPr>
              <w:spacing w:line="360" w:lineRule="auto"/>
              <w:ind w:firstLine="480" w:firstLineChars="200"/>
              <w:rPr>
                <w:rFonts w:ascii="Times New Roman" w:hAnsi="宋体" w:eastAsia="宋体" w:cs="Times New Roman"/>
                <w:color w:val="auto"/>
                <w:kern w:val="0"/>
                <w:sz w:val="24"/>
                <w:szCs w:val="24"/>
              </w:rPr>
            </w:pPr>
            <w:r>
              <w:rPr>
                <w:rFonts w:ascii="Times New Roman" w:hAnsi="宋体" w:eastAsia="宋体" w:cs="Times New Roman"/>
                <w:color w:val="auto"/>
                <w:kern w:val="0"/>
                <w:sz w:val="24"/>
                <w:szCs w:val="24"/>
              </w:rPr>
              <w:t>每次起钻后、下钻前测量</w:t>
            </w:r>
            <w:r>
              <w:rPr>
                <w:rFonts w:ascii="Times New Roman" w:hAnsi="宋体" w:eastAsia="宋体" w:cs="Times New Roman"/>
                <w:color w:val="auto"/>
                <w:kern w:val="0"/>
                <w:sz w:val="24"/>
                <w:szCs w:val="24"/>
                <w:highlight w:val="none"/>
              </w:rPr>
              <w:t>一次泥浆池液面；</w:t>
            </w:r>
            <w:r>
              <w:rPr>
                <w:rFonts w:hint="eastAsia" w:ascii="Times New Roman" w:hAnsi="宋体" w:eastAsia="宋体" w:cs="Times New Roman"/>
                <w:color w:val="auto"/>
                <w:kern w:val="0"/>
                <w:sz w:val="24"/>
                <w:szCs w:val="24"/>
                <w:highlight w:val="none"/>
              </w:rPr>
              <w:t>如有漏失应测量井筒液面位置；</w:t>
            </w:r>
            <w:r>
              <w:rPr>
                <w:rFonts w:ascii="Times New Roman" w:hAnsi="宋体" w:eastAsia="宋体" w:cs="Times New Roman"/>
                <w:color w:val="auto"/>
                <w:kern w:val="0"/>
                <w:sz w:val="24"/>
                <w:szCs w:val="24"/>
                <w:highlight w:val="none"/>
              </w:rPr>
              <w:t>每钻进2h记录一次钻井液消耗量；进入下石盒子组后每1h记录一次钻井液消耗量，不足1h但大于30min时也应观察钻井液消耗量。</w:t>
            </w:r>
          </w:p>
          <w:bookmarkEnd w:id="44"/>
          <w:bookmarkEnd w:id="45"/>
          <w:bookmarkEnd w:id="46"/>
          <w:bookmarkEnd w:id="47"/>
          <w:bookmarkEnd w:id="48"/>
          <w:bookmarkEnd w:id="49"/>
          <w:bookmarkEnd w:id="50"/>
          <w:bookmarkEnd w:id="51"/>
          <w:bookmarkEnd w:id="52"/>
          <w:bookmarkEnd w:id="53"/>
          <w:p w14:paraId="39E756E8">
            <w:pPr>
              <w:numPr>
                <w:ilvl w:val="0"/>
                <w:numId w:val="0"/>
              </w:numPr>
              <w:spacing w:line="360" w:lineRule="auto"/>
              <w:ind w:firstLine="480" w:firstLineChars="200"/>
              <w:rPr>
                <w:rFonts w:ascii="Times New Roman" w:hAnsi="宋体" w:eastAsia="宋体" w:cs="Times New Roman"/>
                <w:color w:val="auto"/>
                <w:kern w:val="0"/>
                <w:sz w:val="24"/>
                <w:szCs w:val="24"/>
              </w:rPr>
            </w:pPr>
            <w:bookmarkStart w:id="54" w:name="_Toc26732"/>
            <w:bookmarkStart w:id="55" w:name="_Toc21028"/>
            <w:bookmarkStart w:id="56" w:name="_Toc345936133"/>
            <w:bookmarkStart w:id="57" w:name="_Toc9287"/>
            <w:bookmarkStart w:id="58" w:name="_Toc26215"/>
            <w:bookmarkStart w:id="59" w:name="_Toc29151"/>
            <w:bookmarkStart w:id="60" w:name="_Toc360"/>
            <w:bookmarkStart w:id="61" w:name="_Toc327263912"/>
            <w:bookmarkStart w:id="62" w:name="_Toc2932347"/>
            <w:bookmarkStart w:id="63" w:name="_Toc14679"/>
            <w:bookmarkStart w:id="64" w:name="_Toc491247115"/>
            <w:bookmarkStart w:id="65" w:name="_Toc517349223"/>
            <w:r>
              <w:rPr>
                <w:rFonts w:hint="eastAsia" w:ascii="Times New Roman" w:hAnsi="宋体" w:eastAsia="宋体" w:cs="Times New Roman"/>
                <w:color w:val="auto"/>
                <w:kern w:val="0"/>
                <w:sz w:val="24"/>
                <w:szCs w:val="24"/>
                <w:lang w:eastAsia="zh-CN"/>
              </w:rPr>
              <w:t>⑥</w:t>
            </w:r>
            <w:r>
              <w:rPr>
                <w:rFonts w:ascii="Times New Roman" w:hAnsi="宋体" w:eastAsia="宋体" w:cs="Times New Roman"/>
                <w:color w:val="auto"/>
                <w:kern w:val="0"/>
                <w:sz w:val="24"/>
                <w:szCs w:val="24"/>
              </w:rPr>
              <w:t>工程参数录井</w:t>
            </w:r>
            <w:bookmarkEnd w:id="54"/>
            <w:bookmarkEnd w:id="55"/>
          </w:p>
          <w:p w14:paraId="6031DE92">
            <w:pPr>
              <w:numPr>
                <w:ilvl w:val="0"/>
                <w:numId w:val="0"/>
              </w:numPr>
              <w:spacing w:line="360" w:lineRule="auto"/>
              <w:ind w:firstLine="480" w:firstLineChars="200"/>
              <w:rPr>
                <w:rFonts w:ascii="Times New Roman" w:hAnsi="宋体" w:eastAsia="宋体" w:cs="Times New Roman"/>
                <w:color w:val="auto"/>
                <w:kern w:val="0"/>
                <w:sz w:val="24"/>
                <w:szCs w:val="24"/>
              </w:rPr>
            </w:pPr>
            <w:r>
              <w:rPr>
                <w:rFonts w:hint="eastAsia" w:ascii="Times New Roman" w:hAnsi="宋体" w:eastAsia="宋体" w:cs="Times New Roman"/>
                <w:color w:val="auto"/>
                <w:kern w:val="0"/>
                <w:sz w:val="24"/>
                <w:szCs w:val="24"/>
              </w:rPr>
              <w:t>自二开开始进行全套工程参数录井。做好压力监测，及时预告下部地层压力，调整钻井液相对密度。</w:t>
            </w:r>
          </w:p>
          <w:p w14:paraId="006DC236">
            <w:pPr>
              <w:numPr>
                <w:ilvl w:val="0"/>
                <w:numId w:val="0"/>
              </w:numPr>
              <w:spacing w:line="360" w:lineRule="auto"/>
              <w:ind w:firstLine="480" w:firstLineChars="200"/>
              <w:rPr>
                <w:rFonts w:ascii="Times New Roman" w:hAnsi="宋体" w:eastAsia="宋体" w:cs="Times New Roman"/>
                <w:color w:val="auto"/>
                <w:kern w:val="0"/>
                <w:sz w:val="24"/>
                <w:szCs w:val="24"/>
              </w:rPr>
            </w:pPr>
            <w:r>
              <w:rPr>
                <w:rFonts w:hint="eastAsia" w:ascii="Times New Roman" w:hAnsi="宋体" w:eastAsia="宋体" w:cs="Times New Roman"/>
                <w:color w:val="auto"/>
                <w:kern w:val="0"/>
                <w:sz w:val="24"/>
                <w:szCs w:val="24"/>
              </w:rPr>
              <w:t>录井项目：钻井液出入口密度、钻井液出入口电导率、钻井液出入口温度、钻井液出口流量、池体积、钻压、泵压、排量、扭矩、转盘转速、大钩负荷、</w:t>
            </w:r>
            <w:r>
              <w:rPr>
                <w:rFonts w:ascii="Times New Roman" w:hAnsi="宋体" w:eastAsia="宋体" w:cs="Times New Roman"/>
                <w:color w:val="auto"/>
                <w:kern w:val="0"/>
                <w:sz w:val="24"/>
                <w:szCs w:val="24"/>
              </w:rPr>
              <w:t>Dc指数、sigma指数、深度等。</w:t>
            </w:r>
          </w:p>
          <w:bookmarkEnd w:id="56"/>
          <w:bookmarkEnd w:id="57"/>
          <w:bookmarkEnd w:id="58"/>
          <w:bookmarkEnd w:id="59"/>
          <w:bookmarkEnd w:id="60"/>
          <w:bookmarkEnd w:id="61"/>
          <w:bookmarkEnd w:id="62"/>
          <w:bookmarkEnd w:id="63"/>
          <w:bookmarkEnd w:id="64"/>
          <w:bookmarkEnd w:id="65"/>
          <w:p w14:paraId="70BCBA54">
            <w:pPr>
              <w:numPr>
                <w:ilvl w:val="0"/>
                <w:numId w:val="0"/>
              </w:numPr>
              <w:spacing w:line="360" w:lineRule="auto"/>
              <w:ind w:firstLine="480" w:firstLineChars="200"/>
              <w:rPr>
                <w:rFonts w:ascii="Times New Roman" w:hAnsi="宋体" w:eastAsia="宋体" w:cs="Times New Roman"/>
                <w:color w:val="auto"/>
                <w:kern w:val="0"/>
                <w:sz w:val="24"/>
                <w:szCs w:val="24"/>
              </w:rPr>
            </w:pPr>
            <w:bookmarkStart w:id="66" w:name="_Toc30529"/>
            <w:bookmarkStart w:id="67" w:name="_Toc22689"/>
            <w:r>
              <w:rPr>
                <w:rFonts w:hint="eastAsia" w:ascii="Times New Roman" w:hAnsi="宋体" w:eastAsia="宋体" w:cs="Times New Roman"/>
                <w:color w:val="auto"/>
                <w:kern w:val="0"/>
                <w:sz w:val="24"/>
                <w:szCs w:val="24"/>
                <w:lang w:eastAsia="zh-CN"/>
              </w:rPr>
              <w:t>⑦</w:t>
            </w:r>
            <w:r>
              <w:rPr>
                <w:rFonts w:ascii="Times New Roman" w:hAnsi="宋体" w:eastAsia="宋体" w:cs="Times New Roman"/>
                <w:color w:val="auto"/>
                <w:kern w:val="0"/>
                <w:sz w:val="24"/>
                <w:szCs w:val="24"/>
              </w:rPr>
              <w:t>特殊作业录井</w:t>
            </w:r>
            <w:bookmarkEnd w:id="66"/>
            <w:bookmarkEnd w:id="67"/>
          </w:p>
          <w:p w14:paraId="7A3F5AA4">
            <w:pPr>
              <w:numPr>
                <w:ilvl w:val="0"/>
                <w:numId w:val="0"/>
              </w:numPr>
              <w:spacing w:line="360" w:lineRule="auto"/>
              <w:ind w:firstLine="480" w:firstLineChars="200"/>
              <w:rPr>
                <w:rFonts w:ascii="Times New Roman" w:hAnsi="宋体" w:eastAsia="宋体" w:cs="Times New Roman"/>
                <w:color w:val="auto"/>
                <w:kern w:val="0"/>
                <w:sz w:val="24"/>
                <w:szCs w:val="24"/>
              </w:rPr>
            </w:pPr>
            <w:r>
              <w:rPr>
                <w:rFonts w:ascii="Times New Roman" w:hAnsi="宋体" w:eastAsia="宋体" w:cs="Times New Roman"/>
                <w:color w:val="auto"/>
                <w:kern w:val="0"/>
                <w:sz w:val="24"/>
                <w:szCs w:val="24"/>
              </w:rPr>
              <w:t>1</w:t>
            </w:r>
            <w:r>
              <w:rPr>
                <w:rFonts w:hint="eastAsia" w:ascii="Times New Roman" w:hAnsi="宋体" w:eastAsia="宋体" w:cs="Times New Roman"/>
                <w:color w:val="auto"/>
                <w:kern w:val="0"/>
                <w:sz w:val="24"/>
                <w:szCs w:val="24"/>
              </w:rPr>
              <w:t>．</w:t>
            </w:r>
            <w:r>
              <w:rPr>
                <w:rFonts w:ascii="Times New Roman" w:hAnsi="宋体" w:eastAsia="宋体" w:cs="Times New Roman"/>
                <w:color w:val="auto"/>
                <w:kern w:val="0"/>
                <w:sz w:val="24"/>
                <w:szCs w:val="24"/>
              </w:rPr>
              <w:t>下套管、固井作业时，要准确、详细地收集、整理套管及固井数据。</w:t>
            </w:r>
          </w:p>
          <w:p w14:paraId="51CDD286">
            <w:pPr>
              <w:numPr>
                <w:ilvl w:val="0"/>
                <w:numId w:val="0"/>
              </w:numPr>
              <w:spacing w:line="360" w:lineRule="auto"/>
              <w:ind w:firstLine="480" w:firstLineChars="200"/>
              <w:rPr>
                <w:rFonts w:ascii="Times New Roman" w:hAnsi="宋体" w:eastAsia="宋体" w:cs="Times New Roman"/>
                <w:color w:val="auto"/>
                <w:kern w:val="0"/>
                <w:sz w:val="24"/>
                <w:szCs w:val="24"/>
              </w:rPr>
            </w:pPr>
            <w:r>
              <w:rPr>
                <w:rFonts w:ascii="Times New Roman" w:hAnsi="宋体" w:eastAsia="宋体" w:cs="Times New Roman"/>
                <w:color w:val="auto"/>
                <w:kern w:val="0"/>
                <w:sz w:val="24"/>
                <w:szCs w:val="24"/>
              </w:rPr>
              <w:t>2</w:t>
            </w:r>
            <w:r>
              <w:rPr>
                <w:rFonts w:hint="eastAsia" w:ascii="Times New Roman" w:hAnsi="宋体" w:eastAsia="宋体" w:cs="Times New Roman"/>
                <w:color w:val="auto"/>
                <w:kern w:val="0"/>
                <w:sz w:val="24"/>
                <w:szCs w:val="24"/>
              </w:rPr>
              <w:t>．</w:t>
            </w:r>
            <w:r>
              <w:rPr>
                <w:rFonts w:ascii="Times New Roman" w:hAnsi="宋体" w:eastAsia="宋体" w:cs="Times New Roman"/>
                <w:color w:val="auto"/>
                <w:kern w:val="0"/>
                <w:sz w:val="24"/>
                <w:szCs w:val="24"/>
              </w:rPr>
              <w:t>地球物理测井作业时，应检查并记录实际测井项目、测量井段等，收集测井成果资料。</w:t>
            </w:r>
          </w:p>
          <w:p w14:paraId="0927DDC7">
            <w:pPr>
              <w:numPr>
                <w:ilvl w:val="0"/>
                <w:numId w:val="0"/>
              </w:numPr>
              <w:spacing w:line="360" w:lineRule="auto"/>
              <w:ind w:firstLine="480" w:firstLineChars="200"/>
              <w:rPr>
                <w:color w:val="auto"/>
                <w:highlight w:val="none"/>
              </w:rPr>
            </w:pPr>
            <w:r>
              <w:rPr>
                <w:rFonts w:ascii="Times New Roman" w:hAnsi="宋体" w:eastAsia="宋体" w:cs="Times New Roman"/>
                <w:color w:val="auto"/>
                <w:kern w:val="0"/>
                <w:sz w:val="24"/>
                <w:szCs w:val="24"/>
              </w:rPr>
              <w:t>3</w:t>
            </w:r>
            <w:r>
              <w:rPr>
                <w:rFonts w:hint="eastAsia" w:ascii="Times New Roman" w:hAnsi="宋体" w:eastAsia="宋体" w:cs="Times New Roman"/>
                <w:color w:val="auto"/>
                <w:kern w:val="0"/>
                <w:sz w:val="24"/>
                <w:szCs w:val="24"/>
              </w:rPr>
              <w:t>．</w:t>
            </w:r>
            <w:r>
              <w:rPr>
                <w:rFonts w:ascii="Times New Roman" w:hAnsi="宋体" w:eastAsia="宋体" w:cs="Times New Roman"/>
                <w:color w:val="auto"/>
                <w:kern w:val="0"/>
                <w:sz w:val="24"/>
                <w:szCs w:val="24"/>
              </w:rPr>
              <w:t>处理复杂情况的地质录井作业，应将工程事故(如卡钻、顿钻、井塌、落物等)的时间、井深、位置及原因、处理措施及结果进行记录</w:t>
            </w:r>
            <w:r>
              <w:rPr>
                <w:color w:val="auto"/>
                <w:highlight w:val="none"/>
              </w:rPr>
              <w:t>。</w:t>
            </w:r>
          </w:p>
          <w:p w14:paraId="2E034F14">
            <w:pPr>
              <w:numPr>
                <w:ilvl w:val="0"/>
                <w:numId w:val="0"/>
              </w:numPr>
              <w:spacing w:line="360" w:lineRule="auto"/>
              <w:ind w:firstLine="480" w:firstLineChars="200"/>
              <w:rPr>
                <w:rFonts w:hint="eastAsia" w:ascii="Times New Roman" w:hAnsi="宋体" w:eastAsia="宋体" w:cs="Times New Roman"/>
                <w:color w:val="auto"/>
                <w:kern w:val="0"/>
                <w:sz w:val="24"/>
                <w:szCs w:val="24"/>
                <w:lang w:val="en-US" w:eastAsia="zh-CN"/>
              </w:rPr>
            </w:pPr>
            <w:r>
              <w:rPr>
                <w:rFonts w:hint="eastAsia" w:ascii="Times New Roman" w:hAnsi="宋体" w:eastAsia="宋体" w:cs="Times New Roman"/>
                <w:color w:val="auto"/>
                <w:kern w:val="0"/>
                <w:sz w:val="24"/>
                <w:szCs w:val="24"/>
                <w:lang w:val="en-US" w:eastAsia="zh-CN"/>
              </w:rPr>
              <w:t>2）测井</w:t>
            </w:r>
          </w:p>
          <w:p w14:paraId="2215E087">
            <w:pPr>
              <w:numPr>
                <w:ilvl w:val="0"/>
                <w:numId w:val="0"/>
              </w:numPr>
              <w:spacing w:line="360" w:lineRule="auto"/>
              <w:ind w:firstLine="480" w:firstLineChars="200"/>
              <w:rPr>
                <w:rFonts w:hint="eastAsia" w:ascii="Times New Roman" w:hAnsi="宋体" w:eastAsia="宋体" w:cs="Times New Roman"/>
                <w:color w:val="auto"/>
                <w:kern w:val="0"/>
                <w:sz w:val="24"/>
                <w:szCs w:val="24"/>
                <w:lang w:eastAsia="zh-CN"/>
              </w:rPr>
            </w:pPr>
            <w:r>
              <w:rPr>
                <w:rFonts w:hint="eastAsia" w:ascii="Times New Roman" w:hAnsi="宋体" w:eastAsia="宋体" w:cs="Times New Roman"/>
                <w:color w:val="auto"/>
                <w:kern w:val="0"/>
                <w:sz w:val="24"/>
                <w:szCs w:val="24"/>
              </w:rPr>
              <w:t>测井采用数字测井设备，内容根据实际施工和生产需要进行。施测中要求严格按设计要求进行、仪器必须按《煤田测井仪器设备调校细则》进行调校和标定，确保仪器工作状态最佳。要求技术数据选择合理，原始记录、测量范围、横向比例、深度误差等必须符合规范标准要求。</w:t>
            </w:r>
            <w:bookmarkStart w:id="68" w:name="_Toc16960"/>
            <w:bookmarkStart w:id="69" w:name="_Toc3214"/>
            <w:r>
              <w:rPr>
                <w:rFonts w:ascii="Times New Roman" w:hAnsi="宋体" w:eastAsia="宋体" w:cs="Times New Roman"/>
                <w:color w:val="auto"/>
                <w:kern w:val="0"/>
                <w:sz w:val="24"/>
                <w:szCs w:val="24"/>
              </w:rPr>
              <w:t>测井</w:t>
            </w:r>
            <w:r>
              <w:rPr>
                <w:rFonts w:hint="eastAsia" w:ascii="Times New Roman" w:hAnsi="宋体" w:eastAsia="宋体" w:cs="Times New Roman"/>
                <w:color w:val="auto"/>
                <w:kern w:val="0"/>
                <w:sz w:val="24"/>
                <w:szCs w:val="24"/>
              </w:rPr>
              <w:t>内容</w:t>
            </w:r>
            <w:bookmarkEnd w:id="68"/>
            <w:bookmarkEnd w:id="69"/>
            <w:r>
              <w:rPr>
                <w:rFonts w:hint="eastAsia" w:ascii="Times New Roman" w:hAnsi="宋体" w:eastAsia="宋体" w:cs="Times New Roman"/>
                <w:color w:val="auto"/>
                <w:kern w:val="0"/>
                <w:sz w:val="24"/>
                <w:szCs w:val="24"/>
                <w:lang w:eastAsia="zh-CN"/>
              </w:rPr>
              <w:t>包括：</w:t>
            </w:r>
          </w:p>
          <w:p w14:paraId="02E3EDFC">
            <w:pPr>
              <w:numPr>
                <w:ilvl w:val="0"/>
                <w:numId w:val="0"/>
              </w:numPr>
              <w:spacing w:line="360" w:lineRule="auto"/>
              <w:ind w:firstLine="480" w:firstLineChars="200"/>
              <w:rPr>
                <w:rFonts w:ascii="Times New Roman" w:hAnsi="宋体" w:eastAsia="宋体" w:cs="Times New Roman"/>
                <w:color w:val="auto"/>
                <w:kern w:val="0"/>
                <w:sz w:val="24"/>
                <w:szCs w:val="24"/>
              </w:rPr>
            </w:pPr>
            <w:r>
              <w:rPr>
                <w:rFonts w:ascii="Times New Roman" w:hAnsi="宋体" w:eastAsia="宋体" w:cs="Times New Roman"/>
                <w:color w:val="auto"/>
                <w:kern w:val="0"/>
                <w:sz w:val="24"/>
                <w:szCs w:val="24"/>
              </w:rPr>
              <w:t>1</w:t>
            </w:r>
            <w:r>
              <w:rPr>
                <w:rFonts w:hint="eastAsia" w:ascii="Times New Roman" w:hAnsi="宋体" w:eastAsia="宋体" w:cs="Times New Roman"/>
                <w:color w:val="auto"/>
                <w:kern w:val="0"/>
                <w:sz w:val="24"/>
                <w:szCs w:val="24"/>
              </w:rPr>
              <w:t>．导眼段完成后进行综合测井。测井项目包括深、浅侧向，微球型聚焦电阻率，补偿声波，自然电位，自然伽马，井径等。</w:t>
            </w:r>
          </w:p>
          <w:p w14:paraId="00576254">
            <w:pPr>
              <w:numPr>
                <w:ilvl w:val="0"/>
                <w:numId w:val="0"/>
              </w:numPr>
              <w:spacing w:line="360" w:lineRule="auto"/>
              <w:ind w:firstLine="480" w:firstLineChars="200"/>
              <w:rPr>
                <w:rFonts w:ascii="Times New Roman" w:hAnsi="宋体" w:eastAsia="宋体" w:cs="Times New Roman"/>
                <w:color w:val="auto"/>
                <w:kern w:val="0"/>
                <w:sz w:val="24"/>
                <w:szCs w:val="24"/>
              </w:rPr>
            </w:pPr>
            <w:r>
              <w:rPr>
                <w:rFonts w:ascii="Times New Roman" w:hAnsi="宋体" w:eastAsia="宋体" w:cs="Times New Roman"/>
                <w:color w:val="auto"/>
                <w:kern w:val="0"/>
                <w:sz w:val="24"/>
                <w:szCs w:val="24"/>
              </w:rPr>
              <w:t>2</w:t>
            </w:r>
            <w:r>
              <w:rPr>
                <w:rFonts w:hint="eastAsia" w:ascii="Times New Roman" w:hAnsi="宋体" w:eastAsia="宋体" w:cs="Times New Roman"/>
                <w:color w:val="auto"/>
                <w:kern w:val="0"/>
                <w:sz w:val="24"/>
                <w:szCs w:val="24"/>
              </w:rPr>
              <w:t>．生产套管固井质量测井。生产套管进行固井候凝72</w:t>
            </w:r>
            <w:r>
              <w:rPr>
                <w:rFonts w:ascii="Times New Roman" w:hAnsi="宋体" w:eastAsia="宋体" w:cs="Times New Roman"/>
                <w:color w:val="auto"/>
                <w:kern w:val="0"/>
                <w:sz w:val="24"/>
                <w:szCs w:val="24"/>
              </w:rPr>
              <w:t>h后进行固井质量测井，全井进行声幅、自然伽马、声波变密度测井和磁定位测井。</w:t>
            </w:r>
          </w:p>
          <w:p w14:paraId="39FB7E33">
            <w:pPr>
              <w:numPr>
                <w:ilvl w:val="0"/>
                <w:numId w:val="0"/>
              </w:numPr>
              <w:spacing w:line="360" w:lineRule="auto"/>
              <w:ind w:firstLine="480" w:firstLineChars="200"/>
              <w:rPr>
                <w:rFonts w:hint="eastAsia" w:ascii="Times New Roman" w:hAnsi="宋体" w:eastAsia="宋体" w:cs="Times New Roman"/>
                <w:color w:val="auto"/>
                <w:kern w:val="0"/>
                <w:sz w:val="24"/>
                <w:szCs w:val="24"/>
                <w:lang w:val="en-US" w:eastAsia="zh-CN"/>
              </w:rPr>
            </w:pPr>
            <w:bookmarkStart w:id="70" w:name="_Toc5849"/>
            <w:r>
              <w:rPr>
                <w:rFonts w:hint="eastAsia" w:ascii="Times New Roman" w:hAnsi="宋体" w:eastAsia="宋体" w:cs="Times New Roman"/>
                <w:color w:val="auto"/>
                <w:kern w:val="0"/>
                <w:sz w:val="24"/>
                <w:szCs w:val="24"/>
                <w:lang w:val="en-US" w:eastAsia="zh-CN"/>
              </w:rPr>
              <w:t>3）固井</w:t>
            </w:r>
            <w:bookmarkEnd w:id="70"/>
          </w:p>
          <w:p w14:paraId="60AD1099">
            <w:pPr>
              <w:numPr>
                <w:ilvl w:val="0"/>
                <w:numId w:val="0"/>
              </w:numPr>
              <w:spacing w:line="360" w:lineRule="auto"/>
              <w:ind w:firstLine="480" w:firstLineChars="200"/>
              <w:rPr>
                <w:rFonts w:hint="eastAsia" w:ascii="Times New Roman" w:hAnsi="宋体" w:eastAsia="宋体" w:cs="Times New Roman"/>
                <w:color w:val="auto"/>
                <w:kern w:val="0"/>
                <w:sz w:val="24"/>
                <w:szCs w:val="24"/>
              </w:rPr>
            </w:pPr>
            <w:r>
              <w:rPr>
                <w:rFonts w:hint="eastAsia" w:ascii="Times New Roman" w:hAnsi="宋体" w:eastAsia="宋体" w:cs="Times New Roman"/>
                <w:color w:val="auto"/>
                <w:kern w:val="0"/>
                <w:sz w:val="24"/>
                <w:szCs w:val="24"/>
              </w:rPr>
              <w:t>一开结束后，下入表层套管，下至距一开井底不超过0.5m，使用G级石油固井水泥封固地表松散层，水泥浆平均密度1.80±0.05g/cm</w:t>
            </w:r>
            <w:r>
              <w:rPr>
                <w:rFonts w:hint="eastAsia" w:ascii="Times New Roman" w:hAnsi="宋体" w:eastAsia="宋体" w:cs="Times New Roman"/>
                <w:color w:val="auto"/>
                <w:kern w:val="0"/>
                <w:sz w:val="24"/>
                <w:szCs w:val="24"/>
                <w:vertAlign w:val="superscript"/>
              </w:rPr>
              <w:t>3</w:t>
            </w:r>
            <w:r>
              <w:rPr>
                <w:rFonts w:hint="eastAsia" w:ascii="Times New Roman" w:hAnsi="宋体" w:eastAsia="宋体" w:cs="Times New Roman"/>
                <w:color w:val="auto"/>
                <w:kern w:val="0"/>
                <w:sz w:val="24"/>
                <w:szCs w:val="24"/>
              </w:rPr>
              <w:t>，固井水泥浆返至地面。固井结束侯凝24h后，试压6MPa，30分钟内压降≤0.5MPa，视为合格。</w:t>
            </w:r>
          </w:p>
          <w:p w14:paraId="688DB30D">
            <w:pPr>
              <w:numPr>
                <w:ilvl w:val="0"/>
                <w:numId w:val="0"/>
              </w:numPr>
              <w:spacing w:line="360" w:lineRule="auto"/>
              <w:ind w:firstLine="480" w:firstLineChars="200"/>
              <w:rPr>
                <w:rFonts w:hint="eastAsia" w:ascii="Times New Roman" w:hAnsi="宋体" w:eastAsia="宋体" w:cs="Times New Roman"/>
                <w:color w:val="auto"/>
                <w:kern w:val="0"/>
                <w:sz w:val="24"/>
                <w:szCs w:val="24"/>
              </w:rPr>
            </w:pPr>
            <w:r>
              <w:rPr>
                <w:rFonts w:hint="eastAsia" w:ascii="Times New Roman" w:hAnsi="宋体" w:eastAsia="宋体" w:cs="Times New Roman"/>
                <w:color w:val="auto"/>
                <w:kern w:val="0"/>
                <w:sz w:val="24"/>
                <w:szCs w:val="24"/>
              </w:rPr>
              <w:t>二开完钻后下入技术套管。采用变密度固井工艺封固煤系及上覆地层；暂定最上目标煤层段以上水泥浆密度为1.6g/cm</w:t>
            </w:r>
            <w:r>
              <w:rPr>
                <w:rFonts w:hint="eastAsia" w:ascii="Times New Roman" w:hAnsi="宋体" w:eastAsia="宋体" w:cs="Times New Roman"/>
                <w:color w:val="auto"/>
                <w:kern w:val="0"/>
                <w:sz w:val="24"/>
                <w:szCs w:val="24"/>
                <w:vertAlign w:val="superscript"/>
              </w:rPr>
              <w:t>3</w:t>
            </w:r>
            <w:r>
              <w:rPr>
                <w:rFonts w:hint="eastAsia" w:ascii="Times New Roman" w:hAnsi="宋体" w:eastAsia="宋体" w:cs="Times New Roman"/>
                <w:color w:val="auto"/>
                <w:kern w:val="0"/>
                <w:sz w:val="24"/>
                <w:szCs w:val="24"/>
              </w:rPr>
              <w:t>，其他段水泥浆密度1.85g/cm</w:t>
            </w:r>
            <w:r>
              <w:rPr>
                <w:rFonts w:hint="eastAsia" w:ascii="Times New Roman" w:hAnsi="宋体" w:eastAsia="宋体" w:cs="Times New Roman"/>
                <w:color w:val="auto"/>
                <w:kern w:val="0"/>
                <w:sz w:val="24"/>
                <w:szCs w:val="24"/>
                <w:vertAlign w:val="superscript"/>
              </w:rPr>
              <w:t>3</w:t>
            </w:r>
            <w:r>
              <w:rPr>
                <w:rFonts w:hint="eastAsia" w:ascii="Times New Roman" w:hAnsi="宋体" w:eastAsia="宋体" w:cs="Times New Roman"/>
                <w:color w:val="auto"/>
                <w:kern w:val="0"/>
                <w:sz w:val="24"/>
                <w:szCs w:val="24"/>
              </w:rPr>
              <w:t>，固井水泥浆返至地面，具体固井水泥浆返高及水泥浆密度参照《煤层气钻井作业规范》（DZ/T 0250-2010）规定的方法进行计算。固井结束侯凝48h后，测井检查固井质量。测井结果合格再试压，试压8MP，30分钟内压降≤0.5MPa，视为合格。</w:t>
            </w:r>
          </w:p>
          <w:p w14:paraId="407FA99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宋体" w:eastAsia="宋体" w:cs="Times New Roman"/>
                <w:color w:val="auto"/>
                <w:kern w:val="0"/>
                <w:sz w:val="24"/>
                <w:szCs w:val="24"/>
              </w:rPr>
            </w:pPr>
            <w:r>
              <w:rPr>
                <w:rFonts w:hint="eastAsia" w:ascii="Times New Roman" w:hAnsi="宋体" w:eastAsia="宋体" w:cs="Times New Roman"/>
                <w:color w:val="auto"/>
                <w:kern w:val="0"/>
                <w:sz w:val="24"/>
                <w:szCs w:val="24"/>
              </w:rPr>
              <w:t>三开完钻后，下入生产套管。三开井段使用1.8g/cm</w:t>
            </w:r>
            <w:r>
              <w:rPr>
                <w:rFonts w:hint="eastAsia" w:ascii="Times New Roman" w:hAnsi="宋体" w:eastAsia="宋体" w:cs="Times New Roman"/>
                <w:color w:val="auto"/>
                <w:kern w:val="0"/>
                <w:sz w:val="24"/>
                <w:szCs w:val="24"/>
                <w:vertAlign w:val="superscript"/>
              </w:rPr>
              <w:t>3</w:t>
            </w:r>
            <w:r>
              <w:rPr>
                <w:rFonts w:hint="eastAsia" w:ascii="Times New Roman" w:hAnsi="宋体" w:eastAsia="宋体" w:cs="Times New Roman"/>
                <w:color w:val="auto"/>
                <w:kern w:val="0"/>
                <w:sz w:val="24"/>
                <w:szCs w:val="24"/>
              </w:rPr>
              <w:t>的水泥浆，固井水泥浆返至地面。固井结束侯凝48h后，测井检查固井质量。测井结果合格再试压，试压20MPa，30分钟内压降≤0.5MPa，视为合格。</w:t>
            </w:r>
          </w:p>
          <w:p w14:paraId="11B2FA0D">
            <w:pPr>
              <w:spacing w:line="360" w:lineRule="auto"/>
              <w:ind w:firstLine="480" w:firstLineChars="200"/>
              <w:rPr>
                <w:rFonts w:hint="eastAsia"/>
                <w:color w:val="auto"/>
                <w:sz w:val="24"/>
                <w:lang w:eastAsia="zh-CN"/>
              </w:rPr>
            </w:pPr>
            <w:r>
              <w:rPr>
                <w:rFonts w:hint="eastAsia"/>
                <w:color w:val="auto"/>
                <w:sz w:val="24"/>
                <w:lang w:eastAsia="zh-CN"/>
              </w:rPr>
              <w:t>钻井施工产污环节：钻井岩屑、废泥浆、设备噪声。</w:t>
            </w:r>
          </w:p>
          <w:p w14:paraId="1839C969">
            <w:pPr>
              <w:spacing w:line="360" w:lineRule="auto"/>
              <w:ind w:firstLine="480" w:firstLineChars="200"/>
              <w:rPr>
                <w:rFonts w:hint="eastAsia"/>
                <w:bCs/>
                <w:color w:val="auto"/>
                <w:sz w:val="24"/>
                <w:vertAlign w:val="superscript"/>
                <w:lang w:val="en-US" w:eastAsia="zh-CN"/>
              </w:rPr>
            </w:pPr>
            <w:r>
              <w:rPr>
                <w:rFonts w:hint="eastAsia"/>
                <w:color w:val="auto"/>
                <w:sz w:val="24"/>
                <w:lang w:eastAsia="zh-CN"/>
              </w:rPr>
              <w:t>钻井岩屑：钻井施工过程中</w:t>
            </w:r>
            <w:r>
              <w:rPr>
                <w:rFonts w:hint="eastAsia" w:ascii="Times New Roman" w:hAnsi="Times New Roman" w:eastAsia="宋体" w:cs="Times New Roman"/>
                <w:bCs/>
                <w:color w:val="auto"/>
                <w:sz w:val="24"/>
                <w:szCs w:val="24"/>
              </w:rPr>
              <w:t>钻头切屑地层岩石而产生的碎屑，并通过钻井泥浆带出至地面，</w:t>
            </w:r>
            <w:r>
              <w:rPr>
                <w:rFonts w:hint="eastAsia" w:ascii="Times New Roman" w:hAnsi="宋体" w:eastAsia="宋体" w:cs="Times New Roman"/>
                <w:color w:val="auto"/>
                <w:kern w:val="0"/>
                <w:sz w:val="24"/>
                <w:szCs w:val="24"/>
              </w:rPr>
              <w:t>主要成分为岩石、土壤及钻井泥浆液</w:t>
            </w:r>
            <w:r>
              <w:rPr>
                <w:rFonts w:hint="eastAsia" w:ascii="Times New Roman" w:hAnsi="宋体" w:eastAsia="宋体" w:cs="Times New Roman"/>
                <w:color w:val="auto"/>
                <w:kern w:val="0"/>
                <w:sz w:val="24"/>
                <w:szCs w:val="24"/>
                <w:lang w:eastAsia="zh-CN"/>
              </w:rPr>
              <w:t>。</w:t>
            </w:r>
            <w:r>
              <w:rPr>
                <w:rFonts w:hint="eastAsia"/>
                <w:bCs/>
                <w:color w:val="auto"/>
                <w:sz w:val="24"/>
                <w:lang w:val="en-US" w:eastAsia="zh-CN"/>
              </w:rPr>
              <w:t>根据本项目各开次钻头尺寸、钻深、建设单位施工经验，核算本项目钻井岩屑产生量约为2m</w:t>
            </w:r>
            <w:r>
              <w:rPr>
                <w:rFonts w:hint="eastAsia"/>
                <w:bCs/>
                <w:color w:val="auto"/>
                <w:sz w:val="24"/>
                <w:vertAlign w:val="superscript"/>
                <w:lang w:val="en-US" w:eastAsia="zh-CN"/>
              </w:rPr>
              <w:t>3</w:t>
            </w:r>
            <w:r>
              <w:rPr>
                <w:rFonts w:hint="eastAsia"/>
                <w:bCs/>
                <w:color w:val="auto"/>
                <w:sz w:val="24"/>
                <w:vertAlign w:val="baseline"/>
                <w:lang w:val="en-US" w:eastAsia="zh-CN"/>
              </w:rPr>
              <w:t>。</w:t>
            </w:r>
          </w:p>
          <w:p w14:paraId="1781EF0F">
            <w:pPr>
              <w:spacing w:line="360" w:lineRule="auto"/>
              <w:ind w:firstLine="480" w:firstLineChars="200"/>
              <w:rPr>
                <w:rFonts w:hint="eastAsia"/>
                <w:color w:val="auto"/>
                <w:sz w:val="24"/>
                <w:szCs w:val="24"/>
                <w:highlight w:val="none"/>
              </w:rPr>
            </w:pPr>
            <w:r>
              <w:rPr>
                <w:rFonts w:hint="eastAsia"/>
                <w:color w:val="auto"/>
                <w:sz w:val="24"/>
                <w:szCs w:val="24"/>
                <w:highlight w:val="none"/>
                <w:vertAlign w:val="baseline"/>
                <w:lang w:eastAsia="zh-CN"/>
              </w:rPr>
              <w:t>钻井时会产生泥浆水，</w:t>
            </w:r>
            <w:r>
              <w:rPr>
                <w:rFonts w:hint="eastAsia" w:ascii="Times New Roman" w:hAnsi="Times New Roman" w:eastAsia="宋体" w:cs="Times New Roman"/>
                <w:color w:val="auto"/>
                <w:kern w:val="2"/>
                <w:sz w:val="24"/>
                <w:szCs w:val="24"/>
                <w:highlight w:val="none"/>
                <w:lang w:val="en-US" w:eastAsia="zh-CN" w:bidi="ar-SA"/>
              </w:rPr>
              <w:t>从井口处返出的泥浆水中固相含量比较高（泥浆中携带的</w:t>
            </w:r>
            <w:r>
              <w:rPr>
                <w:rFonts w:hint="eastAsia"/>
                <w:color w:val="auto"/>
                <w:sz w:val="24"/>
                <w:lang w:eastAsia="zh-CN"/>
              </w:rPr>
              <w:t>岩屑</w:t>
            </w:r>
            <w:r>
              <w:rPr>
                <w:rFonts w:hint="eastAsia" w:ascii="Times New Roman" w:hAnsi="Times New Roman" w:eastAsia="宋体" w:cs="Times New Roman"/>
                <w:color w:val="auto"/>
                <w:kern w:val="2"/>
                <w:sz w:val="24"/>
                <w:szCs w:val="24"/>
                <w:highlight w:val="none"/>
                <w:lang w:val="en-US" w:eastAsia="zh-CN" w:bidi="ar-SA"/>
              </w:rPr>
              <w:t>），为了降低其中的固相含量需要使用固控系统对泥浆水进行净化处理。</w:t>
            </w:r>
            <w:r>
              <w:rPr>
                <w:rFonts w:hint="eastAsia" w:eastAsia="宋体"/>
                <w:color w:val="auto"/>
                <w:sz w:val="24"/>
                <w:szCs w:val="24"/>
                <w:highlight w:val="none"/>
                <w:lang w:eastAsia="zh-CN"/>
              </w:rPr>
              <w:t>经固控系统</w:t>
            </w:r>
            <w:r>
              <w:rPr>
                <w:rFonts w:hint="eastAsia"/>
                <w:color w:val="auto"/>
                <w:sz w:val="24"/>
                <w:szCs w:val="24"/>
                <w:highlight w:val="none"/>
              </w:rPr>
              <w:t>净化处理后</w:t>
            </w:r>
            <w:r>
              <w:rPr>
                <w:rFonts w:hint="eastAsia"/>
                <w:color w:val="auto"/>
                <w:sz w:val="24"/>
                <w:szCs w:val="24"/>
                <w:highlight w:val="none"/>
                <w:lang w:eastAsia="zh-CN"/>
              </w:rPr>
              <w:t>的</w:t>
            </w:r>
            <w:r>
              <w:rPr>
                <w:rFonts w:hint="eastAsia"/>
                <w:color w:val="auto"/>
                <w:sz w:val="24"/>
                <w:szCs w:val="24"/>
                <w:highlight w:val="none"/>
              </w:rPr>
              <w:t>泥浆中固相含量明显下降，使泥浆能够实现循环利用</w:t>
            </w:r>
            <w:r>
              <w:rPr>
                <w:rFonts w:hint="eastAsia"/>
                <w:color w:val="auto"/>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bidi="ar-SA"/>
              </w:rPr>
              <w:t>无泥浆废水产生</w:t>
            </w:r>
            <w:r>
              <w:rPr>
                <w:rFonts w:hint="eastAsia"/>
                <w:color w:val="auto"/>
                <w:sz w:val="24"/>
                <w:szCs w:val="24"/>
                <w:highlight w:val="none"/>
                <w:lang w:eastAsia="zh-CN"/>
              </w:rPr>
              <w:t>。处理后的泥浆通过</w:t>
            </w:r>
            <w:r>
              <w:rPr>
                <w:rFonts w:hint="eastAsia"/>
                <w:color w:val="auto"/>
                <w:sz w:val="24"/>
                <w:szCs w:val="24"/>
                <w:highlight w:val="none"/>
              </w:rPr>
              <w:t>泥浆泵</w:t>
            </w:r>
            <w:r>
              <w:rPr>
                <w:rFonts w:hint="eastAsia"/>
                <w:color w:val="auto"/>
                <w:sz w:val="24"/>
                <w:szCs w:val="24"/>
                <w:highlight w:val="none"/>
                <w:lang w:eastAsia="zh-CN"/>
              </w:rPr>
              <w:t>继续用于</w:t>
            </w:r>
            <w:r>
              <w:rPr>
                <w:rFonts w:hint="eastAsia"/>
                <w:color w:val="auto"/>
                <w:sz w:val="24"/>
                <w:szCs w:val="24"/>
                <w:highlight w:val="none"/>
              </w:rPr>
              <w:t>钻井施工。</w:t>
            </w:r>
          </w:p>
          <w:p w14:paraId="1D7C2A07">
            <w:pPr>
              <w:spacing w:line="360" w:lineRule="auto"/>
              <w:ind w:firstLine="480" w:firstLineChars="200"/>
              <w:rPr>
                <w:rFonts w:hint="eastAsia"/>
                <w:color w:val="auto"/>
                <w:sz w:val="24"/>
                <w:szCs w:val="24"/>
                <w:highlight w:val="none"/>
                <w:vertAlign w:val="baseline"/>
                <w:lang w:eastAsia="zh-CN"/>
              </w:rPr>
            </w:pPr>
            <w:r>
              <w:rPr>
                <w:rFonts w:hint="eastAsia" w:ascii="Times New Roman" w:hAnsi="Times New Roman" w:eastAsia="宋体" w:cs="Times New Roman"/>
                <w:bCs/>
                <w:color w:val="auto"/>
                <w:sz w:val="24"/>
                <w:szCs w:val="24"/>
                <w:lang w:eastAsia="zh-CN"/>
              </w:rPr>
              <w:t>钻井过程</w:t>
            </w:r>
            <w:r>
              <w:rPr>
                <w:rFonts w:hint="eastAsia"/>
                <w:color w:val="auto"/>
                <w:sz w:val="24"/>
                <w:szCs w:val="24"/>
                <w:highlight w:val="none"/>
                <w:vertAlign w:val="baseline"/>
                <w:lang w:eastAsia="zh-CN"/>
              </w:rPr>
              <w:t>中少部分泥浆因性能不合格而会被废弃进入废浆池中，</w:t>
            </w:r>
            <w:r>
              <w:rPr>
                <w:rFonts w:hint="eastAsia"/>
                <w:color w:val="auto"/>
                <w:sz w:val="24"/>
                <w:szCs w:val="24"/>
                <w:highlight w:val="none"/>
                <w:vertAlign w:val="baseline"/>
                <w:lang w:val="en-US" w:eastAsia="zh-CN"/>
              </w:rPr>
              <w:t>施工完成后加入固化剂固化后用于周边道路</w:t>
            </w:r>
            <w:r>
              <w:rPr>
                <w:rFonts w:hint="default" w:ascii="Times New Roman" w:hAnsi="Times New Roman" w:cs="Times New Roman"/>
                <w:bCs/>
                <w:color w:val="auto"/>
                <w:sz w:val="24"/>
                <w:lang w:val="en-US" w:eastAsia="zh-CN"/>
              </w:rPr>
              <w:t>维护材料</w:t>
            </w:r>
            <w:r>
              <w:rPr>
                <w:rFonts w:hint="eastAsia"/>
                <w:color w:val="auto"/>
                <w:sz w:val="24"/>
                <w:szCs w:val="24"/>
                <w:highlight w:val="none"/>
                <w:vertAlign w:val="baseline"/>
                <w:lang w:val="en-US" w:eastAsia="zh-CN"/>
              </w:rPr>
              <w:t>。</w:t>
            </w:r>
            <w:r>
              <w:rPr>
                <w:rFonts w:hint="default" w:ascii="Times New Roman" w:hAnsi="Times New Roman" w:cs="Times New Roman"/>
                <w:bCs/>
                <w:color w:val="auto"/>
                <w:sz w:val="24"/>
                <w:lang w:val="en-US" w:eastAsia="zh-CN"/>
              </w:rPr>
              <w:t>项目钻井泥浆为水基泥浆，根据设计资料，井场产生的</w:t>
            </w:r>
            <w:r>
              <w:rPr>
                <w:rFonts w:hint="eastAsia" w:ascii="Times New Roman" w:hAnsi="Times New Roman" w:cs="Times New Roman"/>
                <w:bCs/>
                <w:color w:val="auto"/>
                <w:sz w:val="24"/>
                <w:lang w:val="en-US" w:eastAsia="zh-CN"/>
              </w:rPr>
              <w:t>废钻井泥浆</w:t>
            </w:r>
            <w:r>
              <w:rPr>
                <w:rFonts w:hint="default" w:ascii="Times New Roman" w:hAnsi="Times New Roman" w:cs="Times New Roman"/>
                <w:bCs/>
                <w:color w:val="auto"/>
                <w:sz w:val="24"/>
                <w:lang w:val="en-US" w:eastAsia="zh-CN"/>
              </w:rPr>
              <w:t>约为25m³，暂存于废浆池</w:t>
            </w:r>
            <w:r>
              <w:rPr>
                <w:rFonts w:hint="default" w:ascii="Times New Roman" w:hAnsi="Times New Roman" w:cs="Times New Roman"/>
                <w:bCs/>
                <w:color w:val="auto"/>
                <w:sz w:val="24"/>
                <w:highlight w:val="none"/>
                <w:lang w:val="en-US" w:eastAsia="zh-CN"/>
              </w:rPr>
              <w:t>中，干化后用于道路维护材料</w:t>
            </w:r>
            <w:r>
              <w:rPr>
                <w:rFonts w:hint="eastAsia" w:ascii="Times New Roman" w:hAnsi="Times New Roman" w:cs="Times New Roman"/>
                <w:bCs/>
                <w:color w:val="auto"/>
                <w:sz w:val="24"/>
                <w:lang w:val="en-US" w:eastAsia="zh-CN"/>
              </w:rPr>
              <w:t>。</w:t>
            </w:r>
          </w:p>
          <w:p w14:paraId="094DE80C">
            <w:pPr>
              <w:spacing w:line="360" w:lineRule="auto"/>
              <w:ind w:firstLine="480" w:firstLineChars="200"/>
              <w:rPr>
                <w:rFonts w:hint="eastAsia"/>
                <w:color w:val="auto"/>
                <w:sz w:val="24"/>
                <w:szCs w:val="24"/>
                <w:highlight w:val="none"/>
                <w:vertAlign w:val="baseline"/>
                <w:lang w:eastAsia="zh-CN"/>
              </w:rPr>
            </w:pPr>
            <w:r>
              <w:rPr>
                <w:rFonts w:hint="eastAsia"/>
                <w:color w:val="auto"/>
                <w:sz w:val="24"/>
                <w:szCs w:val="24"/>
                <w:highlight w:val="none"/>
                <w:vertAlign w:val="baseline"/>
                <w:lang w:val="en-US" w:eastAsia="zh-CN"/>
              </w:rPr>
              <w:t>固控系统：</w:t>
            </w:r>
            <w:r>
              <w:rPr>
                <w:rFonts w:hint="eastAsia"/>
                <w:color w:val="auto"/>
                <w:sz w:val="24"/>
                <w:szCs w:val="24"/>
                <w:highlight w:val="none"/>
                <w:vertAlign w:val="baseline"/>
                <w:lang w:eastAsia="zh-CN"/>
              </w:rPr>
              <w:t>主要用来固相控制和钻井液中的固液分离，使得钻井液可以循环利用。固控系统由</w:t>
            </w:r>
            <w:r>
              <w:rPr>
                <w:rFonts w:hint="eastAsia"/>
                <w:color w:val="auto"/>
                <w:sz w:val="24"/>
                <w:szCs w:val="24"/>
                <w:highlight w:val="none"/>
                <w:vertAlign w:val="baseline"/>
                <w:lang w:val="en-US" w:eastAsia="zh-CN"/>
              </w:rPr>
              <w:t>4个</w:t>
            </w:r>
            <w:r>
              <w:rPr>
                <w:rFonts w:hint="eastAsia"/>
                <w:color w:val="auto"/>
                <w:sz w:val="24"/>
                <w:szCs w:val="24"/>
                <w:highlight w:val="none"/>
                <w:vertAlign w:val="baseline"/>
                <w:lang w:eastAsia="zh-CN"/>
              </w:rPr>
              <w:t>泥浆罐配套</w:t>
            </w:r>
            <w:r>
              <w:rPr>
                <w:rFonts w:hint="eastAsia"/>
                <w:color w:val="auto"/>
                <w:sz w:val="24"/>
                <w:szCs w:val="24"/>
                <w:highlight w:val="none"/>
                <w:vertAlign w:val="baseline"/>
                <w:lang w:eastAsia="zh-CN"/>
              </w:rPr>
              <w:fldChar w:fldCharType="begin"/>
            </w:r>
            <w:r>
              <w:rPr>
                <w:rFonts w:hint="eastAsia"/>
                <w:color w:val="auto"/>
                <w:sz w:val="24"/>
                <w:szCs w:val="24"/>
                <w:highlight w:val="none"/>
                <w:vertAlign w:val="baseline"/>
                <w:lang w:eastAsia="zh-CN"/>
              </w:rPr>
              <w:instrText xml:space="preserve"> HYPERLINK "http://www.chinakosun.com/products/gukongshebei/zhendongshai.html" </w:instrText>
            </w:r>
            <w:r>
              <w:rPr>
                <w:rFonts w:hint="eastAsia"/>
                <w:color w:val="auto"/>
                <w:sz w:val="24"/>
                <w:szCs w:val="24"/>
                <w:highlight w:val="none"/>
                <w:vertAlign w:val="baseline"/>
                <w:lang w:eastAsia="zh-CN"/>
              </w:rPr>
              <w:fldChar w:fldCharType="separate"/>
            </w:r>
            <w:r>
              <w:rPr>
                <w:rFonts w:hint="eastAsia"/>
                <w:color w:val="auto"/>
                <w:sz w:val="24"/>
                <w:szCs w:val="24"/>
                <w:highlight w:val="none"/>
                <w:vertAlign w:val="baseline"/>
                <w:lang w:eastAsia="zh-CN"/>
              </w:rPr>
              <w:t>振动筛</w:t>
            </w:r>
            <w:r>
              <w:rPr>
                <w:rFonts w:hint="eastAsia"/>
                <w:color w:val="auto"/>
                <w:sz w:val="24"/>
                <w:szCs w:val="24"/>
                <w:highlight w:val="none"/>
                <w:vertAlign w:val="baseline"/>
                <w:lang w:eastAsia="zh-CN"/>
              </w:rPr>
              <w:fldChar w:fldCharType="end"/>
            </w:r>
            <w:r>
              <w:rPr>
                <w:rFonts w:hint="eastAsia"/>
                <w:color w:val="auto"/>
                <w:sz w:val="24"/>
                <w:szCs w:val="24"/>
                <w:highlight w:val="none"/>
                <w:vertAlign w:val="baseline"/>
                <w:lang w:eastAsia="zh-CN"/>
              </w:rPr>
              <w:t>、</w:t>
            </w:r>
            <w:r>
              <w:rPr>
                <w:rFonts w:hint="eastAsia"/>
                <w:color w:val="auto"/>
                <w:sz w:val="24"/>
                <w:szCs w:val="24"/>
                <w:highlight w:val="none"/>
                <w:vertAlign w:val="baseline"/>
                <w:lang w:eastAsia="zh-CN"/>
              </w:rPr>
              <w:fldChar w:fldCharType="begin"/>
            </w:r>
            <w:r>
              <w:rPr>
                <w:rFonts w:hint="eastAsia"/>
                <w:color w:val="auto"/>
                <w:sz w:val="24"/>
                <w:szCs w:val="24"/>
                <w:highlight w:val="none"/>
                <w:vertAlign w:val="baseline"/>
                <w:lang w:eastAsia="zh-CN"/>
              </w:rPr>
              <w:instrText xml:space="preserve"> HYPERLINK "http://www.chinakosun.com/products/gukongshebei/zhenkongchuqiqi.html" </w:instrText>
            </w:r>
            <w:r>
              <w:rPr>
                <w:rFonts w:hint="eastAsia"/>
                <w:color w:val="auto"/>
                <w:sz w:val="24"/>
                <w:szCs w:val="24"/>
                <w:highlight w:val="none"/>
                <w:vertAlign w:val="baseline"/>
                <w:lang w:eastAsia="zh-CN"/>
              </w:rPr>
              <w:fldChar w:fldCharType="separate"/>
            </w:r>
            <w:r>
              <w:rPr>
                <w:rFonts w:hint="eastAsia"/>
                <w:color w:val="auto"/>
                <w:sz w:val="24"/>
                <w:szCs w:val="24"/>
                <w:highlight w:val="none"/>
                <w:vertAlign w:val="baseline"/>
                <w:lang w:eastAsia="zh-CN"/>
              </w:rPr>
              <w:t>除气器</w:t>
            </w:r>
            <w:r>
              <w:rPr>
                <w:rFonts w:hint="eastAsia"/>
                <w:color w:val="auto"/>
                <w:sz w:val="24"/>
                <w:szCs w:val="24"/>
                <w:highlight w:val="none"/>
                <w:vertAlign w:val="baseline"/>
                <w:lang w:eastAsia="zh-CN"/>
              </w:rPr>
              <w:fldChar w:fldCharType="end"/>
            </w:r>
            <w:r>
              <w:rPr>
                <w:rFonts w:hint="eastAsia"/>
                <w:color w:val="auto"/>
                <w:sz w:val="24"/>
                <w:szCs w:val="24"/>
                <w:highlight w:val="none"/>
                <w:vertAlign w:val="baseline"/>
                <w:lang w:eastAsia="zh-CN"/>
              </w:rPr>
              <w:t>、</w:t>
            </w:r>
            <w:r>
              <w:rPr>
                <w:rFonts w:hint="eastAsia"/>
                <w:color w:val="auto"/>
                <w:sz w:val="24"/>
                <w:szCs w:val="24"/>
                <w:highlight w:val="none"/>
                <w:vertAlign w:val="baseline"/>
                <w:lang w:eastAsia="zh-CN"/>
              </w:rPr>
              <w:fldChar w:fldCharType="begin"/>
            </w:r>
            <w:r>
              <w:rPr>
                <w:rFonts w:hint="eastAsia"/>
                <w:color w:val="auto"/>
                <w:sz w:val="24"/>
                <w:szCs w:val="24"/>
                <w:highlight w:val="none"/>
                <w:vertAlign w:val="baseline"/>
                <w:lang w:eastAsia="zh-CN"/>
              </w:rPr>
              <w:instrText xml:space="preserve"> HYPERLINK "http://www.chinakosun.com/products/gukongshebei/chushaq.html" </w:instrText>
            </w:r>
            <w:r>
              <w:rPr>
                <w:rFonts w:hint="eastAsia"/>
                <w:color w:val="auto"/>
                <w:sz w:val="24"/>
                <w:szCs w:val="24"/>
                <w:highlight w:val="none"/>
                <w:vertAlign w:val="baseline"/>
                <w:lang w:eastAsia="zh-CN"/>
              </w:rPr>
              <w:fldChar w:fldCharType="separate"/>
            </w:r>
            <w:r>
              <w:rPr>
                <w:rFonts w:hint="eastAsia"/>
                <w:color w:val="auto"/>
                <w:sz w:val="24"/>
                <w:szCs w:val="24"/>
                <w:highlight w:val="none"/>
                <w:vertAlign w:val="baseline"/>
                <w:lang w:eastAsia="zh-CN"/>
              </w:rPr>
              <w:t>除砂器</w:t>
            </w:r>
            <w:r>
              <w:rPr>
                <w:rFonts w:hint="eastAsia"/>
                <w:color w:val="auto"/>
                <w:sz w:val="24"/>
                <w:szCs w:val="24"/>
                <w:highlight w:val="none"/>
                <w:vertAlign w:val="baseline"/>
                <w:lang w:eastAsia="zh-CN"/>
              </w:rPr>
              <w:fldChar w:fldCharType="end"/>
            </w:r>
            <w:r>
              <w:rPr>
                <w:rFonts w:hint="eastAsia"/>
                <w:color w:val="auto"/>
                <w:sz w:val="24"/>
                <w:szCs w:val="24"/>
                <w:highlight w:val="none"/>
                <w:vertAlign w:val="baseline"/>
                <w:lang w:eastAsia="zh-CN"/>
              </w:rPr>
              <w:t>、</w:t>
            </w:r>
            <w:r>
              <w:rPr>
                <w:rFonts w:hint="eastAsia"/>
                <w:color w:val="auto"/>
                <w:sz w:val="24"/>
                <w:szCs w:val="24"/>
                <w:highlight w:val="none"/>
                <w:vertAlign w:val="baseline"/>
                <w:lang w:eastAsia="zh-CN"/>
              </w:rPr>
              <w:fldChar w:fldCharType="begin"/>
            </w:r>
            <w:r>
              <w:rPr>
                <w:rFonts w:hint="eastAsia"/>
                <w:color w:val="auto"/>
                <w:sz w:val="24"/>
                <w:szCs w:val="24"/>
                <w:highlight w:val="none"/>
                <w:vertAlign w:val="baseline"/>
                <w:lang w:eastAsia="zh-CN"/>
              </w:rPr>
              <w:instrText xml:space="preserve"> HYPERLINK "http://www.chinakosun.com/products/gukongshebei/chuniq.html" </w:instrText>
            </w:r>
            <w:r>
              <w:rPr>
                <w:rFonts w:hint="eastAsia"/>
                <w:color w:val="auto"/>
                <w:sz w:val="24"/>
                <w:szCs w:val="24"/>
                <w:highlight w:val="none"/>
                <w:vertAlign w:val="baseline"/>
                <w:lang w:eastAsia="zh-CN"/>
              </w:rPr>
              <w:fldChar w:fldCharType="separate"/>
            </w:r>
            <w:r>
              <w:rPr>
                <w:rFonts w:hint="eastAsia"/>
                <w:color w:val="auto"/>
                <w:sz w:val="24"/>
                <w:szCs w:val="24"/>
                <w:highlight w:val="none"/>
                <w:vertAlign w:val="baseline"/>
                <w:lang w:eastAsia="zh-CN"/>
              </w:rPr>
              <w:t>除泥器</w:t>
            </w:r>
            <w:r>
              <w:rPr>
                <w:rFonts w:hint="eastAsia"/>
                <w:color w:val="auto"/>
                <w:sz w:val="24"/>
                <w:szCs w:val="24"/>
                <w:highlight w:val="none"/>
                <w:vertAlign w:val="baseline"/>
                <w:lang w:eastAsia="zh-CN"/>
              </w:rPr>
              <w:fldChar w:fldCharType="end"/>
            </w:r>
            <w:r>
              <w:rPr>
                <w:rFonts w:hint="eastAsia"/>
                <w:color w:val="auto"/>
                <w:sz w:val="24"/>
                <w:szCs w:val="24"/>
                <w:highlight w:val="none"/>
                <w:vertAlign w:val="baseline"/>
                <w:lang w:eastAsia="zh-CN"/>
              </w:rPr>
              <w:t>、中速离心机、高速离心机等固控设备组成。从井口处返出的泥浆中固相含量比较高，为了降低其中的固相含量,泥浆需要依次经过</w:t>
            </w:r>
            <w:r>
              <w:rPr>
                <w:rFonts w:hint="eastAsia"/>
                <w:color w:val="auto"/>
                <w:sz w:val="24"/>
                <w:szCs w:val="24"/>
                <w:highlight w:val="none"/>
                <w:vertAlign w:val="baseline"/>
                <w:lang w:eastAsia="zh-CN"/>
              </w:rPr>
              <w:fldChar w:fldCharType="begin"/>
            </w:r>
            <w:r>
              <w:rPr>
                <w:rFonts w:hint="eastAsia"/>
                <w:color w:val="auto"/>
                <w:sz w:val="24"/>
                <w:szCs w:val="24"/>
                <w:highlight w:val="none"/>
                <w:vertAlign w:val="baseline"/>
                <w:lang w:eastAsia="zh-CN"/>
              </w:rPr>
              <w:instrText xml:space="preserve"> HYPERLINK "http://www.chinakosun.com/products/gukongshebei/zhendongshai.html" </w:instrText>
            </w:r>
            <w:r>
              <w:rPr>
                <w:rFonts w:hint="eastAsia"/>
                <w:color w:val="auto"/>
                <w:sz w:val="24"/>
                <w:szCs w:val="24"/>
                <w:highlight w:val="none"/>
                <w:vertAlign w:val="baseline"/>
                <w:lang w:eastAsia="zh-CN"/>
              </w:rPr>
              <w:fldChar w:fldCharType="separate"/>
            </w:r>
            <w:r>
              <w:rPr>
                <w:rFonts w:hint="eastAsia"/>
                <w:color w:val="auto"/>
                <w:sz w:val="24"/>
                <w:szCs w:val="24"/>
                <w:highlight w:val="none"/>
                <w:vertAlign w:val="baseline"/>
                <w:lang w:eastAsia="zh-CN"/>
              </w:rPr>
              <w:t>振动筛</w:t>
            </w:r>
            <w:r>
              <w:rPr>
                <w:rFonts w:hint="eastAsia"/>
                <w:color w:val="auto"/>
                <w:sz w:val="24"/>
                <w:szCs w:val="24"/>
                <w:highlight w:val="none"/>
                <w:vertAlign w:val="baseline"/>
                <w:lang w:eastAsia="zh-CN"/>
              </w:rPr>
              <w:fldChar w:fldCharType="end"/>
            </w:r>
            <w:r>
              <w:rPr>
                <w:rFonts w:hint="eastAsia"/>
                <w:color w:val="auto"/>
                <w:sz w:val="24"/>
                <w:szCs w:val="24"/>
                <w:highlight w:val="none"/>
                <w:vertAlign w:val="baseline"/>
                <w:lang w:eastAsia="zh-CN"/>
              </w:rPr>
              <w:t>、</w:t>
            </w:r>
            <w:r>
              <w:rPr>
                <w:rFonts w:hint="eastAsia"/>
                <w:color w:val="auto"/>
                <w:sz w:val="24"/>
                <w:szCs w:val="24"/>
                <w:highlight w:val="none"/>
                <w:vertAlign w:val="baseline"/>
                <w:lang w:eastAsia="zh-CN"/>
              </w:rPr>
              <w:fldChar w:fldCharType="begin"/>
            </w:r>
            <w:r>
              <w:rPr>
                <w:rFonts w:hint="eastAsia"/>
                <w:color w:val="auto"/>
                <w:sz w:val="24"/>
                <w:szCs w:val="24"/>
                <w:highlight w:val="none"/>
                <w:vertAlign w:val="baseline"/>
                <w:lang w:eastAsia="zh-CN"/>
              </w:rPr>
              <w:instrText xml:space="preserve"> HYPERLINK "http://www.chinakosun.com/products/gukongshebei/zhenkongchuqiqi.html" </w:instrText>
            </w:r>
            <w:r>
              <w:rPr>
                <w:rFonts w:hint="eastAsia"/>
                <w:color w:val="auto"/>
                <w:sz w:val="24"/>
                <w:szCs w:val="24"/>
                <w:highlight w:val="none"/>
                <w:vertAlign w:val="baseline"/>
                <w:lang w:eastAsia="zh-CN"/>
              </w:rPr>
              <w:fldChar w:fldCharType="separate"/>
            </w:r>
            <w:r>
              <w:rPr>
                <w:rFonts w:hint="eastAsia"/>
                <w:color w:val="auto"/>
                <w:sz w:val="24"/>
                <w:szCs w:val="24"/>
                <w:highlight w:val="none"/>
                <w:vertAlign w:val="baseline"/>
                <w:lang w:eastAsia="zh-CN"/>
              </w:rPr>
              <w:t>除气器</w:t>
            </w:r>
            <w:r>
              <w:rPr>
                <w:rFonts w:hint="eastAsia"/>
                <w:color w:val="auto"/>
                <w:sz w:val="24"/>
                <w:szCs w:val="24"/>
                <w:highlight w:val="none"/>
                <w:vertAlign w:val="baseline"/>
                <w:lang w:eastAsia="zh-CN"/>
              </w:rPr>
              <w:fldChar w:fldCharType="end"/>
            </w:r>
            <w:r>
              <w:rPr>
                <w:rFonts w:hint="eastAsia"/>
                <w:color w:val="auto"/>
                <w:sz w:val="24"/>
                <w:szCs w:val="24"/>
                <w:highlight w:val="none"/>
                <w:vertAlign w:val="baseline"/>
                <w:lang w:eastAsia="zh-CN"/>
              </w:rPr>
              <w:t>、</w:t>
            </w:r>
            <w:r>
              <w:rPr>
                <w:rFonts w:hint="eastAsia"/>
                <w:color w:val="auto"/>
                <w:sz w:val="24"/>
                <w:szCs w:val="24"/>
                <w:highlight w:val="none"/>
                <w:vertAlign w:val="baseline"/>
                <w:lang w:eastAsia="zh-CN"/>
              </w:rPr>
              <w:fldChar w:fldCharType="begin"/>
            </w:r>
            <w:r>
              <w:rPr>
                <w:rFonts w:hint="eastAsia"/>
                <w:color w:val="auto"/>
                <w:sz w:val="24"/>
                <w:szCs w:val="24"/>
                <w:highlight w:val="none"/>
                <w:vertAlign w:val="baseline"/>
                <w:lang w:eastAsia="zh-CN"/>
              </w:rPr>
              <w:instrText xml:space="preserve"> HYPERLINK "http://www.chinakosun.com/products/gukongshebei/chushaq.html" </w:instrText>
            </w:r>
            <w:r>
              <w:rPr>
                <w:rFonts w:hint="eastAsia"/>
                <w:color w:val="auto"/>
                <w:sz w:val="24"/>
                <w:szCs w:val="24"/>
                <w:highlight w:val="none"/>
                <w:vertAlign w:val="baseline"/>
                <w:lang w:eastAsia="zh-CN"/>
              </w:rPr>
              <w:fldChar w:fldCharType="separate"/>
            </w:r>
            <w:r>
              <w:rPr>
                <w:rFonts w:hint="eastAsia"/>
                <w:color w:val="auto"/>
                <w:sz w:val="24"/>
                <w:szCs w:val="24"/>
                <w:highlight w:val="none"/>
                <w:vertAlign w:val="baseline"/>
                <w:lang w:eastAsia="zh-CN"/>
              </w:rPr>
              <w:t>除砂器</w:t>
            </w:r>
            <w:r>
              <w:rPr>
                <w:rFonts w:hint="eastAsia"/>
                <w:color w:val="auto"/>
                <w:sz w:val="24"/>
                <w:szCs w:val="24"/>
                <w:highlight w:val="none"/>
                <w:vertAlign w:val="baseline"/>
                <w:lang w:eastAsia="zh-CN"/>
              </w:rPr>
              <w:fldChar w:fldCharType="end"/>
            </w:r>
            <w:r>
              <w:rPr>
                <w:rFonts w:hint="eastAsia"/>
                <w:color w:val="auto"/>
                <w:sz w:val="24"/>
                <w:szCs w:val="24"/>
                <w:highlight w:val="none"/>
                <w:vertAlign w:val="baseline"/>
                <w:lang w:eastAsia="zh-CN"/>
              </w:rPr>
              <w:t>、</w:t>
            </w:r>
            <w:r>
              <w:rPr>
                <w:rFonts w:hint="eastAsia"/>
                <w:color w:val="auto"/>
                <w:sz w:val="24"/>
                <w:szCs w:val="24"/>
                <w:highlight w:val="none"/>
                <w:vertAlign w:val="baseline"/>
                <w:lang w:eastAsia="zh-CN"/>
              </w:rPr>
              <w:fldChar w:fldCharType="begin"/>
            </w:r>
            <w:r>
              <w:rPr>
                <w:rFonts w:hint="eastAsia"/>
                <w:color w:val="auto"/>
                <w:sz w:val="24"/>
                <w:szCs w:val="24"/>
                <w:highlight w:val="none"/>
                <w:vertAlign w:val="baseline"/>
                <w:lang w:eastAsia="zh-CN"/>
              </w:rPr>
              <w:instrText xml:space="preserve"> HYPERLINK "http://www.chinakosun.com/products/gukongshebei/chuniq.html" </w:instrText>
            </w:r>
            <w:r>
              <w:rPr>
                <w:rFonts w:hint="eastAsia"/>
                <w:color w:val="auto"/>
                <w:sz w:val="24"/>
                <w:szCs w:val="24"/>
                <w:highlight w:val="none"/>
                <w:vertAlign w:val="baseline"/>
                <w:lang w:eastAsia="zh-CN"/>
              </w:rPr>
              <w:fldChar w:fldCharType="separate"/>
            </w:r>
            <w:r>
              <w:rPr>
                <w:rFonts w:hint="eastAsia"/>
                <w:color w:val="auto"/>
                <w:sz w:val="24"/>
                <w:szCs w:val="24"/>
                <w:highlight w:val="none"/>
                <w:vertAlign w:val="baseline"/>
                <w:lang w:eastAsia="zh-CN"/>
              </w:rPr>
              <w:t>除泥器</w:t>
            </w:r>
            <w:r>
              <w:rPr>
                <w:rFonts w:hint="eastAsia"/>
                <w:color w:val="auto"/>
                <w:sz w:val="24"/>
                <w:szCs w:val="24"/>
                <w:highlight w:val="none"/>
                <w:vertAlign w:val="baseline"/>
                <w:lang w:eastAsia="zh-CN"/>
              </w:rPr>
              <w:fldChar w:fldCharType="end"/>
            </w:r>
            <w:r>
              <w:rPr>
                <w:rFonts w:hint="eastAsia"/>
                <w:color w:val="auto"/>
                <w:sz w:val="24"/>
                <w:szCs w:val="24"/>
                <w:highlight w:val="none"/>
                <w:vertAlign w:val="baseline"/>
                <w:lang w:eastAsia="zh-CN"/>
              </w:rPr>
              <w:t>、中速离心机、高速离心机等净化处理后,泥浆中的固相含量会明显下降，使泥浆能够实现循环利用。</w:t>
            </w:r>
          </w:p>
          <w:p w14:paraId="6CAE53FA">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压裂施工</w:t>
            </w:r>
          </w:p>
          <w:p w14:paraId="61CFBBC9">
            <w:pPr>
              <w:pStyle w:val="96"/>
              <w:keepNext w:val="0"/>
              <w:keepLines w:val="0"/>
              <w:pageBreakBefore w:val="0"/>
              <w:widowControl w:val="0"/>
              <w:kinsoku/>
              <w:wordWrap/>
              <w:overflowPunct/>
              <w:topLinePunct w:val="0"/>
              <w:autoSpaceDE/>
              <w:autoSpaceDN/>
              <w:bidi w:val="0"/>
              <w:adjustRightInd w:val="0"/>
              <w:snapToGrid w:val="0"/>
              <w:ind w:firstLine="600"/>
              <w:textAlignment w:val="auto"/>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设计采用泵送桥塞-射孔联作工艺实现分段射孔、分段压裂。</w:t>
            </w:r>
          </w:p>
          <w:p w14:paraId="5F63389F">
            <w:pPr>
              <w:pStyle w:val="96"/>
              <w:keepNext w:val="0"/>
              <w:keepLines w:val="0"/>
              <w:pageBreakBefore w:val="0"/>
              <w:widowControl w:val="0"/>
              <w:kinsoku/>
              <w:wordWrap/>
              <w:overflowPunct/>
              <w:topLinePunct w:val="0"/>
              <w:autoSpaceDE/>
              <w:autoSpaceDN/>
              <w:bidi w:val="0"/>
              <w:adjustRightInd w:val="0"/>
              <w:snapToGrid w:val="0"/>
              <w:ind w:firstLine="600"/>
              <w:textAlignment w:val="auto"/>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水平井段长60～80m进行分段，若遇到断层可单独设段。采用“</w:t>
            </w:r>
            <w:bookmarkStart w:id="71" w:name="_Hlk122273165"/>
            <w:r>
              <w:rPr>
                <w:rFonts w:hint="eastAsia" w:ascii="Times New Roman" w:hAnsi="宋体" w:eastAsia="宋体" w:cs="Times New Roman"/>
                <w:b w:val="0"/>
                <w:bCs w:val="0"/>
                <w:color w:val="auto"/>
                <w:kern w:val="0"/>
                <w:sz w:val="24"/>
                <w:szCs w:val="24"/>
                <w:lang w:val="en-US" w:eastAsia="zh-CN" w:bidi="ar-SA"/>
              </w:rPr>
              <w:t>大排量</w:t>
            </w:r>
            <w:bookmarkEnd w:id="71"/>
            <w:r>
              <w:rPr>
                <w:rFonts w:hint="eastAsia" w:ascii="Times New Roman" w:hAnsi="宋体" w:eastAsia="宋体" w:cs="Times New Roman"/>
                <w:b w:val="0"/>
                <w:bCs w:val="0"/>
                <w:color w:val="auto"/>
                <w:kern w:val="0"/>
                <w:sz w:val="24"/>
                <w:szCs w:val="24"/>
                <w:lang w:val="en-US" w:eastAsia="zh-CN" w:bidi="ar-SA"/>
              </w:rPr>
              <w:t>、大粒径、大砂比”，控液量，连续加砂的主体压裂工艺，适当提高中细砂砂量。尽量实现少液多砂，确保支撑缝宽，提高人工裂缝与煤层的沟通效果。</w:t>
            </w:r>
          </w:p>
          <w:p w14:paraId="14EED483">
            <w:pPr>
              <w:pStyle w:val="2"/>
              <w:keepLines w:val="0"/>
              <w:pageBreakBefore w:val="0"/>
              <w:widowControl w:val="0"/>
              <w:numPr>
                <w:ilvl w:val="0"/>
                <w:numId w:val="0"/>
              </w:numPr>
              <w:kinsoku/>
              <w:wordWrap/>
              <w:topLinePunct w:val="0"/>
              <w:autoSpaceDE/>
              <w:autoSpaceDN/>
              <w:bidi w:val="0"/>
              <w:adjustRightInd/>
              <w:spacing w:before="0" w:after="0" w:line="360" w:lineRule="auto"/>
              <w:ind w:leftChars="0" w:firstLine="480" w:firstLineChars="200"/>
              <w:textAlignment w:val="auto"/>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井眼轨迹尽量控制在4-1煤层顶板2m内、4-1煤与4-2煤层夹矸中。根据井眼轨迹与煤层的距离和位置，采用不同的射孔工艺。在水平井眼远离煤层时（距离煤层1.5m以上）采用深穿透弹，顶板垂直射孔向下/底板垂直射孔向上，增加裂缝的垂向延伸长度，与煤层沟通；在贴近煤层时（距离煤层0～1.5m）采用大孔径弹，垂直射孔，增大裂缝宽度和沟通效果；在煤层内，采用大孔径弹，常规60°螺旋射孔方式，提高在煤层内的改造体积。每段3簇，每簇1m；孔密20～24孔/m。</w:t>
            </w:r>
          </w:p>
          <w:p w14:paraId="330AA188">
            <w:pPr>
              <w:pStyle w:val="96"/>
              <w:keepLines w:val="0"/>
              <w:pageBreakBefore w:val="0"/>
              <w:widowControl w:val="0"/>
              <w:kinsoku/>
              <w:wordWrap/>
              <w:topLinePunct w:val="0"/>
              <w:autoSpaceDE/>
              <w:autoSpaceDN/>
              <w:bidi w:val="0"/>
              <w:adjustRightInd w:val="0"/>
              <w:snapToGrid w:val="0"/>
              <w:ind w:firstLine="600"/>
              <w:textAlignment w:val="auto"/>
              <w:rPr>
                <w:rFonts w:hint="eastAsia" w:ascii="Times New Roman" w:hAnsi="宋体" w:eastAsia="宋体" w:cs="Times New Roman"/>
                <w:color w:val="auto"/>
                <w:kern w:val="0"/>
                <w:sz w:val="24"/>
                <w:szCs w:val="24"/>
                <w:lang w:val="en-US" w:eastAsia="zh-CN"/>
              </w:rPr>
            </w:pPr>
            <w:r>
              <w:rPr>
                <w:rFonts w:hint="eastAsia" w:ascii="Times New Roman" w:hAnsi="宋体" w:eastAsia="宋体" w:cs="Times New Roman"/>
                <w:b w:val="0"/>
                <w:bCs w:val="0"/>
                <w:color w:val="auto"/>
                <w:kern w:val="0"/>
                <w:sz w:val="24"/>
                <w:szCs w:val="24"/>
                <w:lang w:val="en-US" w:eastAsia="zh-CN" w:bidi="ar-SA"/>
              </w:rPr>
              <w:t>选择稳定可靠适合三开套管内径的低温可溶桥塞和89mm射孔枪。</w:t>
            </w:r>
            <w:r>
              <w:rPr>
                <w:rFonts w:hint="eastAsia" w:ascii="Times New Roman" w:hAnsi="宋体" w:eastAsia="宋体" w:cs="Times New Roman"/>
                <w:color w:val="auto"/>
                <w:kern w:val="0"/>
                <w:sz w:val="24"/>
                <w:szCs w:val="24"/>
                <w:lang w:val="en-US" w:eastAsia="zh-CN"/>
              </w:rPr>
              <w:t>压裂液选用活性水压裂液，选择石英砂作为本次压裂支撑剂。</w:t>
            </w:r>
          </w:p>
          <w:p w14:paraId="61FDC46D">
            <w:pPr>
              <w:pStyle w:val="96"/>
              <w:keepLines w:val="0"/>
              <w:pageBreakBefore w:val="0"/>
              <w:widowControl w:val="0"/>
              <w:kinsoku/>
              <w:wordWrap/>
              <w:topLinePunct w:val="0"/>
              <w:autoSpaceDE/>
              <w:autoSpaceDN/>
              <w:bidi w:val="0"/>
              <w:adjustRightInd w:val="0"/>
              <w:snapToGrid w:val="0"/>
              <w:ind w:firstLine="600"/>
              <w:textAlignment w:val="auto"/>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color w:val="auto"/>
                <w:kern w:val="0"/>
                <w:sz w:val="24"/>
                <w:szCs w:val="24"/>
                <w:lang w:val="en-US" w:eastAsia="zh-CN"/>
              </w:rPr>
              <w:t>每段压裂完后，停泵测压降30min，获取停泵压力和停泵压降；现场视施工</w:t>
            </w:r>
            <w:r>
              <w:rPr>
                <w:rFonts w:hint="eastAsia" w:ascii="Times New Roman" w:hAnsi="宋体" w:eastAsia="宋体" w:cs="Times New Roman"/>
                <w:b w:val="0"/>
                <w:bCs w:val="0"/>
                <w:color w:val="auto"/>
                <w:kern w:val="0"/>
                <w:sz w:val="24"/>
                <w:szCs w:val="24"/>
                <w:lang w:val="en-US" w:eastAsia="zh-CN" w:bidi="ar-SA"/>
              </w:rPr>
              <w:t>情况，选取2～3段施工后测压降时间延长至90min。</w:t>
            </w:r>
          </w:p>
          <w:p w14:paraId="09C5A103">
            <w:pPr>
              <w:pStyle w:val="96"/>
              <w:keepLines w:val="0"/>
              <w:pageBreakBefore w:val="0"/>
              <w:widowControl w:val="0"/>
              <w:kinsoku/>
              <w:wordWrap/>
              <w:topLinePunct w:val="0"/>
              <w:autoSpaceDE/>
              <w:autoSpaceDN/>
              <w:bidi w:val="0"/>
              <w:adjustRightInd w:val="0"/>
              <w:snapToGrid w:val="0"/>
              <w:ind w:firstLine="600"/>
              <w:textAlignment w:val="auto"/>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压裂施工产污环节分析：项目压裂施工用水直接进入地层，无压裂废水产生。压裂施工设备运行会产生设备噪声。</w:t>
            </w:r>
          </w:p>
          <w:p w14:paraId="4A11D841">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排采施工</w:t>
            </w:r>
          </w:p>
          <w:p w14:paraId="6CE2A7DB">
            <w:pPr>
              <w:pStyle w:val="2"/>
              <w:keepLines w:val="0"/>
              <w:pageBreakBefore w:val="0"/>
              <w:widowControl w:val="0"/>
              <w:numPr>
                <w:ilvl w:val="0"/>
                <w:numId w:val="0"/>
              </w:numPr>
              <w:kinsoku/>
              <w:wordWrap/>
              <w:topLinePunct w:val="0"/>
              <w:autoSpaceDE/>
              <w:autoSpaceDN/>
              <w:bidi w:val="0"/>
              <w:adjustRightInd w:val="0"/>
              <w:snapToGrid w:val="0"/>
              <w:spacing w:before="0" w:after="0" w:line="360" w:lineRule="auto"/>
              <w:ind w:leftChars="0" w:firstLine="480" w:firstLineChars="200"/>
              <w:textAlignment w:val="auto"/>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本项目采用电潜螺杆泵排采方式进行排采。</w:t>
            </w:r>
          </w:p>
          <w:p w14:paraId="0FFA7B3A">
            <w:pPr>
              <w:pStyle w:val="2"/>
              <w:keepLines w:val="0"/>
              <w:pageBreakBefore w:val="0"/>
              <w:widowControl w:val="0"/>
              <w:numPr>
                <w:ilvl w:val="0"/>
                <w:numId w:val="0"/>
              </w:numPr>
              <w:kinsoku/>
              <w:wordWrap/>
              <w:topLinePunct w:val="0"/>
              <w:autoSpaceDE/>
              <w:autoSpaceDN/>
              <w:bidi w:val="0"/>
              <w:adjustRightInd w:val="0"/>
              <w:snapToGrid w:val="0"/>
              <w:spacing w:before="0" w:after="0" w:line="360" w:lineRule="auto"/>
              <w:ind w:leftChars="0" w:firstLine="480" w:firstLineChars="200"/>
              <w:textAlignment w:val="auto"/>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①施工准备：搬架上井，立井架，井口中心与天车和滑车的连线偏差小于0.04m为合格，并安装准确灵敏的指重表。</w:t>
            </w:r>
          </w:p>
          <w:p w14:paraId="5CD652FB">
            <w:pPr>
              <w:pStyle w:val="102"/>
              <w:ind w:firstLine="602"/>
              <w:outlineLvl w:val="2"/>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②放喷：压裂后，首先关井扩压，在压降不变的情况下开始放喷。目前采用针型阀放喷，返排液通过放喷管线流入液罐，用已经标定容量的水桶计量返排瞬时流量，根据每日放喷液量观察压降变化，进而调整放喷液量，每天压降控制在0.05～0.25MPa之间放喷，仔细观察产出液有无浑浊、脏物、煤粉或出砂现象，根据产出液变化情况，对比放喷水样变化情况并做出相应降压速度调整。直至井口压力降为零，溢流量不影响下步作业。预计该阶段控制在90天左右。</w:t>
            </w:r>
          </w:p>
          <w:p w14:paraId="3598098F">
            <w:pPr>
              <w:pStyle w:val="96"/>
              <w:ind w:firstLine="600"/>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放喷过程中记录放喷排液时间、压力、排量、累计液量等。整个压裂液返排过程中始终以控制煤层不吐砂不吐粉为原则，由于该井采用泵送桥塞压裂工艺且压裂段数较多，压裂煤层煤软易碎，放喷制度制定原则一方面考虑压裂液的及时返排，减少煤层伤害，解除较小空隙中的束缚水，提高煤层排采效率；另一方面应防止放喷压降过大，导致煤破碎，吐砂吐煤粉堵塞裂缝。</w:t>
            </w:r>
          </w:p>
          <w:p w14:paraId="6F43FBC9">
            <w:pPr>
              <w:pStyle w:val="102"/>
              <w:ind w:firstLine="602"/>
              <w:outlineLvl w:val="2"/>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③钻塞：</w:t>
            </w:r>
          </w:p>
          <w:p w14:paraId="5DE29FC1">
            <w:pPr>
              <w:pStyle w:val="96"/>
              <w:ind w:firstLine="600"/>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（1）丈量入井工具和油管长度，并做好记录。</w:t>
            </w:r>
          </w:p>
          <w:p w14:paraId="2535AFE9">
            <w:pPr>
              <w:pStyle w:val="96"/>
              <w:ind w:firstLine="600"/>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2）缓慢下入探塞面管柱，结构如下：Φ73mm笔尖+Φ73mm油管，下钻速度不超过25根/小时，在下到每一个桥塞顶部位置5m处时，记录悬重值并缓慢下放油管探测桥塞位置，如有遇阻现象，遇阻吨位不超过20kN，并核实桥塞深度，在每个桥塞位置±5m 处来回短起下放3次。</w:t>
            </w:r>
          </w:p>
          <w:p w14:paraId="007FCADD">
            <w:pPr>
              <w:pStyle w:val="96"/>
              <w:ind w:firstLine="600"/>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（3）探到遇阻桥塞或直到探到最后一个桥塞时，然后上提管柱5m，开泵，用排量450L/min进行循环洗井2周，观察出口出液及含砂情况，直至进出口液性一致且出口无砂返出时，停泵，起出探砂面管柱。</w:t>
            </w:r>
          </w:p>
          <w:p w14:paraId="41879A5C">
            <w:pPr>
              <w:pStyle w:val="96"/>
              <w:ind w:firstLine="600"/>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 xml:space="preserve">（4）丈量入井工具和油管长度，并做好记录。 </w:t>
            </w:r>
          </w:p>
          <w:p w14:paraId="77CE1C30">
            <w:pPr>
              <w:pStyle w:val="96"/>
              <w:ind w:firstLine="600"/>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（5）缓慢下入钻塞面管柱，结构如下：Φ114mm高效平底磨铣鞋+Φ95mm动力马达+Φ73mm油管，下钻速度不超过 25 根/小时，在下到第一个桥塞顶部位置5m处时，记录悬重值，开泵，用排量至 450L/min（根据实际情况控制排量），在泵压稳定且返排出液正常后开始下放油管进行钻磨作业，泵压控制在4MPa之内。严格控制钻压（5～20kN）及钻时以防卡钻，钻磨期间密切注意泵压的变化，当钻塞管柱顺利通过桥塞位置1m时，表明可溶桥塞已溶完。</w:t>
            </w:r>
          </w:p>
          <w:p w14:paraId="4E509B99">
            <w:pPr>
              <w:pStyle w:val="96"/>
              <w:ind w:firstLine="600"/>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（6）在第一个桥塞位置±5m处，保持泵压、排量不变，缓慢上提下方钻塞管柱来回短起3次，继续下一个钻塞作业。</w:t>
            </w:r>
          </w:p>
          <w:p w14:paraId="32C794A0">
            <w:pPr>
              <w:pStyle w:val="96"/>
              <w:ind w:firstLine="600"/>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 xml:space="preserve">（7）在下放和起单根期间油管上卸扣尽量时间要短，继续钻磨过程中始终保持对出口返液、泵压的观察。 </w:t>
            </w:r>
          </w:p>
          <w:p w14:paraId="521013EE">
            <w:pPr>
              <w:pStyle w:val="96"/>
              <w:ind w:firstLine="600"/>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（8）在同一个位置纯钻时间超过60min无明显进尺时或同一井深超压停泵3～5次，应起出钻具检查。</w:t>
            </w:r>
          </w:p>
          <w:p w14:paraId="1D108794">
            <w:pPr>
              <w:pStyle w:val="102"/>
              <w:ind w:firstLine="602"/>
              <w:outlineLvl w:val="2"/>
              <w:rPr>
                <w:rFonts w:hint="eastAsia" w:ascii="Times New Roman" w:hAnsi="宋体" w:eastAsia="宋体" w:cs="Times New Roman"/>
                <w:b w:val="0"/>
                <w:bCs w:val="0"/>
                <w:color w:val="auto"/>
                <w:kern w:val="0"/>
                <w:sz w:val="24"/>
                <w:szCs w:val="24"/>
                <w:lang w:val="en-US" w:eastAsia="zh-CN" w:bidi="ar-SA"/>
              </w:rPr>
            </w:pPr>
            <w:bookmarkStart w:id="72" w:name="_Toc15309"/>
            <w:r>
              <w:rPr>
                <w:rFonts w:hint="eastAsia" w:ascii="Times New Roman" w:hAnsi="宋体" w:eastAsia="宋体" w:cs="Times New Roman"/>
                <w:b w:val="0"/>
                <w:bCs w:val="0"/>
                <w:color w:val="auto"/>
                <w:kern w:val="0"/>
                <w:sz w:val="24"/>
                <w:szCs w:val="24"/>
                <w:lang w:val="en-US" w:eastAsia="zh-CN" w:bidi="ar-SA"/>
              </w:rPr>
              <w:t>④冲砂</w:t>
            </w:r>
            <w:bookmarkEnd w:id="72"/>
          </w:p>
          <w:p w14:paraId="5D95764F">
            <w:pPr>
              <w:pStyle w:val="102"/>
              <w:ind w:firstLine="602"/>
              <w:outlineLvl w:val="2"/>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下入洗井油管底带导锥，用清水反洗冲砂至目前人工井底，下泵前保证井筒干净。下管速度控制在30根/小时，在距煤层段约100米时，则控制下管速度在15根/小时左右，探砂面时控制加压不超过30kN，复探三次无误后，上提油管至遇阻位置以上约5m左右；</w:t>
            </w:r>
          </w:p>
          <w:p w14:paraId="77545C65">
            <w:pPr>
              <w:pStyle w:val="102"/>
              <w:ind w:firstLine="602"/>
              <w:outlineLvl w:val="2"/>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连接好冲洗设备，开泵循环。在循环正常后缓慢下钻冲砂，观察有无进尺。若有进尺则继续冲砂至人工井底。返出液由井口进排污罐，水泥车由排污罐供水，进行循环利用；</w:t>
            </w:r>
          </w:p>
          <w:p w14:paraId="346ADB46">
            <w:pPr>
              <w:pStyle w:val="102"/>
              <w:ind w:firstLine="602"/>
              <w:outlineLvl w:val="2"/>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冲到井底后则充分循环洗井，直至进出口水质一致或出口含砂量小于0.2%时则停泵。起出冲砂管柱完成冲砂工序。</w:t>
            </w:r>
          </w:p>
          <w:p w14:paraId="147AAC9B">
            <w:pPr>
              <w:pStyle w:val="102"/>
              <w:ind w:firstLine="602"/>
              <w:outlineLvl w:val="2"/>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⑤ 通井</w:t>
            </w:r>
          </w:p>
          <w:p w14:paraId="33C5EF80">
            <w:pPr>
              <w:pStyle w:val="102"/>
              <w:ind w:firstLine="602"/>
              <w:outlineLvl w:val="2"/>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套管内径下通井规进行通井，下管柱速度控制在20根/小时，出现卡阻情况时，加压不大于50kN，及时记录位置，并落实原因。通井至煤层段之上100m时，下放速度控制在15根/小时。</w:t>
            </w:r>
          </w:p>
          <w:p w14:paraId="1C7370F2">
            <w:pPr>
              <w:pStyle w:val="102"/>
              <w:ind w:firstLine="602"/>
              <w:outlineLvl w:val="2"/>
              <w:rPr>
                <w:rFonts w:hint="eastAsia" w:ascii="Times New Roman" w:hAnsi="宋体" w:eastAsia="宋体" w:cs="Times New Roman"/>
                <w:b w:val="0"/>
                <w:bCs w:val="0"/>
                <w:color w:val="auto"/>
                <w:kern w:val="0"/>
                <w:sz w:val="24"/>
                <w:szCs w:val="24"/>
                <w:lang w:val="en-US" w:eastAsia="zh-CN" w:bidi="ar-SA"/>
              </w:rPr>
            </w:pPr>
            <w:bookmarkStart w:id="73" w:name="_Toc13188"/>
            <w:r>
              <w:rPr>
                <w:rFonts w:hint="eastAsia" w:ascii="Times New Roman" w:hAnsi="宋体" w:eastAsia="宋体" w:cs="Times New Roman"/>
                <w:b w:val="0"/>
                <w:bCs w:val="0"/>
                <w:color w:val="auto"/>
                <w:kern w:val="0"/>
                <w:sz w:val="24"/>
                <w:szCs w:val="24"/>
                <w:lang w:val="en-US" w:eastAsia="zh-CN" w:bidi="ar-SA"/>
              </w:rPr>
              <w:t>⑥下电潜泵</w:t>
            </w:r>
            <w:bookmarkEnd w:id="73"/>
          </w:p>
          <w:p w14:paraId="081BD038">
            <w:pPr>
              <w:pStyle w:val="102"/>
              <w:ind w:firstLine="602"/>
              <w:outlineLvl w:val="2"/>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泵挂放在压裂层位以上，选择二开井斜70～75°稳斜段、狗腿度较小的位置。对于L型水平井，排采过程中，由于泵吸入口在压裂层段上部，气体进入井筒后需经过油套环空产至地面，因此螺杆泵在抽吸液体过程中不可避免的会吸入部分产出气，为了降低气体对螺杆泵的影响，考虑在泵体上端增加导流罩，以实现井下气液分离。</w:t>
            </w:r>
          </w:p>
          <w:p w14:paraId="246A7419">
            <w:pPr>
              <w:pStyle w:val="102"/>
              <w:ind w:firstLine="602"/>
              <w:outlineLvl w:val="2"/>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下泵前再次检查井架天车、大钩与井口对中情况，若偏差超标，进行调整，确保对中合格后才能进行下电泵作业，以确保电泵下井期间，不发生机组、电缆及附件在井口被刮擦损坏事故。井口应有电缆导向器，防止电缆被油管夹断。油管连接时应保证有背钳，连接紧固。</w:t>
            </w:r>
          </w:p>
          <w:p w14:paraId="5F6F1C7D">
            <w:pPr>
              <w:pStyle w:val="102"/>
              <w:ind w:firstLine="602"/>
              <w:outlineLvl w:val="2"/>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电潜螺杆泵机组管柱串组合(自下而上)：潜油电机+保护器+导流罩+螺杆泵+沉砂管+平式油管+油管悬挂器。</w:t>
            </w:r>
          </w:p>
          <w:p w14:paraId="444CE6E6">
            <w:pPr>
              <w:pStyle w:val="102"/>
              <w:ind w:firstLine="602"/>
              <w:outlineLvl w:val="2"/>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电泵机组安装完毕后，继续下Φ73mm平式油管至电泵机组的设计深度，若有遇阻无法至设计深度，切勿强行下压。下管过程中按要求打好电缆防护卡子、控制下放速度，每下放10根油管进行一次电缆电阻值检测。</w:t>
            </w:r>
          </w:p>
          <w:p w14:paraId="728B1ADF">
            <w:pPr>
              <w:pStyle w:val="102"/>
              <w:ind w:firstLine="602"/>
              <w:outlineLvl w:val="2"/>
              <w:rPr>
                <w:rFonts w:hint="eastAsia" w:ascii="Times New Roman" w:hAnsi="宋体" w:eastAsia="宋体" w:cs="Times New Roman"/>
                <w:b w:val="0"/>
                <w:bCs w:val="0"/>
                <w:color w:val="auto"/>
                <w:kern w:val="0"/>
                <w:sz w:val="24"/>
                <w:szCs w:val="24"/>
                <w:lang w:val="en-US" w:eastAsia="zh-CN" w:bidi="ar-SA"/>
              </w:rPr>
            </w:pPr>
            <w:bookmarkStart w:id="74" w:name="_Toc15064"/>
            <w:bookmarkStart w:id="75" w:name="_Toc31629"/>
            <w:r>
              <w:rPr>
                <w:rFonts w:hint="eastAsia" w:ascii="Times New Roman" w:hAnsi="宋体" w:eastAsia="宋体" w:cs="Times New Roman"/>
                <w:b w:val="0"/>
                <w:bCs w:val="0"/>
                <w:color w:val="auto"/>
                <w:kern w:val="0"/>
                <w:sz w:val="24"/>
                <w:szCs w:val="24"/>
                <w:lang w:val="en-US" w:eastAsia="zh-CN" w:bidi="ar-SA"/>
              </w:rPr>
              <w:t>⑦调试</w:t>
            </w:r>
            <w:bookmarkEnd w:id="74"/>
            <w:bookmarkEnd w:id="75"/>
          </w:p>
          <w:p w14:paraId="6DB635F4">
            <w:pPr>
              <w:pStyle w:val="102"/>
              <w:ind w:firstLine="602"/>
              <w:outlineLvl w:val="2"/>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电潜螺杆泵下泵作业完毕后，连接动力电后，进行电泵机组参数设置、调整，直至机组运行正常。</w:t>
            </w:r>
          </w:p>
          <w:p w14:paraId="397EE935">
            <w:pPr>
              <w:pStyle w:val="102"/>
              <w:ind w:firstLine="602"/>
              <w:outlineLvl w:val="2"/>
              <w:rPr>
                <w:rFonts w:hint="eastAsia" w:ascii="Times New Roman" w:hAnsi="宋体" w:eastAsia="宋体" w:cs="Times New Roman"/>
                <w:b w:val="0"/>
                <w:bCs w:val="0"/>
                <w:color w:val="auto"/>
                <w:kern w:val="0"/>
                <w:sz w:val="24"/>
                <w:szCs w:val="24"/>
                <w:lang w:val="en-US" w:eastAsia="zh-CN" w:bidi="ar-SA"/>
              </w:rPr>
            </w:pPr>
            <w:bookmarkStart w:id="76" w:name="_Toc4854"/>
            <w:bookmarkStart w:id="77" w:name="_Toc22152425"/>
            <w:r>
              <w:rPr>
                <w:rFonts w:hint="eastAsia" w:ascii="Times New Roman" w:hAnsi="宋体" w:eastAsia="宋体" w:cs="Times New Roman"/>
                <w:b w:val="0"/>
                <w:bCs w:val="0"/>
                <w:color w:val="auto"/>
                <w:kern w:val="0"/>
                <w:sz w:val="24"/>
                <w:szCs w:val="24"/>
                <w:lang w:val="en-US" w:eastAsia="zh-CN" w:bidi="ar-SA"/>
              </w:rPr>
              <w:t>⑧自动化排采设备安装</w:t>
            </w:r>
            <w:bookmarkEnd w:id="76"/>
            <w:bookmarkEnd w:id="77"/>
          </w:p>
          <w:p w14:paraId="142C54D9">
            <w:pPr>
              <w:pStyle w:val="102"/>
              <w:ind w:firstLine="602"/>
              <w:outlineLvl w:val="2"/>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完成井下设备、监测设备数据线等接入自动化排采控制设备。同时设置、调试控制设备软件及相应网络接口，确保设备运行状态数据、产水产气数据等远程显示、远程控制正常稳定运行。</w:t>
            </w:r>
          </w:p>
          <w:p w14:paraId="0DAD0559">
            <w:pPr>
              <w:pStyle w:val="102"/>
              <w:ind w:firstLine="602"/>
              <w:outlineLvl w:val="2"/>
              <w:rPr>
                <w:rFonts w:hint="eastAsia" w:ascii="Times New Roman" w:hAnsi="宋体" w:eastAsia="宋体" w:cs="Times New Roman"/>
                <w:b w:val="0"/>
                <w:bCs w:val="0"/>
                <w:color w:val="auto"/>
                <w:kern w:val="0"/>
                <w:sz w:val="24"/>
                <w:szCs w:val="24"/>
                <w:lang w:val="en-US" w:eastAsia="zh-CN" w:bidi="ar-SA"/>
              </w:rPr>
            </w:pPr>
            <w:bookmarkStart w:id="78" w:name="_Toc333431141"/>
            <w:bookmarkStart w:id="79" w:name="_Toc81504881"/>
            <w:bookmarkStart w:id="80" w:name="_Toc423524912"/>
            <w:bookmarkStart w:id="81" w:name="_Toc490570719"/>
            <w:bookmarkStart w:id="82" w:name="_Toc17636"/>
            <w:r>
              <w:rPr>
                <w:rFonts w:hint="eastAsia" w:ascii="Times New Roman" w:hAnsi="宋体" w:eastAsia="宋体" w:cs="Times New Roman"/>
                <w:b w:val="0"/>
                <w:bCs w:val="0"/>
                <w:color w:val="auto"/>
                <w:kern w:val="0"/>
                <w:sz w:val="24"/>
                <w:szCs w:val="24"/>
                <w:lang w:val="en-US" w:eastAsia="zh-CN" w:bidi="ar-SA"/>
              </w:rPr>
              <w:t>⑨地面流程</w:t>
            </w:r>
            <w:bookmarkEnd w:id="78"/>
            <w:bookmarkEnd w:id="79"/>
            <w:bookmarkEnd w:id="80"/>
            <w:bookmarkEnd w:id="81"/>
            <w:r>
              <w:rPr>
                <w:rFonts w:hint="eastAsia" w:ascii="Times New Roman" w:hAnsi="宋体" w:eastAsia="宋体" w:cs="Times New Roman"/>
                <w:b w:val="0"/>
                <w:bCs w:val="0"/>
                <w:color w:val="auto"/>
                <w:kern w:val="0"/>
                <w:sz w:val="24"/>
                <w:szCs w:val="24"/>
                <w:lang w:val="en-US" w:eastAsia="zh-CN" w:bidi="ar-SA"/>
              </w:rPr>
              <w:t>安装</w:t>
            </w:r>
            <w:bookmarkEnd w:id="82"/>
          </w:p>
          <w:p w14:paraId="5A041D20">
            <w:pPr>
              <w:pStyle w:val="102"/>
              <w:ind w:firstLine="602"/>
              <w:outlineLvl w:val="2"/>
              <w:rPr>
                <w:rFonts w:hint="eastAsia" w:ascii="Times New Roman" w:hAnsi="宋体" w:eastAsia="宋体" w:cs="Times New Roman"/>
                <w:b w:val="0"/>
                <w:bCs w:val="0"/>
                <w:color w:val="auto"/>
                <w:kern w:val="0"/>
                <w:sz w:val="24"/>
                <w:szCs w:val="24"/>
                <w:lang w:val="en-US" w:eastAsia="zh-CN" w:bidi="ar-SA"/>
              </w:rPr>
            </w:pPr>
            <w:r>
              <w:rPr>
                <w:rFonts w:hint="eastAsia" w:ascii="Times New Roman" w:hAnsi="宋体" w:eastAsia="宋体" w:cs="Times New Roman"/>
                <w:b w:val="0"/>
                <w:bCs w:val="0"/>
                <w:color w:val="auto"/>
                <w:kern w:val="0"/>
                <w:sz w:val="24"/>
                <w:szCs w:val="24"/>
                <w:lang w:val="en-US" w:eastAsia="zh-CN" w:bidi="ar-SA"/>
              </w:rPr>
              <w:t>按要求焊接气水地面流程，并安装针型阀、气体流量计、井口套压表等设备。安装、连接必须符合有关规范和标准，安装完毕，试验合格后方可投入排采使用。</w:t>
            </w:r>
          </w:p>
          <w:p w14:paraId="5D748B69">
            <w:pPr>
              <w:pStyle w:val="96"/>
              <w:rPr>
                <w:rFonts w:hint="eastAsia"/>
                <w:lang w:val="en-US" w:eastAsia="zh-CN"/>
              </w:rPr>
            </w:pPr>
            <w:r>
              <w:rPr>
                <w:rFonts w:hint="eastAsia" w:ascii="Times New Roman" w:hAnsi="宋体" w:eastAsia="宋体" w:cs="Times New Roman"/>
                <w:b w:val="0"/>
                <w:bCs w:val="0"/>
                <w:color w:val="auto"/>
                <w:kern w:val="0"/>
                <w:sz w:val="24"/>
                <w:szCs w:val="24"/>
                <w:lang w:val="en-US" w:eastAsia="zh-CN" w:bidi="ar-SA"/>
              </w:rPr>
              <w:t>⑩排采</w:t>
            </w:r>
          </w:p>
          <w:p w14:paraId="3B825686">
            <w:pPr>
              <w:spacing w:line="360" w:lineRule="auto"/>
              <w:ind w:firstLine="480" w:firstLineChars="200"/>
              <w:rPr>
                <w:rFonts w:hint="eastAsia"/>
                <w:color w:val="auto"/>
                <w:sz w:val="24"/>
              </w:rPr>
            </w:pPr>
            <w:r>
              <w:rPr>
                <w:rFonts w:hint="eastAsia"/>
                <w:color w:val="auto"/>
                <w:sz w:val="24"/>
              </w:rPr>
              <w:t>为了降低储层敏感性等因素对煤层气产出的影响，排采作业时应遵循“连续、稳定”降压的排采原则</w:t>
            </w:r>
            <w:r>
              <w:rPr>
                <w:rFonts w:hint="eastAsia"/>
                <w:color w:val="auto"/>
                <w:sz w:val="24"/>
                <w:lang w:eastAsia="zh-CN"/>
              </w:rPr>
              <w:t>，各阶段排采控制制度如下：</w:t>
            </w:r>
          </w:p>
          <w:p w14:paraId="141CADCD">
            <w:pPr>
              <w:spacing w:line="360" w:lineRule="auto"/>
              <w:ind w:firstLine="480" w:firstLineChars="200"/>
              <w:rPr>
                <w:rFonts w:hint="eastAsia"/>
                <w:color w:val="auto"/>
                <w:sz w:val="24"/>
              </w:rPr>
            </w:pPr>
            <w:r>
              <w:rPr>
                <w:rFonts w:hint="eastAsia"/>
                <w:color w:val="auto"/>
                <w:sz w:val="24"/>
              </w:rPr>
              <w:t>（1）排水降压阶段制度</w:t>
            </w:r>
          </w:p>
          <w:p w14:paraId="269A2403">
            <w:pPr>
              <w:spacing w:line="360" w:lineRule="auto"/>
              <w:ind w:firstLine="480" w:firstLineChars="200"/>
              <w:rPr>
                <w:rFonts w:hint="eastAsia"/>
                <w:color w:val="auto"/>
                <w:sz w:val="24"/>
              </w:rPr>
            </w:pPr>
            <w:r>
              <w:rPr>
                <w:rFonts w:hint="eastAsia"/>
                <w:color w:val="auto"/>
                <w:sz w:val="24"/>
              </w:rPr>
              <w:t>该阶段指煤层气井投产至解吸见气之间的生产过程（井底流压未降至煤层临界解吸压力），井底流压在降至该压力投产后7～15天为排水摸索阶段，该阶段根据实际井底流压降幅摸索出该井的单位涌水量。整个排水降压阶段暂定为3～7个月，以摸索阶段得出的该井日排水量，按设计流压降幅排采至解吸。</w:t>
            </w:r>
          </w:p>
          <w:p w14:paraId="3D7D50E7">
            <w:pPr>
              <w:spacing w:line="360" w:lineRule="auto"/>
              <w:ind w:firstLine="480" w:firstLineChars="200"/>
              <w:rPr>
                <w:rFonts w:hint="eastAsia"/>
                <w:color w:val="auto"/>
                <w:sz w:val="24"/>
              </w:rPr>
            </w:pPr>
            <w:r>
              <w:rPr>
                <w:rFonts w:hint="eastAsia"/>
                <w:color w:val="auto"/>
                <w:sz w:val="24"/>
              </w:rPr>
              <w:t>（2）控压提产阶段制度</w:t>
            </w:r>
          </w:p>
          <w:p w14:paraId="34BA7526">
            <w:pPr>
              <w:spacing w:line="360" w:lineRule="auto"/>
              <w:ind w:firstLine="480" w:firstLineChars="200"/>
              <w:rPr>
                <w:rFonts w:hint="eastAsia"/>
                <w:color w:val="auto"/>
                <w:sz w:val="24"/>
              </w:rPr>
            </w:pPr>
            <w:r>
              <w:rPr>
                <w:rFonts w:hint="eastAsia"/>
                <w:color w:val="auto"/>
                <w:sz w:val="24"/>
              </w:rPr>
              <w:t>当井底流压降至煤层临界解吸压力时，该阶段采用控套压提产方式控制，主要以降低套压的方式控制井底流压。解吸前关闭生产阀门，原则上当套压上升0.6～1.6MPa时放气，首次放气幅度20～50m³/d；之后每间隔1～3天上调气量1次，每次气量增幅20～50m³/d，以流压、套压不出现较大波动为原则；当日产气量上升至500m³、1000m³、2000m³后稳定观察3～7天，分析该井不同气量时井底流压降幅情况；直至达到稳产条件后稳产。每次上调气量后，观察流压降幅，原则上日降压不超过0.03MPa，气水比不出现大幅波动。该阶段暂定为6～12个月，根据设计流压降幅和每100m³平均井底流压降幅计算放气周期，严格按流压设计降幅运行。</w:t>
            </w:r>
          </w:p>
          <w:p w14:paraId="525EFBFB">
            <w:pPr>
              <w:spacing w:line="360" w:lineRule="auto"/>
              <w:ind w:firstLine="480" w:firstLineChars="200"/>
              <w:rPr>
                <w:rFonts w:hint="eastAsia"/>
                <w:color w:val="auto"/>
                <w:sz w:val="24"/>
              </w:rPr>
            </w:pPr>
            <w:r>
              <w:rPr>
                <w:rFonts w:hint="eastAsia"/>
                <w:color w:val="auto"/>
                <w:sz w:val="24"/>
              </w:rPr>
              <w:t>（3）稳产阶段制度</w:t>
            </w:r>
          </w:p>
          <w:p w14:paraId="00E9CDAD">
            <w:pPr>
              <w:spacing w:line="360" w:lineRule="auto"/>
              <w:ind w:firstLine="480" w:firstLineChars="200"/>
              <w:rPr>
                <w:rFonts w:hint="eastAsia"/>
                <w:color w:val="auto"/>
                <w:sz w:val="24"/>
              </w:rPr>
            </w:pPr>
            <w:r>
              <w:rPr>
                <w:rFonts w:hint="eastAsia"/>
                <w:color w:val="auto"/>
                <w:sz w:val="24"/>
              </w:rPr>
              <w:t>当井底流压达到临界解吸压力的1/3或单位压降增气量变化率出现下降时或单井气量达到考核值时进行稳产。达到稳产阶段后，要保证套压大于采气管汇压力0.01～0.05MPa，工作制度调整必须要有排采论证依据，原则上要求每次制度调整后一个月内保持不变。</w:t>
            </w:r>
          </w:p>
          <w:p w14:paraId="272DE549">
            <w:pPr>
              <w:spacing w:line="360" w:lineRule="auto"/>
              <w:ind w:firstLine="480" w:firstLineChars="200"/>
              <w:rPr>
                <w:rFonts w:hint="eastAsia"/>
                <w:color w:val="auto"/>
                <w:sz w:val="24"/>
              </w:rPr>
            </w:pPr>
            <w:r>
              <w:rPr>
                <w:rFonts w:hint="eastAsia"/>
                <w:color w:val="auto"/>
                <w:sz w:val="24"/>
              </w:rPr>
              <w:t>（4）衰竭阶段制度</w:t>
            </w:r>
          </w:p>
          <w:p w14:paraId="2FA7176B">
            <w:pPr>
              <w:spacing w:line="360" w:lineRule="auto"/>
              <w:ind w:firstLine="480" w:firstLineChars="200"/>
              <w:rPr>
                <w:rFonts w:hint="eastAsia"/>
                <w:color w:val="auto"/>
                <w:sz w:val="24"/>
              </w:rPr>
            </w:pPr>
            <w:r>
              <w:rPr>
                <w:rFonts w:hint="eastAsia"/>
                <w:color w:val="auto"/>
                <w:sz w:val="24"/>
              </w:rPr>
              <w:t>井底流压降至枯竭压力时，排采控制同稳产阶段。</w:t>
            </w:r>
          </w:p>
          <w:p w14:paraId="1F47231D">
            <w:pPr>
              <w:spacing w:line="360" w:lineRule="auto"/>
              <w:ind w:firstLine="480" w:firstLineChars="200"/>
              <w:rPr>
                <w:rFonts w:hint="eastAsia"/>
                <w:color w:val="auto"/>
                <w:sz w:val="24"/>
                <w:lang w:val="en-US" w:eastAsia="zh-CN"/>
              </w:rPr>
            </w:pPr>
            <w:r>
              <w:rPr>
                <w:rFonts w:hint="eastAsia"/>
                <w:color w:val="auto"/>
                <w:sz w:val="24"/>
                <w:lang w:val="en-US" w:eastAsia="zh-CN"/>
              </w:rPr>
              <w:t>因各井排气时间及压力不尽相同，为利于煤层气输送，本工程设计在各井口设置调压阀，保证各井口出气压力稳定；设计为每口瓦斯治理井安设除水及调压设备，以减少进入输气管路的煤层气水分；设计在每口井支管及井场总管上安装流量计，实时检测各井煤层气排采量；设计在输气管路沿途低点处设置凝水缸，排出煤层气输送过程中析出的凝结水，防止管路出现水堵现象。设计为每口井安装1台挡板加旋风式气液分离器，气液分离器额定流量</w:t>
            </w:r>
            <w:r>
              <w:rPr>
                <w:rFonts w:hint="default"/>
                <w:color w:val="auto"/>
                <w:sz w:val="24"/>
                <w:lang w:val="en-US" w:eastAsia="zh-CN"/>
              </w:rPr>
              <w:t>42</w:t>
            </w:r>
            <w:r>
              <w:rPr>
                <w:rFonts w:hint="eastAsia"/>
                <w:color w:val="auto"/>
                <w:sz w:val="24"/>
                <w:lang w:val="en-US" w:eastAsia="zh-CN"/>
              </w:rPr>
              <w:t>0m³/h，压力</w:t>
            </w:r>
            <w:r>
              <w:rPr>
                <w:rFonts w:hint="default"/>
                <w:color w:val="auto"/>
                <w:sz w:val="24"/>
                <w:lang w:val="en-US" w:eastAsia="zh-CN"/>
              </w:rPr>
              <w:t>1</w:t>
            </w:r>
            <w:r>
              <w:rPr>
                <w:rFonts w:hint="eastAsia"/>
                <w:color w:val="auto"/>
                <w:sz w:val="24"/>
                <w:lang w:val="en-US" w:eastAsia="zh-CN"/>
              </w:rPr>
              <w:t>.</w:t>
            </w:r>
            <w:r>
              <w:rPr>
                <w:rFonts w:hint="default"/>
                <w:color w:val="auto"/>
                <w:sz w:val="24"/>
                <w:lang w:val="en-US" w:eastAsia="zh-CN"/>
              </w:rPr>
              <w:t>6</w:t>
            </w:r>
            <w:r>
              <w:rPr>
                <w:rFonts w:hint="eastAsia"/>
                <w:color w:val="auto"/>
                <w:sz w:val="24"/>
                <w:lang w:val="en-US" w:eastAsia="zh-CN"/>
              </w:rPr>
              <w:t>MPa。气液分离器带安装支架，安装在井场内水平管线上，同时含有过滤功能，以过滤气体中含有的微小煤粉、矸石颗粒；进气口、出气口均设截断阀，同时设旁路管路；排水口垂直向下，自动排水，确保被分离的液体及时排出。</w:t>
            </w:r>
          </w:p>
          <w:p w14:paraId="1AA2A995">
            <w:pPr>
              <w:spacing w:line="360" w:lineRule="auto"/>
              <w:ind w:firstLine="480" w:firstLineChars="200"/>
              <w:rPr>
                <w:rFonts w:hint="default"/>
                <w:color w:val="auto"/>
                <w:sz w:val="24"/>
                <w:lang w:val="en-US" w:eastAsia="zh-CN"/>
              </w:rPr>
            </w:pPr>
            <w:r>
              <w:rPr>
                <w:rFonts w:hint="eastAsia"/>
                <w:color w:val="auto"/>
                <w:sz w:val="24"/>
                <w:lang w:val="en-US" w:eastAsia="zh-CN"/>
              </w:rPr>
              <w:t>本工程煤层气虽在井场脱除游离水，但在输送过程中由于环境温度的变化，仍有游离水析出，故在输送管线沿途低点处设凝水缸，排出煤层气输送过程中析出的凝结水，防止管路出现水堵现象。</w:t>
            </w:r>
          </w:p>
          <w:p w14:paraId="73ACEFE7">
            <w:pPr>
              <w:spacing w:line="360" w:lineRule="auto"/>
              <w:ind w:firstLine="480" w:firstLineChars="200"/>
              <w:rPr>
                <w:rFonts w:hint="eastAsia"/>
                <w:color w:val="auto"/>
                <w:sz w:val="24"/>
                <w:lang w:eastAsia="zh-CN"/>
              </w:rPr>
            </w:pPr>
            <w:r>
              <w:rPr>
                <w:rFonts w:hint="eastAsia"/>
                <w:color w:val="auto"/>
                <w:sz w:val="24"/>
                <w:lang w:eastAsia="zh-CN"/>
              </w:rPr>
              <w:t>排采施工过程产污环节分析：</w:t>
            </w:r>
            <w:r>
              <w:rPr>
                <w:rFonts w:hint="eastAsia"/>
                <w:color w:val="auto"/>
                <w:sz w:val="24"/>
              </w:rPr>
              <w:t>排采</w:t>
            </w:r>
            <w:r>
              <w:rPr>
                <w:rFonts w:hint="eastAsia"/>
                <w:color w:val="auto"/>
                <w:sz w:val="24"/>
                <w:lang w:eastAsia="zh-CN"/>
              </w:rPr>
              <w:t>施工时冲砂用水循环利用，不外排，施工过程中无废水产生。正式排采过程中</w:t>
            </w:r>
            <w:r>
              <w:rPr>
                <w:rFonts w:hint="eastAsia"/>
                <w:color w:val="auto"/>
                <w:sz w:val="24"/>
                <w:lang w:val="en-US" w:eastAsia="zh-CN"/>
              </w:rPr>
              <w:t>气液分离器和凝水缸</w:t>
            </w:r>
            <w:r>
              <w:rPr>
                <w:rFonts w:hint="eastAsia"/>
                <w:color w:val="auto"/>
                <w:sz w:val="24"/>
                <w:lang w:eastAsia="zh-CN"/>
              </w:rPr>
              <w:t>会产生采气废水，</w:t>
            </w:r>
            <w:r>
              <w:rPr>
                <w:rFonts w:hint="eastAsia"/>
                <w:color w:val="auto"/>
                <w:sz w:val="24"/>
                <w:lang w:val="en-US" w:eastAsia="zh-CN"/>
              </w:rPr>
              <w:t>气液分离器废水主要污染物为COD、SS，</w:t>
            </w:r>
            <w:r>
              <w:rPr>
                <w:rFonts w:hint="eastAsia"/>
                <w:color w:val="auto"/>
                <w:sz w:val="24"/>
                <w:highlight w:val="none"/>
                <w:lang w:val="en-US" w:eastAsia="zh-CN"/>
              </w:rPr>
              <w:t>根据建设单位施工经验，气液分离器废水产生量约</w:t>
            </w:r>
            <w:r>
              <w:rPr>
                <w:rFonts w:hint="default" w:ascii="Times New Roman" w:hAnsi="Times New Roman" w:cs="Times New Roman"/>
                <w:color w:val="auto"/>
                <w:sz w:val="24"/>
                <w:highlight w:val="none"/>
                <w:lang w:val="en-US" w:eastAsia="zh-CN"/>
              </w:rPr>
              <w:t>0.3m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default" w:ascii="Times New Roman" w:hAnsi="Times New Roman" w:cs="Times New Roman"/>
                <w:color w:val="auto"/>
                <w:sz w:val="24"/>
                <w:lang w:val="en-US" w:eastAsia="zh-CN"/>
              </w:rPr>
              <w:t>收集后经潘一选煤厂现有污水处理站处理后回用于生产。凝水缸排水为凝结水，水质无污染，每月排</w:t>
            </w:r>
            <w:r>
              <w:rPr>
                <w:rFonts w:hint="default" w:ascii="Times New Roman" w:hAnsi="Times New Roman" w:cs="Times New Roman"/>
                <w:color w:val="auto"/>
                <w:sz w:val="24"/>
                <w:highlight w:val="none"/>
                <w:lang w:val="en-US" w:eastAsia="zh-CN"/>
              </w:rPr>
              <w:t>放一次，根据建设单位施工经验，每次排放量约0.05m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vertAlign w:val="baseline"/>
                <w:lang w:val="en-US" w:eastAsia="zh-CN"/>
              </w:rPr>
              <w:t>，</w:t>
            </w:r>
            <w:r>
              <w:rPr>
                <w:rFonts w:hint="eastAsia"/>
                <w:color w:val="auto"/>
                <w:sz w:val="24"/>
                <w:highlight w:val="none"/>
                <w:lang w:val="en-US" w:eastAsia="zh-CN"/>
              </w:rPr>
              <w:t>排</w:t>
            </w:r>
            <w:r>
              <w:rPr>
                <w:rFonts w:hint="eastAsia"/>
                <w:color w:val="auto"/>
                <w:sz w:val="24"/>
                <w:lang w:val="en-US" w:eastAsia="zh-CN"/>
              </w:rPr>
              <w:t>出的水用于周边洒水抑尘</w:t>
            </w:r>
            <w:r>
              <w:rPr>
                <w:rFonts w:hint="eastAsia"/>
                <w:color w:val="auto"/>
                <w:sz w:val="24"/>
                <w:lang w:eastAsia="zh-CN"/>
              </w:rPr>
              <w:t>。</w:t>
            </w:r>
          </w:p>
          <w:p w14:paraId="1D041387">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管线工程</w:t>
            </w:r>
          </w:p>
          <w:p w14:paraId="45DEFEB5">
            <w:pPr>
              <w:pStyle w:val="96"/>
              <w:tabs>
                <w:tab w:val="left" w:pos="0"/>
              </w:tabs>
              <w:ind w:left="-4" w:firstLine="600"/>
              <w:rPr>
                <w:rFonts w:hint="eastAsia" w:asciiTheme="minorHAnsi" w:hAnsiTheme="minorHAnsi" w:eastAsiaTheme="minorEastAsia" w:cstheme="minorBidi"/>
                <w:color w:val="auto"/>
                <w:kern w:val="2"/>
                <w:sz w:val="24"/>
                <w:szCs w:val="22"/>
                <w:lang w:val="en-US" w:eastAsia="zh-CN" w:bidi="ar-SA"/>
              </w:rPr>
            </w:pPr>
            <w:r>
              <w:rPr>
                <w:rFonts w:hint="eastAsia" w:asciiTheme="minorHAnsi" w:hAnsiTheme="minorHAnsi" w:eastAsiaTheme="minorEastAsia" w:cstheme="minorBidi"/>
                <w:color w:val="auto"/>
                <w:kern w:val="2"/>
                <w:sz w:val="24"/>
                <w:szCs w:val="22"/>
                <w:lang w:val="en-US" w:eastAsia="zh-CN" w:bidi="ar-SA"/>
              </w:rPr>
              <w:t>井场内输气管路采用D133×5无缝钢管，架空敷设，管路连接以焊接为主。在每口井调压设备后方及干管上均安设流量150～1500m³/h的流量计1个，流量计工作压力≤0.6MPa，防护等级IP65。井场内每口井设备及阀门组安装见下图。</w:t>
            </w:r>
          </w:p>
          <w:p w14:paraId="4F7CB888">
            <w:pPr>
              <w:spacing w:line="360" w:lineRule="auto"/>
              <w:rPr>
                <w:rFonts w:hint="eastAsia"/>
                <w:color w:val="auto"/>
                <w:sz w:val="24"/>
                <w:lang w:val="en-US" w:eastAsia="zh-CN"/>
              </w:rPr>
            </w:pPr>
            <w:r>
              <w:rPr>
                <w:color w:val="auto"/>
                <w:highlight w:val="none"/>
              </w:rPr>
              <w:drawing>
                <wp:inline distT="0" distB="0" distL="114300" distR="114300">
                  <wp:extent cx="4984750" cy="2237105"/>
                  <wp:effectExtent l="0" t="0" r="6350" b="1079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0"/>
                          <a:srcRect t="1620"/>
                          <a:stretch>
                            <a:fillRect/>
                          </a:stretch>
                        </pic:blipFill>
                        <pic:spPr>
                          <a:xfrm>
                            <a:off x="0" y="0"/>
                            <a:ext cx="4984750" cy="2237105"/>
                          </a:xfrm>
                          <a:prstGeom prst="rect">
                            <a:avLst/>
                          </a:prstGeom>
                          <a:noFill/>
                          <a:ln>
                            <a:noFill/>
                          </a:ln>
                        </pic:spPr>
                      </pic:pic>
                    </a:graphicData>
                  </a:graphic>
                </wp:inline>
              </w:drawing>
            </w:r>
          </w:p>
          <w:p w14:paraId="29AB851A">
            <w:pPr>
              <w:numPr>
                <w:ilvl w:val="0"/>
                <w:numId w:val="3"/>
              </w:numPr>
              <w:spacing w:line="360" w:lineRule="auto"/>
              <w:ind w:left="0" w:leftChars="0" w:firstLine="560" w:firstLineChars="0"/>
              <w:jc w:val="center"/>
              <w:rPr>
                <w:rFonts w:hint="eastAsia" w:eastAsiaTheme="minorEastAsia"/>
                <w:color w:val="auto"/>
                <w:sz w:val="24"/>
                <w:lang w:val="en-US" w:eastAsia="zh-CN"/>
              </w:rPr>
            </w:pPr>
            <w:r>
              <w:rPr>
                <w:rFonts w:hint="eastAsia"/>
                <w:color w:val="auto"/>
                <w:sz w:val="24"/>
                <w:lang w:val="en-US" w:eastAsia="zh-CN"/>
              </w:rPr>
              <w:t xml:space="preserve">  井场内管线布置图</w:t>
            </w:r>
          </w:p>
          <w:p w14:paraId="02FE68F3">
            <w:pPr>
              <w:spacing w:line="360" w:lineRule="auto"/>
              <w:ind w:firstLine="480" w:firstLineChars="200"/>
              <w:rPr>
                <w:rFonts w:hint="eastAsia"/>
                <w:color w:val="auto"/>
                <w:sz w:val="24"/>
                <w:lang w:val="en-US" w:eastAsia="zh-CN"/>
              </w:rPr>
            </w:pPr>
            <w:r>
              <w:rPr>
                <w:rFonts w:hint="eastAsia"/>
                <w:color w:val="auto"/>
                <w:sz w:val="24"/>
                <w:lang w:val="en-US" w:eastAsia="zh-CN"/>
              </w:rPr>
              <w:t>根据项目设计资料，</w:t>
            </w:r>
            <w:r>
              <w:rPr>
                <w:rFonts w:hint="eastAsia" w:asciiTheme="minorHAnsi" w:hAnsiTheme="minorHAnsi" w:eastAsiaTheme="minorEastAsia" w:cstheme="minorBidi"/>
                <w:color w:val="auto"/>
                <w:kern w:val="2"/>
                <w:sz w:val="24"/>
                <w:szCs w:val="22"/>
                <w:lang w:val="en-US" w:eastAsia="zh-CN" w:bidi="ar-SA"/>
              </w:rPr>
              <w:t>井场</w:t>
            </w:r>
            <w:r>
              <w:rPr>
                <w:rFonts w:hint="eastAsia" w:cstheme="minorBidi"/>
                <w:color w:val="auto"/>
                <w:kern w:val="2"/>
                <w:sz w:val="24"/>
                <w:szCs w:val="22"/>
                <w:lang w:val="en-US" w:eastAsia="zh-CN" w:bidi="ar-SA"/>
              </w:rPr>
              <w:t>外</w:t>
            </w:r>
            <w:r>
              <w:rPr>
                <w:rFonts w:hint="eastAsia"/>
                <w:color w:val="auto"/>
                <w:sz w:val="24"/>
                <w:lang w:val="en-US" w:eastAsia="zh-CN"/>
              </w:rPr>
              <w:t>输送管道设计压力为 0.4MPa，工作压力为0.25MPa，按中压 A 等级设计，采用dn160 PE100 SDR11管路，起点为井场，终点潘一煤矿东区瓦斯发电站，路线长约800m，管道埋深不小于0.8m，采用定向钻敷设。井场位置及管路路线见下图。</w:t>
            </w:r>
          </w:p>
          <w:p w14:paraId="01962C67">
            <w:pPr>
              <w:pStyle w:val="9"/>
              <w:rPr>
                <w:rFonts w:hint="eastAsia"/>
                <w:lang w:val="en-US" w:eastAsia="zh-CN"/>
              </w:rPr>
            </w:pPr>
            <w:r>
              <w:drawing>
                <wp:inline distT="0" distB="0" distL="114300" distR="114300">
                  <wp:extent cx="5059680" cy="3098165"/>
                  <wp:effectExtent l="0" t="0" r="762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5059680" cy="3098165"/>
                          </a:xfrm>
                          <a:prstGeom prst="rect">
                            <a:avLst/>
                          </a:prstGeom>
                          <a:noFill/>
                          <a:ln>
                            <a:noFill/>
                          </a:ln>
                        </pic:spPr>
                      </pic:pic>
                    </a:graphicData>
                  </a:graphic>
                </wp:inline>
              </w:drawing>
            </w:r>
          </w:p>
          <w:p w14:paraId="7FF7EA92">
            <w:pPr>
              <w:numPr>
                <w:ilvl w:val="0"/>
                <w:numId w:val="3"/>
              </w:numPr>
              <w:spacing w:line="360" w:lineRule="auto"/>
              <w:ind w:left="0" w:leftChars="0" w:firstLine="560" w:firstLineChars="0"/>
              <w:jc w:val="center"/>
              <w:rPr>
                <w:rFonts w:hint="eastAsia"/>
                <w:color w:val="auto"/>
                <w:sz w:val="24"/>
                <w:lang w:val="en-US" w:eastAsia="zh-CN"/>
              </w:rPr>
            </w:pPr>
            <w:r>
              <w:rPr>
                <w:rFonts w:hint="eastAsia"/>
                <w:color w:val="auto"/>
                <w:sz w:val="24"/>
                <w:lang w:val="en-US" w:eastAsia="zh-CN"/>
              </w:rPr>
              <w:t xml:space="preserve">  输气管线布置图</w:t>
            </w:r>
          </w:p>
          <w:p w14:paraId="1DEA34CE">
            <w:pPr>
              <w:spacing w:line="360" w:lineRule="auto"/>
              <w:ind w:firstLine="480" w:firstLineChars="200"/>
              <w:rPr>
                <w:rFonts w:hint="eastAsia"/>
                <w:color w:val="auto"/>
                <w:sz w:val="24"/>
                <w:lang w:val="en-US" w:eastAsia="zh-CN"/>
              </w:rPr>
            </w:pPr>
            <w:r>
              <w:rPr>
                <w:rFonts w:hint="eastAsia"/>
                <w:color w:val="auto"/>
                <w:sz w:val="24"/>
                <w:lang w:val="en-US" w:eastAsia="zh-CN"/>
              </w:rPr>
              <w:t>定向钻施工工艺简述</w:t>
            </w:r>
          </w:p>
          <w:p w14:paraId="4B5B73FB">
            <w:pPr>
              <w:spacing w:line="360" w:lineRule="auto"/>
              <w:ind w:firstLine="480" w:firstLineChars="200"/>
              <w:rPr>
                <w:rFonts w:hint="eastAsia"/>
                <w:color w:val="auto"/>
                <w:sz w:val="24"/>
                <w:lang w:val="en-US" w:eastAsia="zh-CN"/>
              </w:rPr>
            </w:pPr>
            <w:r>
              <w:rPr>
                <w:rFonts w:hint="eastAsia"/>
                <w:color w:val="auto"/>
                <w:sz w:val="24"/>
                <w:lang w:val="en-US" w:eastAsia="zh-CN"/>
              </w:rPr>
              <w:t>定向钻是目前较为常见的技术方法，是应用垂直钻井中所采用的定向钻技术发展起来的，主要包括钻机、动力源、泥浆系统、钻具、控向测量仪器及重型吊车、推土机等辅助设备。</w:t>
            </w:r>
          </w:p>
          <w:p w14:paraId="5C6DD8CB">
            <w:pPr>
              <w:spacing w:line="360" w:lineRule="auto"/>
              <w:ind w:firstLine="480" w:firstLineChars="200"/>
              <w:rPr>
                <w:rFonts w:hint="eastAsia"/>
                <w:color w:val="auto"/>
                <w:sz w:val="24"/>
                <w:lang w:val="en-US" w:eastAsia="zh-CN"/>
              </w:rPr>
            </w:pPr>
            <w:r>
              <w:rPr>
                <w:rFonts w:hint="eastAsia"/>
                <w:color w:val="auto"/>
                <w:sz w:val="24"/>
                <w:lang w:val="en-US" w:eastAsia="zh-CN"/>
              </w:rPr>
              <w:t>使用水平定向钻机进行管线施工，一般分为二个阶段：第一阶段是按照设计曲线尽可能准确的钻一个导向孔；第二阶段是将导向孔进行扩孔，并将管线沿着扩大了的导向孔回拖到导向孔中，完成管线穿越工作。定向钻施工工艺流程见下图。</w:t>
            </w:r>
          </w:p>
          <w:p w14:paraId="4AE11CA5">
            <w:pPr>
              <w:pStyle w:val="2"/>
              <w:jc w:val="center"/>
              <w:rPr>
                <w:color w:val="auto"/>
              </w:rPr>
            </w:pPr>
            <w:r>
              <w:rPr>
                <w:rFonts w:hint="eastAsia"/>
                <w:lang w:val="en-US" w:eastAsia="zh-CN"/>
              </w:rPr>
              <w:object>
                <v:shape id="_x0000_i1027" o:spt="75" type="#_x0000_t75" style="height:267pt;width:363pt;" o:ole="t" filled="f" o:preferrelative="t" stroked="f" coordsize="21600,21600">
                  <v:path/>
                  <v:fill on="f" focussize="0,0"/>
                  <v:stroke on="f"/>
                  <v:imagedata r:id="rId23" o:title=""/>
                  <o:lock v:ext="edit" aspectratio="f"/>
                  <w10:wrap type="none"/>
                  <w10:anchorlock/>
                </v:shape>
                <o:OLEObject Type="Embed" ProgID="Visio.Drawing.11" ShapeID="_x0000_i1027" DrawAspect="Content" ObjectID="_1468075727" r:id="rId22">
                  <o:LockedField>false</o:LockedField>
                </o:OLEObject>
              </w:object>
            </w:r>
          </w:p>
          <w:p w14:paraId="5976361F">
            <w:pPr>
              <w:numPr>
                <w:ilvl w:val="0"/>
                <w:numId w:val="3"/>
              </w:numPr>
              <w:spacing w:line="360" w:lineRule="auto"/>
              <w:ind w:left="0" w:leftChars="0" w:firstLine="560" w:firstLineChars="0"/>
              <w:jc w:val="center"/>
              <w:rPr>
                <w:rFonts w:hint="eastAsia"/>
                <w:color w:val="auto"/>
                <w:sz w:val="24"/>
                <w:lang w:val="en-US" w:eastAsia="zh-CN"/>
              </w:rPr>
            </w:pPr>
            <w:r>
              <w:rPr>
                <w:rFonts w:hint="eastAsia"/>
                <w:color w:val="auto"/>
                <w:sz w:val="24"/>
                <w:lang w:val="en-US" w:eastAsia="zh-CN"/>
              </w:rPr>
              <w:t xml:space="preserve">  定向钻施工工艺流程及产污示意图</w:t>
            </w:r>
          </w:p>
          <w:p w14:paraId="48402F29">
            <w:pPr>
              <w:spacing w:line="360" w:lineRule="auto"/>
              <w:ind w:firstLine="480" w:firstLineChars="200"/>
              <w:rPr>
                <w:rFonts w:hint="eastAsia"/>
                <w:color w:val="auto"/>
                <w:sz w:val="24"/>
                <w:lang w:val="en-US" w:eastAsia="zh-CN"/>
              </w:rPr>
            </w:pPr>
            <w:r>
              <w:rPr>
                <w:rFonts w:hint="eastAsia"/>
                <w:color w:val="auto"/>
                <w:sz w:val="24"/>
                <w:lang w:val="en-US" w:eastAsia="zh-CN"/>
              </w:rPr>
              <w:t>产污环节:管线施工过程中产生污染物主要为：施工扬尘、施工机械废气、管道连接废气、</w:t>
            </w:r>
            <w:r>
              <w:rPr>
                <w:rFonts w:hint="eastAsia"/>
                <w:color w:val="auto"/>
                <w:sz w:val="24"/>
                <w:highlight w:val="none"/>
                <w:lang w:val="en-US" w:eastAsia="zh-CN"/>
              </w:rPr>
              <w:t>试压废水、</w:t>
            </w:r>
            <w:r>
              <w:rPr>
                <w:rFonts w:hint="eastAsia"/>
                <w:color w:val="auto"/>
                <w:sz w:val="24"/>
                <w:lang w:val="en-US" w:eastAsia="zh-CN"/>
              </w:rPr>
              <w:t>施工废料、废弃泥浆、工程弃土和噪声。</w:t>
            </w:r>
          </w:p>
          <w:p w14:paraId="44440E4C">
            <w:pPr>
              <w:spacing w:line="360" w:lineRule="auto"/>
              <w:ind w:firstLine="480" w:firstLineChars="200"/>
              <w:rPr>
                <w:rFonts w:ascii="Times New Roman" w:hAnsi="宋体" w:eastAsia="宋体" w:cs="Times New Roman"/>
                <w:color w:val="auto"/>
                <w:sz w:val="24"/>
                <w:szCs w:val="24"/>
              </w:rPr>
            </w:pPr>
            <w:r>
              <w:rPr>
                <w:rFonts w:hint="eastAsia"/>
                <w:color w:val="auto"/>
                <w:sz w:val="24"/>
                <w:lang w:val="en-US" w:eastAsia="zh-CN"/>
              </w:rPr>
              <w:t>4</w:t>
            </w:r>
            <w:r>
              <w:rPr>
                <w:rFonts w:hint="eastAsia"/>
                <w:color w:val="auto"/>
                <w:sz w:val="24"/>
              </w:rPr>
              <w:t>、封井工程</w:t>
            </w:r>
          </w:p>
          <w:p w14:paraId="61434618">
            <w:pPr>
              <w:spacing w:line="360" w:lineRule="auto"/>
              <w:ind w:firstLine="480" w:firstLineChars="200"/>
              <w:rPr>
                <w:rFonts w:hint="eastAsia"/>
                <w:color w:val="auto"/>
                <w:sz w:val="24"/>
                <w:highlight w:val="none"/>
              </w:rPr>
            </w:pPr>
            <w:r>
              <w:rPr>
                <w:rFonts w:hint="eastAsia"/>
                <w:color w:val="auto"/>
                <w:sz w:val="24"/>
                <w:highlight w:val="none"/>
                <w:lang w:eastAsia="zh-CN"/>
              </w:rPr>
              <w:t>本项目排采施工完成后</w:t>
            </w:r>
            <w:r>
              <w:rPr>
                <w:rFonts w:hint="eastAsia"/>
                <w:color w:val="auto"/>
                <w:sz w:val="24"/>
                <w:highlight w:val="none"/>
              </w:rPr>
              <w:t>拆除</w:t>
            </w:r>
            <w:r>
              <w:rPr>
                <w:rFonts w:hint="eastAsia"/>
                <w:color w:val="auto"/>
                <w:sz w:val="24"/>
                <w:highlight w:val="none"/>
                <w:lang w:eastAsia="zh-CN"/>
              </w:rPr>
              <w:t>所有设备</w:t>
            </w:r>
            <w:r>
              <w:rPr>
                <w:rFonts w:hint="eastAsia"/>
                <w:color w:val="auto"/>
                <w:sz w:val="24"/>
                <w:highlight w:val="none"/>
              </w:rPr>
              <w:t>并清理现场</w:t>
            </w:r>
            <w:r>
              <w:rPr>
                <w:rFonts w:hint="eastAsia"/>
                <w:color w:val="auto"/>
                <w:sz w:val="24"/>
                <w:highlight w:val="none"/>
                <w:lang w:eastAsia="zh-CN"/>
              </w:rPr>
              <w:t>，</w:t>
            </w:r>
            <w:r>
              <w:rPr>
                <w:rFonts w:hint="eastAsia"/>
                <w:color w:val="auto"/>
                <w:sz w:val="24"/>
                <w:highlight w:val="none"/>
              </w:rPr>
              <w:t>采用水泥</w:t>
            </w:r>
            <w:r>
              <w:rPr>
                <w:rFonts w:hint="eastAsia"/>
                <w:color w:val="auto"/>
                <w:sz w:val="24"/>
                <w:highlight w:val="none"/>
                <w:lang w:eastAsia="zh-CN"/>
              </w:rPr>
              <w:t>对钻孔进行</w:t>
            </w:r>
            <w:r>
              <w:rPr>
                <w:rFonts w:hint="eastAsia"/>
                <w:color w:val="auto"/>
                <w:sz w:val="24"/>
                <w:highlight w:val="none"/>
              </w:rPr>
              <w:t>全孔封闭，并在井口埋设永久性水泥暗标，作详细记录封孔情况。施工结束后恢复</w:t>
            </w:r>
            <w:r>
              <w:rPr>
                <w:rFonts w:hint="eastAsia"/>
                <w:color w:val="auto"/>
                <w:sz w:val="24"/>
                <w:highlight w:val="none"/>
                <w:lang w:eastAsia="zh-CN"/>
              </w:rPr>
              <w:t>场区原状</w:t>
            </w:r>
            <w:r>
              <w:rPr>
                <w:rFonts w:hint="eastAsia"/>
                <w:color w:val="auto"/>
                <w:sz w:val="24"/>
                <w:highlight w:val="none"/>
              </w:rPr>
              <w:t>。</w:t>
            </w:r>
          </w:p>
          <w:p w14:paraId="7A386C36">
            <w:pPr>
              <w:spacing w:line="360" w:lineRule="auto"/>
              <w:ind w:firstLine="480" w:firstLineChars="200"/>
              <w:rPr>
                <w:rFonts w:hint="eastAsia"/>
                <w:color w:val="auto"/>
                <w:sz w:val="24"/>
                <w:lang w:val="en-US" w:eastAsia="zh-CN"/>
              </w:rPr>
            </w:pPr>
            <w:r>
              <w:rPr>
                <w:rFonts w:hint="eastAsia"/>
                <w:color w:val="auto"/>
                <w:sz w:val="24"/>
                <w:lang w:val="en-US" w:eastAsia="zh-CN"/>
              </w:rPr>
              <w:t>产污环节:封井施工过程中产生污染物主要为：施工扬尘、建筑垃圾。</w:t>
            </w:r>
          </w:p>
          <w:p w14:paraId="25EF928B">
            <w:pPr>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5、施工时序及建设周期</w:t>
            </w:r>
          </w:p>
          <w:p w14:paraId="01975C67">
            <w:pPr>
              <w:pStyle w:val="96"/>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本项目依次施工PY-2132-1和PY-2132-2钻井，每口钻井施工工期约40天，整个钻井施工工期约80天。各钻井完井后整体压裂，压裂工期约15天.输气管线施工工期约20天，排采工期约24个月。</w:t>
            </w:r>
          </w:p>
          <w:p w14:paraId="69C9B002">
            <w:pPr>
              <w:spacing w:line="360" w:lineRule="auto"/>
              <w:ind w:firstLine="480" w:firstLineChars="200"/>
              <w:rPr>
                <w:rFonts w:hint="default" w:ascii="Times New Roman" w:hAnsi="宋体" w:eastAsia="宋体" w:cs="Times New Roman"/>
                <w:color w:val="auto"/>
                <w:kern w:val="0"/>
                <w:sz w:val="24"/>
                <w:szCs w:val="24"/>
                <w:lang w:val="en-US"/>
              </w:rPr>
            </w:pPr>
            <w:r>
              <w:rPr>
                <w:rFonts w:hint="eastAsia" w:asciiTheme="minorHAnsi" w:hAnsiTheme="minorHAnsi" w:eastAsiaTheme="minorEastAsia" w:cstheme="minorBidi"/>
                <w:color w:val="auto"/>
                <w:kern w:val="2"/>
                <w:sz w:val="24"/>
                <w:szCs w:val="24"/>
                <w:lang w:val="en-US" w:eastAsia="zh-CN" w:bidi="ar-SA"/>
              </w:rPr>
              <w:t>项目预计2025年5月份开工建设，2025年12月具备排采条件，2口井排采结束进行封井。</w:t>
            </w:r>
            <w:r>
              <w:rPr>
                <w:rFonts w:hint="eastAsia" w:cstheme="minorBidi"/>
                <w:color w:val="auto"/>
                <w:kern w:val="2"/>
                <w:sz w:val="24"/>
                <w:szCs w:val="24"/>
                <w:lang w:val="en-US" w:eastAsia="zh-CN" w:bidi="ar-SA"/>
              </w:rPr>
              <w:t>项目总工期</w:t>
            </w:r>
            <w:r>
              <w:rPr>
                <w:rFonts w:hint="eastAsia"/>
                <w:color w:val="auto"/>
                <w:sz w:val="24"/>
                <w:highlight w:val="none"/>
                <w:lang w:val="en-US" w:eastAsia="zh-CN"/>
              </w:rPr>
              <w:t>约28个月。</w:t>
            </w:r>
          </w:p>
        </w:tc>
      </w:tr>
      <w:tr w14:paraId="651E8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262" w:type="pct"/>
            <w:vAlign w:val="center"/>
          </w:tcPr>
          <w:p w14:paraId="166E3052">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其他</w:t>
            </w:r>
          </w:p>
        </w:tc>
        <w:tc>
          <w:tcPr>
            <w:tcW w:w="4737" w:type="pct"/>
            <w:vAlign w:val="center"/>
          </w:tcPr>
          <w:p w14:paraId="57232793">
            <w:pPr>
              <w:spacing w:line="360" w:lineRule="auto"/>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无</w:t>
            </w:r>
          </w:p>
          <w:p w14:paraId="40291177">
            <w:pPr>
              <w:spacing w:line="360" w:lineRule="auto"/>
              <w:jc w:val="center"/>
              <w:rPr>
                <w:rFonts w:ascii="宋体" w:hAnsi="宋体" w:eastAsia="宋体" w:cs="宋体"/>
                <w:color w:val="auto"/>
                <w:kern w:val="0"/>
                <w:sz w:val="24"/>
                <w:szCs w:val="24"/>
              </w:rPr>
            </w:pPr>
          </w:p>
          <w:p w14:paraId="7B9085F9">
            <w:pPr>
              <w:spacing w:line="360" w:lineRule="auto"/>
              <w:rPr>
                <w:rFonts w:ascii="宋体" w:hAnsi="宋体" w:eastAsia="宋体" w:cs="宋体"/>
                <w:color w:val="auto"/>
                <w:kern w:val="0"/>
                <w:sz w:val="24"/>
                <w:szCs w:val="24"/>
              </w:rPr>
            </w:pPr>
          </w:p>
        </w:tc>
      </w:tr>
    </w:tbl>
    <w:p w14:paraId="0517D713">
      <w:pPr>
        <w:widowControl/>
        <w:spacing w:before="100" w:beforeAutospacing="1" w:after="100" w:afterAutospacing="1"/>
        <w:jc w:val="center"/>
        <w:outlineLvl w:val="0"/>
        <w:rPr>
          <w:rFonts w:ascii="黑体" w:hAnsi="黑体" w:eastAsia="黑体" w:cs="Times New Roman"/>
          <w:snapToGrid w:val="0"/>
          <w:color w:val="000000" w:themeColor="text1"/>
          <w:kern w:val="0"/>
          <w:sz w:val="30"/>
          <w:szCs w:val="30"/>
          <w14:textFill>
            <w14:solidFill>
              <w14:schemeClr w14:val="tx1"/>
            </w14:solidFill>
          </w14:textFill>
        </w:rPr>
      </w:pPr>
      <w:r>
        <w:rPr>
          <w:rFonts w:ascii="宋体" w:hAnsi="宋体" w:eastAsia="仿宋_GB2312" w:cs="Times New Roman"/>
          <w:b/>
          <w:bCs/>
          <w:color w:val="FF0000"/>
          <w:kern w:val="0"/>
          <w:sz w:val="24"/>
          <w:szCs w:val="20"/>
        </w:rPr>
        <w:br w:type="page"/>
      </w:r>
      <w:r>
        <w:rPr>
          <w:rFonts w:hint="eastAsia" w:ascii="黑体" w:hAnsi="黑体" w:eastAsia="黑体" w:cs="Times New Roman"/>
          <w:snapToGrid w:val="0"/>
          <w:color w:val="000000" w:themeColor="text1"/>
          <w:kern w:val="0"/>
          <w:sz w:val="30"/>
          <w:szCs w:val="30"/>
          <w14:textFill>
            <w14:solidFill>
              <w14:schemeClr w14:val="tx1"/>
            </w14:solidFill>
          </w14:textFill>
        </w:rPr>
        <w:t>三、生态环境现状、保护目标及评价标准</w:t>
      </w:r>
    </w:p>
    <w:tbl>
      <w:tblPr>
        <w:tblStyle w:val="25"/>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8079"/>
      </w:tblGrid>
      <w:tr w14:paraId="69FDC5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0" w:hRule="atLeast"/>
          <w:jc w:val="center"/>
        </w:trPr>
        <w:tc>
          <w:tcPr>
            <w:tcW w:w="292" w:type="pct"/>
            <w:vAlign w:val="center"/>
          </w:tcPr>
          <w:p w14:paraId="5CE395B9">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生态环境现状</w:t>
            </w:r>
          </w:p>
        </w:tc>
        <w:tc>
          <w:tcPr>
            <w:tcW w:w="4707" w:type="pct"/>
            <w:vAlign w:val="center"/>
          </w:tcPr>
          <w:p w14:paraId="46790603">
            <w:pPr>
              <w:tabs>
                <w:tab w:val="left" w:pos="0"/>
              </w:tabs>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1、生态环境</w:t>
            </w:r>
          </w:p>
          <w:p w14:paraId="75DCD9E9">
            <w:pPr>
              <w:tabs>
                <w:tab w:val="left" w:pos="0"/>
              </w:tabs>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color w:val="auto"/>
                <w:kern w:val="2"/>
                <w:sz w:val="24"/>
                <w:szCs w:val="24"/>
                <w:highlight w:val="none"/>
                <w:lang w:val="en-US" w:eastAsia="zh-CN" w:bidi="ar-SA"/>
              </w:rPr>
              <w:t>根据《安徽省主体功能区规划》，</w:t>
            </w:r>
            <w:r>
              <w:rPr>
                <w:rFonts w:hint="eastAsia" w:ascii="Times New Roman" w:hAnsi="Times New Roman" w:eastAsia="宋体" w:cs="Times New Roman"/>
                <w:bCs/>
                <w:color w:val="auto"/>
                <w:sz w:val="24"/>
                <w:szCs w:val="24"/>
              </w:rPr>
              <w:t>本项目所在的潘集区为省主体功能区规划中的省重点开发区域。</w:t>
            </w:r>
          </w:p>
          <w:p w14:paraId="6F510E7D">
            <w:pPr>
              <w:pStyle w:val="95"/>
              <w:numPr>
                <w:ilvl w:val="1"/>
                <w:numId w:val="2"/>
              </w:numPr>
              <w:spacing w:line="240" w:lineRule="auto"/>
              <w:ind w:left="3300" w:leftChars="0" w:hanging="2240" w:firstLineChars="0"/>
              <w:jc w:val="center"/>
              <w:rPr>
                <w:rFonts w:ascii="Times New Roman" w:hAnsi="黑体" w:eastAsia="黑体" w:cs="Times New Roman"/>
                <w:bCs/>
                <w:color w:val="auto"/>
                <w:sz w:val="24"/>
                <w:szCs w:val="24"/>
              </w:rPr>
            </w:pPr>
            <w:r>
              <w:rPr>
                <w:rFonts w:ascii="Times New Roman" w:hAnsi="Times New Roman" w:eastAsia="黑体" w:cs="Times New Roman"/>
                <w:bCs/>
                <w:color w:val="auto"/>
                <w:sz w:val="24"/>
                <w:szCs w:val="24"/>
              </w:rPr>
              <w:t xml:space="preserve"> </w:t>
            </w:r>
            <w:r>
              <w:rPr>
                <w:rFonts w:hint="eastAsia" w:ascii="宋体" w:hAnsi="宋体" w:eastAsia="宋体" w:cs="宋体"/>
                <w:bCs/>
                <w:color w:val="auto"/>
                <w:sz w:val="24"/>
                <w:szCs w:val="24"/>
              </w:rPr>
              <w:t>项目区域主体功能区类型</w:t>
            </w:r>
          </w:p>
          <w:tbl>
            <w:tblPr>
              <w:tblStyle w:val="26"/>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35"/>
              <w:gridCol w:w="2096"/>
              <w:gridCol w:w="2096"/>
              <w:gridCol w:w="1836"/>
            </w:tblGrid>
            <w:tr w14:paraId="18E6D0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500" w:type="pct"/>
                  <w:gridSpan w:val="2"/>
                  <w:noWrap w:val="0"/>
                  <w:vAlign w:val="center"/>
                </w:tcPr>
                <w:p w14:paraId="4E5DEA1E">
                  <w:pPr>
                    <w:tabs>
                      <w:tab w:val="left" w:pos="0"/>
                    </w:tabs>
                    <w:spacing w:line="276" w:lineRule="auto"/>
                    <w:jc w:val="center"/>
                    <w:rPr>
                      <w:rFonts w:ascii="Times New Roman" w:hAnsi="Times New Roman" w:eastAsia="宋体" w:cs="Times New Roman"/>
                      <w:b/>
                      <w:bCs/>
                      <w:color w:val="auto"/>
                      <w:szCs w:val="21"/>
                    </w:rPr>
                  </w:pPr>
                  <w:r>
                    <w:rPr>
                      <w:rFonts w:ascii="Times New Roman" w:hAnsi="宋体" w:eastAsia="宋体" w:cs="Times New Roman"/>
                      <w:b/>
                      <w:bCs/>
                      <w:color w:val="auto"/>
                      <w:szCs w:val="21"/>
                    </w:rPr>
                    <w:t>主体功能区类型</w:t>
                  </w:r>
                </w:p>
              </w:tc>
              <w:tc>
                <w:tcPr>
                  <w:tcW w:w="1333" w:type="pct"/>
                  <w:noWrap w:val="0"/>
                  <w:vAlign w:val="center"/>
                </w:tcPr>
                <w:p w14:paraId="1D488E5E">
                  <w:pPr>
                    <w:tabs>
                      <w:tab w:val="left" w:pos="0"/>
                    </w:tabs>
                    <w:spacing w:line="276" w:lineRule="auto"/>
                    <w:jc w:val="center"/>
                    <w:rPr>
                      <w:rFonts w:ascii="Times New Roman" w:hAnsi="Times New Roman" w:eastAsia="宋体" w:cs="Times New Roman"/>
                      <w:b/>
                      <w:bCs/>
                      <w:color w:val="auto"/>
                      <w:szCs w:val="21"/>
                    </w:rPr>
                  </w:pPr>
                  <w:r>
                    <w:rPr>
                      <w:rFonts w:ascii="Times New Roman" w:hAnsi="宋体" w:eastAsia="宋体" w:cs="Times New Roman"/>
                      <w:b/>
                      <w:bCs/>
                      <w:color w:val="auto"/>
                      <w:szCs w:val="21"/>
                    </w:rPr>
                    <w:t>片区</w:t>
                  </w:r>
                </w:p>
              </w:tc>
              <w:tc>
                <w:tcPr>
                  <w:tcW w:w="1167" w:type="pct"/>
                  <w:noWrap w:val="0"/>
                  <w:vAlign w:val="center"/>
                </w:tcPr>
                <w:p w14:paraId="45E059FA">
                  <w:pPr>
                    <w:tabs>
                      <w:tab w:val="left" w:pos="0"/>
                    </w:tabs>
                    <w:spacing w:line="276" w:lineRule="auto"/>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范围</w:t>
                  </w:r>
                </w:p>
              </w:tc>
            </w:tr>
            <w:tr w14:paraId="5518A0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4" w:hRule="atLeast"/>
              </w:trPr>
              <w:tc>
                <w:tcPr>
                  <w:tcW w:w="1167" w:type="pct"/>
                  <w:noWrap w:val="0"/>
                  <w:vAlign w:val="center"/>
                </w:tcPr>
                <w:p w14:paraId="777668EA">
                  <w:pPr>
                    <w:tabs>
                      <w:tab w:val="left" w:pos="0"/>
                    </w:tabs>
                    <w:spacing w:line="276" w:lineRule="auto"/>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重点开发区域</w:t>
                  </w:r>
                </w:p>
              </w:tc>
              <w:tc>
                <w:tcPr>
                  <w:tcW w:w="1333" w:type="pct"/>
                  <w:noWrap w:val="0"/>
                  <w:vAlign w:val="center"/>
                </w:tcPr>
                <w:p w14:paraId="6CEFEAF2">
                  <w:pPr>
                    <w:tabs>
                      <w:tab w:val="left" w:pos="0"/>
                    </w:tabs>
                    <w:spacing w:line="276" w:lineRule="auto"/>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省重点开发区域</w:t>
                  </w:r>
                </w:p>
              </w:tc>
              <w:tc>
                <w:tcPr>
                  <w:tcW w:w="1333" w:type="pct"/>
                  <w:noWrap w:val="0"/>
                  <w:vAlign w:val="center"/>
                </w:tcPr>
                <w:p w14:paraId="7E67B9C4">
                  <w:pPr>
                    <w:tabs>
                      <w:tab w:val="left" w:pos="0"/>
                    </w:tabs>
                    <w:spacing w:line="276" w:lineRule="auto"/>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淮（南）蚌片区</w:t>
                  </w:r>
                </w:p>
              </w:tc>
              <w:tc>
                <w:tcPr>
                  <w:tcW w:w="1167" w:type="pct"/>
                  <w:noWrap w:val="0"/>
                  <w:vAlign w:val="center"/>
                </w:tcPr>
                <w:p w14:paraId="0290DBD1">
                  <w:pPr>
                    <w:tabs>
                      <w:tab w:val="left" w:pos="0"/>
                    </w:tabs>
                    <w:spacing w:line="276" w:lineRule="auto"/>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淮南市潘集区</w:t>
                  </w:r>
                </w:p>
              </w:tc>
            </w:tr>
          </w:tbl>
          <w:p w14:paraId="71CB9DEA">
            <w:pPr>
              <w:rPr>
                <w:rFonts w:hint="eastAsia"/>
                <w:color w:val="auto"/>
                <w:lang w:val="en-US" w:eastAsia="zh-CN"/>
              </w:rPr>
            </w:pPr>
          </w:p>
          <w:p w14:paraId="658ED3A0">
            <w:pPr>
              <w:spacing w:line="360" w:lineRule="auto"/>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本项目所处的淮（南）蚌片区是皖北城镇群的重要节点城市，包括淮南市5个市辖区和蚌埠市4个市辖区。</w:t>
            </w:r>
          </w:p>
          <w:p w14:paraId="499FE28D">
            <w:pPr>
              <w:spacing w:line="360" w:lineRule="auto"/>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功能定位：全国重要的能源基地、先进制造业基地、煤化工及化工新材料基地和创新基地，全国重要的商品粮基地和农副产品加工基地，全省重要的生物医药基地。</w:t>
            </w:r>
          </w:p>
          <w:p w14:paraId="32D42D73">
            <w:pPr>
              <w:spacing w:line="360" w:lineRule="auto"/>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加快蚌埠区域性中心城市建设，形成以市区为中心、县城为骨干、中心镇为节点的城镇体系；加强交通等基础设施规划和建设，巩固提升区域性综合交通枢纽地位。加快淮南资源枯竭型城市转型，优化城市空间布局，强化城市基础设施支撑能力，建设成为沿淮经济带重要的现代化大城市。</w:t>
            </w:r>
          </w:p>
          <w:p w14:paraId="03F26E73">
            <w:pPr>
              <w:spacing w:line="360" w:lineRule="auto"/>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——加强重点产业基地建设，培育壮大机械制造、新能源汽车及汽车零部件、煤化工及化工新材料、硅基新材料基地、商贸物流及电子信息、新能源等产业。</w:t>
            </w:r>
          </w:p>
          <w:p w14:paraId="680476DA">
            <w:pPr>
              <w:spacing w:line="360" w:lineRule="auto"/>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——大力发展都市农业，兴建具有观光农业、休闲农业等功能的农业科技园（区）。推进采煤塌陷区综合治理及土地复垦。</w:t>
            </w:r>
          </w:p>
          <w:p w14:paraId="602113C4">
            <w:pPr>
              <w:spacing w:line="360" w:lineRule="auto"/>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2）、生态功能区划</w:t>
            </w:r>
          </w:p>
          <w:p w14:paraId="5D98ED31">
            <w:pPr>
              <w:spacing w:line="360" w:lineRule="auto"/>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根据原环保部、中国科学院制定的《全国生态功能区规划（修编版）》，项目所在区域位于产品提供功能区---II-01-15黄淮平原农产品提供功能区。</w:t>
            </w:r>
          </w:p>
          <w:p w14:paraId="2567CBC6">
            <w:pPr>
              <w:spacing w:line="360" w:lineRule="auto"/>
              <w:ind w:firstLine="480"/>
              <w:rPr>
                <w:rFonts w:hint="eastAsia" w:ascii="Times New Roman" w:hAnsi="Times New Roman" w:eastAsia="宋体" w:cs="Times New Roman"/>
                <w:b w:val="0"/>
                <w:color w:val="auto"/>
                <w:spacing w:val="0"/>
                <w:kern w:val="2"/>
                <w:sz w:val="24"/>
                <w:szCs w:val="24"/>
                <w:highlight w:val="none"/>
                <w:lang w:val="en-US" w:eastAsia="zh-CN" w:bidi="ar-SA"/>
              </w:rPr>
            </w:pPr>
            <w:r>
              <w:rPr>
                <w:rFonts w:hint="eastAsia" w:ascii="Times New Roman" w:hAnsi="Times New Roman" w:eastAsia="宋体" w:cs="Times New Roman"/>
                <w:b w:val="0"/>
                <w:color w:val="auto"/>
                <w:spacing w:val="0"/>
                <w:kern w:val="2"/>
                <w:sz w:val="24"/>
                <w:szCs w:val="24"/>
                <w:highlight w:val="none"/>
                <w:lang w:val="en-US" w:eastAsia="zh-CN" w:bidi="ar-SA"/>
              </w:rPr>
              <w:t>本区地貌以平原为主，丘岗嵌于其中，海拔最高处为241m。本生态功能区内潴育水稻土、黄潮土和黄褐土广泛分布，在丘岗区有石灰岩土分布，部分地区裸岩出露，石材开采盛行。耕作制度多为一年两熟为主，主要农作物有水稻、小麦等，经济作物有油菜、花生等。丘岗地区分布有地带性天然次生林，主要包括暖温带落叶阔叶林、暖温带针叶林和北亚热带针叶林等。该生态功能区的煤资源已进行了大规模开采，采空后塌陷区已成为区主要生态环境问题之一。由于农业生产所需要的水热土等条件相对较好，本区也是重要的农业生产区，但容易受洪涝等灾害干扰。</w:t>
            </w:r>
          </w:p>
          <w:p w14:paraId="2646E255">
            <w:pPr>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（3）土地利用现状</w:t>
            </w:r>
          </w:p>
          <w:p w14:paraId="6F3B349C">
            <w:pPr>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eastAsia="zh-CN"/>
              </w:rPr>
              <w:t>施工占地全部为临时占地，利用新集村现有集体用地，</w:t>
            </w:r>
            <w:r>
              <w:rPr>
                <w:rFonts w:hint="eastAsia" w:ascii="Times New Roman" w:hAnsi="Times New Roman" w:eastAsia="宋体" w:cs="Times New Roman"/>
                <w:color w:val="auto"/>
                <w:sz w:val="24"/>
                <w:szCs w:val="24"/>
                <w:lang w:val="en-US" w:eastAsia="zh-CN"/>
              </w:rPr>
              <w:t>用地性质为耕地，现状种植当季农作物</w:t>
            </w:r>
            <w:r>
              <w:rPr>
                <w:rFonts w:hint="eastAsia" w:ascii="Times New Roman" w:hAnsi="Times New Roman" w:eastAsia="宋体" w:cs="Times New Roman"/>
                <w:color w:val="auto"/>
                <w:sz w:val="24"/>
                <w:szCs w:val="24"/>
                <w:lang w:eastAsia="zh-CN"/>
              </w:rPr>
              <w:t>。</w:t>
            </w:r>
          </w:p>
          <w:p w14:paraId="2A61E9E9">
            <w:pPr>
              <w:spacing w:line="360" w:lineRule="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drawing>
                <wp:inline distT="0" distB="0" distL="114300" distR="114300">
                  <wp:extent cx="4956175" cy="3715385"/>
                  <wp:effectExtent l="0" t="0" r="15875" b="18415"/>
                  <wp:docPr id="7" name="图片 7" descr="6a14d671d7d4f85e605e4e2a5c89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a14d671d7d4f85e605e4e2a5c89d9a"/>
                          <pic:cNvPicPr>
                            <a:picLocks noChangeAspect="1"/>
                          </pic:cNvPicPr>
                        </pic:nvPicPr>
                        <pic:blipFill>
                          <a:blip r:embed="rId24"/>
                          <a:stretch>
                            <a:fillRect/>
                          </a:stretch>
                        </pic:blipFill>
                        <pic:spPr>
                          <a:xfrm>
                            <a:off x="0" y="0"/>
                            <a:ext cx="4956175" cy="3715385"/>
                          </a:xfrm>
                          <a:prstGeom prst="rect">
                            <a:avLst/>
                          </a:prstGeom>
                        </pic:spPr>
                      </pic:pic>
                    </a:graphicData>
                  </a:graphic>
                </wp:inline>
              </w:drawing>
            </w:r>
          </w:p>
          <w:p w14:paraId="23F4ED1E">
            <w:pPr>
              <w:numPr>
                <w:ilvl w:val="0"/>
                <w:numId w:val="3"/>
              </w:numPr>
              <w:spacing w:line="360" w:lineRule="auto"/>
              <w:ind w:left="0" w:leftChars="0" w:firstLine="560" w:firstLineChars="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施工现场现状图</w:t>
            </w:r>
          </w:p>
          <w:p w14:paraId="110FC961">
            <w:pPr>
              <w:numPr>
                <w:ilvl w:val="0"/>
                <w:numId w:val="0"/>
              </w:numPr>
              <w:spacing w:line="360" w:lineRule="auto"/>
              <w:ind w:left="420" w:leftChars="0"/>
              <w:rPr>
                <w:rFonts w:hint="eastAsia" w:ascii="Times New Roman" w:hAnsi="Times New Roman" w:eastAsia="宋体" w:cs="Times New Roman"/>
                <w:color w:val="auto"/>
                <w:kern w:val="2"/>
                <w:sz w:val="24"/>
                <w:szCs w:val="24"/>
                <w:highlight w:val="none"/>
                <w:lang w:val="sq-AL" w:eastAsia="zh-CN" w:bidi="ar-SA"/>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kern w:val="2"/>
                <w:sz w:val="24"/>
                <w:szCs w:val="24"/>
                <w:highlight w:val="none"/>
                <w:lang w:val="sq-AL" w:eastAsia="zh-CN" w:bidi="ar-SA"/>
              </w:rPr>
              <w:t>土壤与植被类型</w:t>
            </w:r>
          </w:p>
          <w:p w14:paraId="55716CCC">
            <w:pPr>
              <w:keepNext w:val="0"/>
              <w:keepLines w:val="0"/>
              <w:widowControl/>
              <w:suppressLineNumbers w:val="0"/>
              <w:spacing w:line="360" w:lineRule="auto"/>
              <w:ind w:firstLine="480" w:firstLineChars="200"/>
              <w:jc w:val="left"/>
              <w:rPr>
                <w:color w:val="auto"/>
              </w:rPr>
            </w:pPr>
            <w:r>
              <w:rPr>
                <w:rFonts w:hint="eastAsia" w:ascii="Times New Roman" w:hAnsi="Times New Roman" w:eastAsia="宋体" w:cs="Times New Roman"/>
                <w:color w:val="auto"/>
                <w:kern w:val="2"/>
                <w:sz w:val="24"/>
                <w:szCs w:val="24"/>
                <w:highlight w:val="none"/>
                <w:lang w:val="en-US" w:eastAsia="zh-CN" w:bidi="ar-SA"/>
              </w:rPr>
              <w:t>项目区地处淮河中游，</w:t>
            </w:r>
            <w:r>
              <w:rPr>
                <w:rFonts w:hint="eastAsia" w:ascii="宋体" w:hAnsi="宋体" w:eastAsia="宋体" w:cs="宋体"/>
                <w:color w:val="auto"/>
                <w:kern w:val="0"/>
                <w:sz w:val="24"/>
                <w:szCs w:val="24"/>
                <w:lang w:val="en-US" w:eastAsia="zh-CN" w:bidi="ar"/>
              </w:rPr>
              <w:t>地势平坦，形态单一</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根据《安徽土壤》和本次实际调查可知，从成土因素和成土过程分析，</w:t>
            </w:r>
            <w:r>
              <w:rPr>
                <w:rFonts w:hint="eastAsia" w:ascii="宋体" w:hAnsi="宋体" w:cs="宋体"/>
                <w:color w:val="auto"/>
                <w:kern w:val="0"/>
                <w:sz w:val="24"/>
                <w:szCs w:val="24"/>
                <w:lang w:val="en-US" w:eastAsia="zh-CN" w:bidi="ar"/>
              </w:rPr>
              <w:t>项目</w:t>
            </w:r>
            <w:r>
              <w:rPr>
                <w:rFonts w:hint="eastAsia" w:ascii="宋体" w:hAnsi="宋体" w:eastAsia="宋体" w:cs="宋体"/>
                <w:color w:val="auto"/>
                <w:kern w:val="0"/>
                <w:sz w:val="24"/>
                <w:szCs w:val="24"/>
                <w:lang w:val="en-US" w:eastAsia="zh-CN" w:bidi="ar"/>
              </w:rPr>
              <w:t>区域土壤类型主要为砂礓淤土和砂礓黄土，其次为黄白土、潮马肝土、澄白土田。</w:t>
            </w:r>
          </w:p>
          <w:p w14:paraId="6486E5E5">
            <w:pPr>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项目区域位于我国东部暖温带半湿润季风气候区，具有典型的南北、海陆过渡性气候特征，自然条件表现为暖温带向亚热带过渡的特点，植被区划隶属于暖温带落叶阔叶林区，地带性植被类型为落叶阔叶林。由于受长期人类活动和耕作的影响，区域内自然生态系统不复存在，自然植被分布面积极少，仅在受人为因素干扰较小的荒地、河滩地等局部区域存在少量自然植被，生态系统结构较为简单，农田生态系统占绝对优势，基本上能维持动态平衡。 </w:t>
            </w:r>
          </w:p>
          <w:p w14:paraId="6DBC60F0">
            <w:pPr>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项目区域植被以人工植被为主，主要包括农作物植被和林业植被两种类型，其中农作物植被占绝对优势，遍布于整个评价区，林业植被数量较小，呈斑块状分布在村庄及周边或条带状与农田植被镶嵌分布。</w:t>
            </w:r>
          </w:p>
          <w:p w14:paraId="3582BBDD">
            <w:pPr>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农作物以水稻、小麦、大豆、薯类等为主，间有少量的油菜、麻类、花生、棉花等经济作物和林果等，形成水稻－小麦、小麦－大豆、小麦－薯类为主的一年两熟制， 局部有水稻－小麦－绿肥两年三熟的耕作制度。区内农业生产条件较好，但目前机械化生产水平较低，平均亩产量在 450kg 左右，仍有一定的增产潜力。 </w:t>
            </w:r>
          </w:p>
          <w:p w14:paraId="5934DCA0">
            <w:pPr>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项目区内的林业以人工营造的农田防护林及路旁、渠旁、水旁和村旁的“四旁”绿化为主，林网类型较为简单、缺乏完整性。农田林网主要树种为杨树，部分为杨树和楝树为主，灌区两岸的个别地段树种组成较为丰富，村镇及矿区绿化树种多样，沿河两岸和塌陷区的低湿滩地分布有芦苇、杂草等天然植物群落。区内的乔木、灌木和草本植物以华北植物区系为主，未见外来入侵植物。 </w:t>
            </w:r>
          </w:p>
          <w:p w14:paraId="0F0C6B1A">
            <w:pPr>
              <w:numPr>
                <w:ilvl w:val="0"/>
                <w:numId w:val="0"/>
              </w:numPr>
              <w:spacing w:line="360" w:lineRule="auto"/>
              <w:ind w:left="420" w:leftChars="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sq-AL" w:eastAsia="zh-CN" w:bidi="ar-SA"/>
              </w:rPr>
              <w:t>野生动物</w:t>
            </w:r>
          </w:p>
          <w:p w14:paraId="53106DC5">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kern w:val="2"/>
                <w:sz w:val="24"/>
                <w:szCs w:val="24"/>
                <w:highlight w:val="none"/>
                <w:lang w:val="en-US" w:eastAsia="zh-CN" w:bidi="ar-SA"/>
              </w:rPr>
              <w:t>在《中国动物地理划分》上，安徽省淮河以北的淮河流域属古北界华北区的黄淮平原亚区，其生态地理动物群属温带森林——森林平原、农田动物群。项目区域属淮南平原，植被主要为麦、豆、稻杂等农作物与人工营造的四旁树木的人工植被。在组成与结构比较简单的生态境域中，动物种类比较贫乏，潘集区域范围内有大面积塌陷，动物种类较少。</w:t>
            </w:r>
            <w:r>
              <w:rPr>
                <w:rFonts w:hint="default" w:ascii="Times New Roman" w:hAnsi="Times New Roman" w:eastAsia="宋体" w:cs="Times New Roman"/>
                <w:color w:val="auto"/>
                <w:kern w:val="2"/>
                <w:sz w:val="24"/>
                <w:szCs w:val="24"/>
                <w:highlight w:val="none"/>
                <w:lang w:val="en-US" w:eastAsia="zh-CN" w:bidi="ar-SA"/>
              </w:rPr>
              <w:t>根据现场调查，本项目区域未见国家及省级重点保护的野生濒危动物</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没有大型野生动物，仅有少量鸟类、鼠类以及各种昆虫等小型动物。</w:t>
            </w:r>
          </w:p>
          <w:p w14:paraId="0C5E7E22">
            <w:pPr>
              <w:spacing w:line="360" w:lineRule="auto"/>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（6）地形地貌</w:t>
            </w:r>
          </w:p>
          <w:p w14:paraId="44FD4790">
            <w:pPr>
              <w:tabs>
                <w:tab w:val="left" w:pos="0"/>
              </w:tabs>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潘集区地层属华北地层区，经长期地质作用，发育为寒武系、奥陶系、二迭系、三迭系等，以上地层均被第四系表土层所覆盖，厚度在1201~564米之间。由于表土层厚，且夹有多层流沙层，含水量大。</w:t>
            </w:r>
          </w:p>
          <w:p w14:paraId="2CD0E7EB">
            <w:pPr>
              <w:tabs>
                <w:tab w:val="left" w:pos="0"/>
              </w:tabs>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区境地处黄淮平原的南端，地貌为西北高，东南低，坡度缓，坡降为五千分之一，海拔在18—22米之间，最高点为贺疃乡的古路岗，海拔23.86米，最低点为高皇镇的汤渔湖，海拔为16.9米。区境由于河道变迁，历次黄、淮泥沙泛滥淤积，地形多为河谷淤积平原和不规则的土阜岗头。</w:t>
            </w:r>
          </w:p>
          <w:p w14:paraId="7A1E40C7">
            <w:pPr>
              <w:keepNext w:val="0"/>
              <w:keepLines w:val="0"/>
              <w:widowControl/>
              <w:suppressLineNumbers w:val="0"/>
              <w:spacing w:line="360" w:lineRule="auto"/>
              <w:ind w:firstLine="480" w:firstLineChars="200"/>
              <w:jc w:val="left"/>
              <w:rPr>
                <w:color w:val="auto"/>
              </w:rPr>
            </w:pPr>
            <w:r>
              <w:rPr>
                <w:rFonts w:hint="eastAsia" w:ascii="宋体" w:hAnsi="宋体" w:cs="宋体"/>
                <w:color w:val="auto"/>
                <w:kern w:val="0"/>
                <w:sz w:val="24"/>
                <w:szCs w:val="24"/>
                <w:lang w:val="en-US" w:eastAsia="zh-CN" w:bidi="ar"/>
              </w:rPr>
              <w:t>项目区</w:t>
            </w:r>
            <w:r>
              <w:rPr>
                <w:rFonts w:hint="eastAsia" w:ascii="宋体" w:hAnsi="宋体" w:eastAsia="宋体" w:cs="宋体"/>
                <w:color w:val="auto"/>
                <w:kern w:val="0"/>
                <w:sz w:val="24"/>
                <w:szCs w:val="24"/>
                <w:lang w:val="en-US" w:eastAsia="zh-CN" w:bidi="ar"/>
              </w:rPr>
              <w:t>位于淮南市中北部边缘，地处淮河冲积平原，地形平坦，地面标高一般为</w:t>
            </w:r>
            <w:r>
              <w:rPr>
                <w:rFonts w:hint="default" w:ascii="Times New Roman" w:hAnsi="Times New Roman" w:eastAsia="宋体" w:cs="Times New Roman"/>
                <w:color w:val="auto"/>
                <w:kern w:val="0"/>
                <w:sz w:val="24"/>
                <w:szCs w:val="24"/>
                <w:lang w:val="en-US" w:eastAsia="zh-CN" w:bidi="ar"/>
              </w:rPr>
              <w:t>+20.50</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+23.40m</w:t>
            </w:r>
            <w:r>
              <w:rPr>
                <w:rFonts w:hint="eastAsia" w:ascii="宋体" w:hAnsi="宋体" w:eastAsia="宋体" w:cs="宋体"/>
                <w:color w:val="auto"/>
                <w:kern w:val="0"/>
                <w:sz w:val="24"/>
                <w:szCs w:val="24"/>
                <w:lang w:val="en-US" w:eastAsia="zh-CN" w:bidi="ar"/>
              </w:rPr>
              <w:t>，总体呈西北高东南低的趋势。</w:t>
            </w:r>
          </w:p>
          <w:p w14:paraId="7812D3CD">
            <w:pPr>
              <w:spacing w:line="360" w:lineRule="auto"/>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（7）气象气候</w:t>
            </w:r>
          </w:p>
          <w:p w14:paraId="7D54C23E">
            <w:pPr>
              <w:tabs>
                <w:tab w:val="left" w:pos="0"/>
              </w:tabs>
              <w:spacing w:line="360" w:lineRule="auto"/>
              <w:ind w:firstLine="480" w:firstLineChars="200"/>
              <w:rPr>
                <w:rFonts w:ascii="Times New Roman" w:hAnsi="Times New Roman" w:eastAsia="宋体" w:cs="Times New Roman"/>
                <w:bCs/>
                <w:color w:val="auto"/>
                <w:sz w:val="24"/>
                <w:szCs w:val="24"/>
              </w:rPr>
            </w:pPr>
            <w:r>
              <w:rPr>
                <w:rFonts w:hint="eastAsia" w:ascii="宋体" w:hAnsi="宋体" w:cs="宋体"/>
                <w:color w:val="auto"/>
                <w:kern w:val="0"/>
                <w:sz w:val="24"/>
                <w:szCs w:val="24"/>
                <w:lang w:val="en-US" w:eastAsia="zh-CN" w:bidi="ar"/>
              </w:rPr>
              <w:t>项目区</w:t>
            </w:r>
            <w:r>
              <w:rPr>
                <w:rFonts w:hint="eastAsia" w:ascii="Times New Roman" w:hAnsi="Times New Roman" w:eastAsia="宋体" w:cs="Times New Roman"/>
                <w:bCs/>
                <w:color w:val="auto"/>
                <w:sz w:val="24"/>
                <w:szCs w:val="24"/>
                <w:lang w:val="en-US" w:eastAsia="zh-CN"/>
              </w:rPr>
              <w:t>所在地属季风暖温带半湿润气候，四季分明，冬冷夏热。该地区年均气温</w:t>
            </w:r>
            <w:r>
              <w:rPr>
                <w:rFonts w:hint="default" w:ascii="Times New Roman" w:hAnsi="Times New Roman" w:eastAsia="宋体" w:cs="Times New Roman"/>
                <w:bCs/>
                <w:color w:val="auto"/>
                <w:sz w:val="24"/>
                <w:szCs w:val="24"/>
                <w:lang w:val="en-US" w:eastAsia="zh-CN"/>
              </w:rPr>
              <w:t>+15.1℃</w:t>
            </w:r>
            <w:r>
              <w:rPr>
                <w:rFonts w:hint="eastAsia" w:ascii="Times New Roman" w:hAnsi="Times New Roman" w:eastAsia="宋体" w:cs="Times New Roman"/>
                <w:bCs/>
                <w:color w:val="auto"/>
                <w:sz w:val="24"/>
                <w:szCs w:val="24"/>
                <w:lang w:val="en-US" w:eastAsia="zh-CN"/>
              </w:rPr>
              <w:t xml:space="preserve">，极端最高气温为 </w:t>
            </w:r>
            <w:r>
              <w:rPr>
                <w:rFonts w:hint="default" w:ascii="Times New Roman" w:hAnsi="Times New Roman" w:eastAsia="宋体" w:cs="Times New Roman"/>
                <w:bCs/>
                <w:color w:val="auto"/>
                <w:sz w:val="24"/>
                <w:szCs w:val="24"/>
                <w:lang w:val="en-US" w:eastAsia="zh-CN"/>
              </w:rPr>
              <w:t xml:space="preserve">41.4℃(1959 </w:t>
            </w:r>
            <w:r>
              <w:rPr>
                <w:rFonts w:hint="eastAsia" w:ascii="Times New Roman" w:hAnsi="Times New Roman" w:eastAsia="宋体" w:cs="Times New Roman"/>
                <w:bCs/>
                <w:color w:val="auto"/>
                <w:sz w:val="24"/>
                <w:szCs w:val="24"/>
                <w:lang w:val="en-US" w:eastAsia="zh-CN"/>
              </w:rPr>
              <w:t xml:space="preserve">年 </w:t>
            </w:r>
            <w:r>
              <w:rPr>
                <w:rFonts w:hint="default" w:ascii="Times New Roman" w:hAnsi="Times New Roman" w:eastAsia="宋体" w:cs="Times New Roman"/>
                <w:bCs/>
                <w:color w:val="auto"/>
                <w:sz w:val="24"/>
                <w:szCs w:val="24"/>
                <w:lang w:val="en-US" w:eastAsia="zh-CN"/>
              </w:rPr>
              <w:t xml:space="preserve">8 </w:t>
            </w:r>
            <w:r>
              <w:rPr>
                <w:rFonts w:hint="eastAsia" w:ascii="Times New Roman" w:hAnsi="Times New Roman" w:eastAsia="宋体" w:cs="Times New Roman"/>
                <w:bCs/>
                <w:color w:val="auto"/>
                <w:sz w:val="24"/>
                <w:szCs w:val="24"/>
                <w:lang w:val="en-US" w:eastAsia="zh-CN"/>
              </w:rPr>
              <w:t xml:space="preserve">月 </w:t>
            </w:r>
            <w:r>
              <w:rPr>
                <w:rFonts w:hint="default" w:ascii="Times New Roman" w:hAnsi="Times New Roman" w:eastAsia="宋体" w:cs="Times New Roman"/>
                <w:bCs/>
                <w:color w:val="auto"/>
                <w:sz w:val="24"/>
                <w:szCs w:val="24"/>
                <w:lang w:val="en-US" w:eastAsia="zh-CN"/>
              </w:rPr>
              <w:t xml:space="preserve">24 </w:t>
            </w:r>
            <w:r>
              <w:rPr>
                <w:rFonts w:hint="eastAsia" w:ascii="Times New Roman" w:hAnsi="Times New Roman" w:eastAsia="宋体" w:cs="Times New Roman"/>
                <w:bCs/>
                <w:color w:val="auto"/>
                <w:sz w:val="24"/>
                <w:szCs w:val="24"/>
                <w:lang w:val="en-US" w:eastAsia="zh-CN"/>
              </w:rPr>
              <w:t>日</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，极端最低气温为</w:t>
            </w:r>
            <w:r>
              <w:rPr>
                <w:rFonts w:hint="default" w:ascii="Times New Roman" w:hAnsi="Times New Roman" w:eastAsia="宋体" w:cs="Times New Roman"/>
                <w:bCs/>
                <w:color w:val="auto"/>
                <w:sz w:val="24"/>
                <w:szCs w:val="24"/>
                <w:lang w:val="en-US" w:eastAsia="zh-CN"/>
              </w:rPr>
              <w:t>-21.7℃(1969</w:t>
            </w:r>
            <w:r>
              <w:rPr>
                <w:rFonts w:hint="eastAsia" w:ascii="Times New Roman" w:hAnsi="Times New Roman" w:eastAsia="宋体" w:cs="Times New Roman"/>
                <w:bCs/>
                <w:color w:val="auto"/>
                <w:sz w:val="24"/>
                <w:szCs w:val="24"/>
                <w:lang w:val="en-US" w:eastAsia="zh-CN"/>
              </w:rPr>
              <w:t>年</w:t>
            </w:r>
            <w:r>
              <w:rPr>
                <w:rFonts w:hint="default" w:ascii="Times New Roman" w:hAnsi="Times New Roman" w:eastAsia="宋体" w:cs="Times New Roman"/>
                <w:bCs/>
                <w:color w:val="auto"/>
                <w:sz w:val="24"/>
                <w:szCs w:val="24"/>
                <w:lang w:val="en-US" w:eastAsia="zh-CN"/>
              </w:rPr>
              <w:t>1</w:t>
            </w:r>
            <w:r>
              <w:rPr>
                <w:rFonts w:hint="eastAsia" w:ascii="Times New Roman" w:hAnsi="Times New Roman" w:eastAsia="宋体" w:cs="Times New Roman"/>
                <w:bCs/>
                <w:color w:val="auto"/>
                <w:sz w:val="24"/>
                <w:szCs w:val="24"/>
                <w:lang w:val="en-US" w:eastAsia="zh-CN"/>
              </w:rPr>
              <w:t>月</w:t>
            </w:r>
            <w:r>
              <w:rPr>
                <w:rFonts w:hint="default" w:ascii="Times New Roman" w:hAnsi="Times New Roman" w:eastAsia="宋体" w:cs="Times New Roman"/>
                <w:bCs/>
                <w:color w:val="auto"/>
                <w:sz w:val="24"/>
                <w:szCs w:val="24"/>
                <w:lang w:val="en-US" w:eastAsia="zh-CN"/>
              </w:rPr>
              <w:t>31</w:t>
            </w:r>
            <w:r>
              <w:rPr>
                <w:rFonts w:hint="eastAsia" w:ascii="Times New Roman" w:hAnsi="Times New Roman" w:eastAsia="宋体" w:cs="Times New Roman"/>
                <w:bCs/>
                <w:color w:val="auto"/>
                <w:sz w:val="24"/>
                <w:szCs w:val="24"/>
                <w:lang w:val="en-US" w:eastAsia="zh-CN"/>
              </w:rPr>
              <w:t>日</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 xml:space="preserve">。年均降雨量 </w:t>
            </w:r>
            <w:r>
              <w:rPr>
                <w:rFonts w:hint="default" w:ascii="Times New Roman" w:hAnsi="Times New Roman" w:eastAsia="宋体" w:cs="Times New Roman"/>
                <w:bCs/>
                <w:color w:val="auto"/>
                <w:sz w:val="24"/>
                <w:szCs w:val="24"/>
                <w:lang w:val="en-US" w:eastAsia="zh-CN"/>
              </w:rPr>
              <w:t>894mm</w:t>
            </w:r>
            <w:r>
              <w:rPr>
                <w:rFonts w:hint="eastAsia" w:ascii="Times New Roman" w:hAnsi="Times New Roman" w:eastAsia="宋体" w:cs="Times New Roman"/>
                <w:bCs/>
                <w:color w:val="auto"/>
                <w:sz w:val="24"/>
                <w:szCs w:val="24"/>
                <w:lang w:val="en-US" w:eastAsia="zh-CN"/>
              </w:rPr>
              <w:t>，且多集中在夏季</w:t>
            </w:r>
            <w:r>
              <w:rPr>
                <w:rFonts w:hint="default" w:ascii="Times New Roman" w:hAnsi="Times New Roman" w:eastAsia="宋体" w:cs="Times New Roman"/>
                <w:bCs/>
                <w:color w:val="auto"/>
                <w:sz w:val="24"/>
                <w:szCs w:val="24"/>
                <w:lang w:val="en-US" w:eastAsia="zh-CN"/>
              </w:rPr>
              <w:t>(6</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7</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 xml:space="preserve">8 </w:t>
            </w:r>
            <w:r>
              <w:rPr>
                <w:rFonts w:hint="eastAsia" w:ascii="Times New Roman" w:hAnsi="Times New Roman" w:eastAsia="宋体" w:cs="Times New Roman"/>
                <w:bCs/>
                <w:color w:val="auto"/>
                <w:sz w:val="24"/>
                <w:szCs w:val="24"/>
                <w:lang w:val="en-US" w:eastAsia="zh-CN"/>
              </w:rPr>
              <w:t>月</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，约占全年降水量的</w:t>
            </w:r>
            <w:r>
              <w:rPr>
                <w:rFonts w:hint="default" w:ascii="Times New Roman" w:hAnsi="Times New Roman" w:eastAsia="宋体" w:cs="Times New Roman"/>
                <w:bCs/>
                <w:color w:val="auto"/>
                <w:sz w:val="24"/>
                <w:szCs w:val="24"/>
                <w:lang w:val="en-US" w:eastAsia="zh-CN"/>
              </w:rPr>
              <w:t>51%</w:t>
            </w:r>
            <w:r>
              <w:rPr>
                <w:rFonts w:hint="eastAsia" w:ascii="Times New Roman" w:hAnsi="Times New Roman" w:eastAsia="宋体" w:cs="Times New Roman"/>
                <w:bCs/>
                <w:color w:val="auto"/>
                <w:sz w:val="24"/>
                <w:szCs w:val="24"/>
                <w:lang w:val="en-US" w:eastAsia="zh-CN"/>
              </w:rPr>
              <w:t>；冬季</w:t>
            </w:r>
            <w:r>
              <w:rPr>
                <w:rFonts w:hint="default" w:ascii="Times New Roman" w:hAnsi="Times New Roman" w:eastAsia="宋体" w:cs="Times New Roman"/>
                <w:bCs/>
                <w:color w:val="auto"/>
                <w:sz w:val="24"/>
                <w:szCs w:val="24"/>
                <w:lang w:val="en-US" w:eastAsia="zh-CN"/>
              </w:rPr>
              <w:t>(12</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1</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 xml:space="preserve">2 </w:t>
            </w:r>
            <w:r>
              <w:rPr>
                <w:rFonts w:hint="eastAsia" w:ascii="Times New Roman" w:hAnsi="Times New Roman" w:eastAsia="宋体" w:cs="Times New Roman"/>
                <w:bCs/>
                <w:color w:val="auto"/>
                <w:sz w:val="24"/>
                <w:szCs w:val="24"/>
                <w:lang w:val="en-US" w:eastAsia="zh-CN"/>
              </w:rPr>
              <w:t>月</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最小，只占全年降水量的</w:t>
            </w:r>
            <w:r>
              <w:rPr>
                <w:rFonts w:hint="default" w:ascii="Times New Roman" w:hAnsi="Times New Roman" w:eastAsia="宋体" w:cs="Times New Roman"/>
                <w:bCs/>
                <w:color w:val="auto"/>
                <w:sz w:val="24"/>
                <w:szCs w:val="24"/>
                <w:lang w:val="en-US" w:eastAsia="zh-CN"/>
              </w:rPr>
              <w:t>7%</w:t>
            </w:r>
            <w:r>
              <w:rPr>
                <w:rFonts w:hint="eastAsia" w:ascii="Times New Roman" w:hAnsi="Times New Roman" w:eastAsia="宋体" w:cs="Times New Roman"/>
                <w:bCs/>
                <w:color w:val="auto"/>
                <w:sz w:val="24"/>
                <w:szCs w:val="24"/>
                <w:lang w:val="en-US" w:eastAsia="zh-CN"/>
              </w:rPr>
              <w:t xml:space="preserve">。本区年最大降水量为 </w:t>
            </w:r>
            <w:r>
              <w:rPr>
                <w:rFonts w:hint="default" w:ascii="Times New Roman" w:hAnsi="Times New Roman" w:eastAsia="宋体" w:cs="Times New Roman"/>
                <w:bCs/>
                <w:color w:val="auto"/>
                <w:sz w:val="24"/>
                <w:szCs w:val="24"/>
                <w:lang w:val="en-US" w:eastAsia="zh-CN"/>
              </w:rPr>
              <w:t xml:space="preserve">1242.2mm(1968 </w:t>
            </w:r>
            <w:r>
              <w:rPr>
                <w:rFonts w:hint="eastAsia" w:ascii="Times New Roman" w:hAnsi="Times New Roman" w:eastAsia="宋体" w:cs="Times New Roman"/>
                <w:bCs/>
                <w:color w:val="auto"/>
                <w:sz w:val="24"/>
                <w:szCs w:val="24"/>
                <w:lang w:val="en-US" w:eastAsia="zh-CN"/>
              </w:rPr>
              <w:t>年</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，年最小降水量仅</w:t>
            </w:r>
            <w:r>
              <w:rPr>
                <w:rFonts w:hint="default" w:ascii="Times New Roman" w:hAnsi="Times New Roman" w:eastAsia="宋体" w:cs="Times New Roman"/>
                <w:bCs/>
                <w:color w:val="auto"/>
                <w:sz w:val="24"/>
                <w:szCs w:val="24"/>
                <w:lang w:val="en-US" w:eastAsia="zh-CN"/>
              </w:rPr>
              <w:t xml:space="preserve">514.4mm(1978 </w:t>
            </w:r>
            <w:r>
              <w:rPr>
                <w:rFonts w:hint="eastAsia" w:ascii="Times New Roman" w:hAnsi="Times New Roman" w:eastAsia="宋体" w:cs="Times New Roman"/>
                <w:bCs/>
                <w:color w:val="auto"/>
                <w:sz w:val="24"/>
                <w:szCs w:val="24"/>
                <w:lang w:val="en-US" w:eastAsia="zh-CN"/>
              </w:rPr>
              <w:t>年</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 xml:space="preserve">。全年蒸发量 </w:t>
            </w:r>
            <w:r>
              <w:rPr>
                <w:rFonts w:hint="default" w:ascii="Times New Roman" w:hAnsi="Times New Roman" w:eastAsia="宋体" w:cs="Times New Roman"/>
                <w:bCs/>
                <w:color w:val="auto"/>
                <w:sz w:val="24"/>
                <w:szCs w:val="24"/>
                <w:lang w:val="en-US" w:eastAsia="zh-CN"/>
              </w:rPr>
              <w:t>1610mm</w:t>
            </w:r>
            <w:r>
              <w:rPr>
                <w:rFonts w:hint="eastAsia" w:ascii="Times New Roman" w:hAnsi="Times New Roman" w:eastAsia="宋体" w:cs="Times New Roman"/>
                <w:bCs/>
                <w:color w:val="auto"/>
                <w:sz w:val="24"/>
                <w:szCs w:val="24"/>
                <w:lang w:val="en-US" w:eastAsia="zh-CN"/>
              </w:rPr>
              <w:t xml:space="preserve">，全年无霜期 </w:t>
            </w:r>
            <w:r>
              <w:rPr>
                <w:rFonts w:hint="default" w:ascii="Times New Roman" w:hAnsi="Times New Roman" w:eastAsia="宋体" w:cs="Times New Roman"/>
                <w:bCs/>
                <w:color w:val="auto"/>
                <w:sz w:val="24"/>
                <w:szCs w:val="24"/>
                <w:lang w:val="en-US" w:eastAsia="zh-CN"/>
              </w:rPr>
              <w:t xml:space="preserve">218 </w:t>
            </w:r>
            <w:r>
              <w:rPr>
                <w:rFonts w:hint="eastAsia" w:ascii="Times New Roman" w:hAnsi="Times New Roman" w:eastAsia="宋体" w:cs="Times New Roman"/>
                <w:bCs/>
                <w:color w:val="auto"/>
                <w:sz w:val="24"/>
                <w:szCs w:val="24"/>
                <w:lang w:val="en-US" w:eastAsia="zh-CN"/>
              </w:rPr>
              <w:t xml:space="preserve">天，土壤最大冻结深度为 </w:t>
            </w:r>
            <w:r>
              <w:rPr>
                <w:rFonts w:hint="default" w:ascii="Times New Roman" w:hAnsi="Times New Roman" w:eastAsia="宋体" w:cs="Times New Roman"/>
                <w:bCs/>
                <w:color w:val="auto"/>
                <w:sz w:val="24"/>
                <w:szCs w:val="24"/>
                <w:lang w:val="en-US" w:eastAsia="zh-CN"/>
              </w:rPr>
              <w:t>30cm</w:t>
            </w:r>
            <w:r>
              <w:rPr>
                <w:rFonts w:hint="eastAsia" w:ascii="Times New Roman" w:hAnsi="Times New Roman" w:eastAsia="宋体" w:cs="Times New Roman"/>
                <w:bCs/>
                <w:color w:val="auto"/>
                <w:sz w:val="24"/>
                <w:szCs w:val="24"/>
                <w:lang w:val="en-US" w:eastAsia="zh-CN"/>
              </w:rPr>
              <w:t xml:space="preserve">。 </w:t>
            </w:r>
          </w:p>
          <w:p w14:paraId="25494A2A">
            <w:pPr>
              <w:tabs>
                <w:tab w:val="left" w:pos="0"/>
              </w:tabs>
              <w:spacing w:line="360" w:lineRule="auto"/>
              <w:ind w:firstLine="480" w:firstLineChars="200"/>
              <w:rPr>
                <w:color w:val="auto"/>
              </w:rPr>
            </w:pPr>
            <w:r>
              <w:rPr>
                <w:rFonts w:hint="eastAsia" w:ascii="Times New Roman" w:hAnsi="Times New Roman" w:eastAsia="宋体" w:cs="Times New Roman"/>
                <w:bCs/>
                <w:color w:val="auto"/>
                <w:sz w:val="24"/>
                <w:szCs w:val="24"/>
                <w:lang w:val="en-US" w:eastAsia="zh-CN"/>
              </w:rPr>
              <w:t xml:space="preserve">本区为季风气候区，一般春季多东南风，夏季多东南及东风，秋季多东及东北风，冬季多东北及西北风，平均风速 </w:t>
            </w:r>
            <w:r>
              <w:rPr>
                <w:rFonts w:hint="default" w:ascii="Times New Roman" w:hAnsi="Times New Roman" w:eastAsia="宋体" w:cs="Times New Roman"/>
                <w:bCs/>
                <w:color w:val="auto"/>
                <w:sz w:val="24"/>
                <w:szCs w:val="24"/>
                <w:lang w:val="en-US" w:eastAsia="zh-CN"/>
              </w:rPr>
              <w:t>3.3m/s</w:t>
            </w:r>
            <w:r>
              <w:rPr>
                <w:rFonts w:hint="eastAsia" w:ascii="Times New Roman" w:hAnsi="Times New Roman" w:eastAsia="宋体" w:cs="Times New Roman"/>
                <w:bCs/>
                <w:color w:val="auto"/>
                <w:sz w:val="24"/>
                <w:szCs w:val="24"/>
                <w:lang w:val="en-US" w:eastAsia="zh-CN"/>
              </w:rPr>
              <w:t xml:space="preserve">，最大风速达 </w:t>
            </w:r>
            <w:r>
              <w:rPr>
                <w:rFonts w:hint="default" w:ascii="Times New Roman" w:hAnsi="Times New Roman" w:eastAsia="宋体" w:cs="Times New Roman"/>
                <w:bCs/>
                <w:color w:val="auto"/>
                <w:sz w:val="24"/>
                <w:szCs w:val="24"/>
                <w:lang w:val="en-US" w:eastAsia="zh-CN"/>
              </w:rPr>
              <w:t>22.0m/s</w:t>
            </w:r>
            <w:r>
              <w:rPr>
                <w:rFonts w:hint="eastAsia" w:ascii="Times New Roman" w:hAnsi="Times New Roman" w:eastAsia="宋体" w:cs="Times New Roman"/>
                <w:bCs/>
                <w:color w:val="auto"/>
                <w:sz w:val="24"/>
                <w:szCs w:val="24"/>
                <w:lang w:val="en-US" w:eastAsia="zh-CN"/>
              </w:rPr>
              <w:t>。</w:t>
            </w:r>
          </w:p>
          <w:p w14:paraId="7B6C2933">
            <w:pPr>
              <w:spacing w:line="360" w:lineRule="auto"/>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（8）河流水系</w:t>
            </w:r>
          </w:p>
          <w:p w14:paraId="1D5FFC49">
            <w:pPr>
              <w:tabs>
                <w:tab w:val="left" w:pos="0"/>
              </w:tabs>
              <w:spacing w:line="360" w:lineRule="auto"/>
              <w:ind w:firstLine="480" w:firstLineChars="20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 xml:space="preserve">项目区附近区域的地表水体主要有黑河和泥河，均属淮河水系，其中泥河为淮河一级支流，区内有纵横交错的农灌沟渠，形成篦状农灌水系。 </w:t>
            </w:r>
          </w:p>
          <w:p w14:paraId="3B867971">
            <w:pPr>
              <w:tabs>
                <w:tab w:val="left" w:pos="0"/>
              </w:tabs>
              <w:spacing w:line="360" w:lineRule="auto"/>
              <w:ind w:firstLine="480" w:firstLineChars="20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 xml:space="preserve">淮河起源于河南省桐柏县桐柏山麓，由西北向东南流经河南、安徽、江苏三省，干流全长约 1000km。淮河淮南段长 87km，河道宽一般为 250～400m；年平均径流量755.5m3 /s，最大流量 12700m3 /s，最小流量 0.5m3 /s；历史最高水位+25.63m(1954年7月29日)，最低水位+12.36m，一般水位在+15.00m 左右。淮河淮南段水体功能规划为生活饮用水源、工业用水和农业用水。 </w:t>
            </w:r>
          </w:p>
          <w:p w14:paraId="4DA7CFD1">
            <w:pPr>
              <w:tabs>
                <w:tab w:val="left" w:pos="0"/>
              </w:tabs>
              <w:spacing w:line="360" w:lineRule="auto"/>
              <w:ind w:firstLine="480" w:firstLineChars="20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泥河发源于淮南市凤台县米集，全长 67km，流域面积 606km</w:t>
            </w:r>
            <w:r>
              <w:rPr>
                <w:rFonts w:hint="eastAsia" w:ascii="Times New Roman" w:hAnsi="Times New Roman" w:eastAsia="宋体" w:cs="Times New Roman"/>
                <w:bCs/>
                <w:color w:val="auto"/>
                <w:sz w:val="24"/>
                <w:szCs w:val="24"/>
                <w:vertAlign w:val="superscript"/>
                <w:lang w:val="en-US" w:eastAsia="zh-CN"/>
              </w:rPr>
              <w:t>2</w:t>
            </w:r>
            <w:r>
              <w:rPr>
                <w:rFonts w:hint="eastAsia" w:ascii="Times New Roman" w:hAnsi="Times New Roman" w:eastAsia="宋体" w:cs="Times New Roman"/>
                <w:bCs/>
                <w:color w:val="auto"/>
                <w:sz w:val="24"/>
                <w:szCs w:val="24"/>
                <w:lang w:val="en-US" w:eastAsia="zh-CN"/>
              </w:rPr>
              <w:t xml:space="preserve">，自西北向东南方向流经潘谢矿区丁集、潘三、潘一井田，是淮南市潘集区的主要纳污水体，与黑河汇流后经青年闸注入淮河。泥河河道上游狭窄，下游宽达 500～600m，并受淮河水位控制，漫溢时宽度扩张到 800～1200m，沿岸地势低洼，雨季易形成内涝。泥河水体功能规划为工业用水，并兼有农业用水功能。 </w:t>
            </w:r>
          </w:p>
          <w:p w14:paraId="715DB24A">
            <w:pPr>
              <w:tabs>
                <w:tab w:val="left" w:pos="0"/>
              </w:tabs>
              <w:spacing w:line="360" w:lineRule="auto"/>
              <w:ind w:firstLine="480" w:firstLineChars="20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黑河是泥河的支流之一，系人工开凿的河流，位于井田北部外，全长约45km，流向与泥河基本一致。黑河规划水体功能为农业用水，井田范围内的沟渠的主要功能为农业灌溉和排涝泄洪。</w:t>
            </w:r>
          </w:p>
          <w:p w14:paraId="20711074">
            <w:pPr>
              <w:tabs>
                <w:tab w:val="left" w:pos="0"/>
              </w:tabs>
              <w:spacing w:line="360" w:lineRule="auto"/>
              <w:ind w:firstLine="482" w:firstLineChars="20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、环境质量现状</w:t>
            </w:r>
          </w:p>
          <w:p w14:paraId="658BCC64">
            <w:pPr>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（1）大气环境质量现状</w:t>
            </w:r>
          </w:p>
          <w:p w14:paraId="7086E102">
            <w:pPr>
              <w:spacing w:line="360" w:lineRule="auto"/>
              <w:ind w:firstLine="480" w:firstLineChars="200"/>
              <w:rPr>
                <w:rFonts w:hint="default" w:ascii="Times New Roman" w:hAnsi="Times New Roman" w:eastAsia="宋体" w:cs="Times New Roman"/>
                <w:snapToGrid w:val="0"/>
                <w:color w:val="auto"/>
                <w:spacing w:val="-2"/>
                <w:sz w:val="24"/>
                <w:szCs w:val="24"/>
              </w:rPr>
            </w:pPr>
            <w:r>
              <w:rPr>
                <w:rFonts w:hint="default" w:ascii="Times New Roman" w:hAnsi="Times New Roman" w:eastAsia="宋体" w:cs="Times New Roman"/>
                <w:color w:val="auto"/>
                <w:sz w:val="24"/>
                <w:szCs w:val="24"/>
              </w:rPr>
              <w:t>选用</w:t>
            </w:r>
            <w:r>
              <w:rPr>
                <w:rFonts w:hint="default" w:ascii="Times New Roman" w:hAnsi="Times New Roman" w:eastAsia="宋体" w:cs="Times New Roman"/>
                <w:snapToGrid w:val="0"/>
                <w:color w:val="auto"/>
                <w:spacing w:val="-2"/>
                <w:sz w:val="24"/>
                <w:szCs w:val="24"/>
              </w:rPr>
              <w:t>淮南市生态环境局发布的《2023年淮南市环境质量状况公报》</w:t>
            </w:r>
            <w:r>
              <w:rPr>
                <w:rFonts w:hint="default" w:ascii="Times New Roman" w:hAnsi="Times New Roman" w:eastAsia="宋体" w:cs="Times New Roman"/>
                <w:color w:val="auto"/>
                <w:sz w:val="24"/>
                <w:szCs w:val="24"/>
              </w:rPr>
              <w:t>中的结论，</w:t>
            </w:r>
            <w:r>
              <w:rPr>
                <w:rFonts w:hint="default" w:ascii="Times New Roman" w:hAnsi="Times New Roman" w:eastAsia="宋体" w:cs="Times New Roman"/>
                <w:snapToGrid w:val="0"/>
                <w:color w:val="auto"/>
                <w:spacing w:val="-2"/>
                <w:sz w:val="24"/>
                <w:szCs w:val="24"/>
              </w:rPr>
              <w:t>环境空气质量状况如下：</w:t>
            </w:r>
          </w:p>
          <w:p w14:paraId="20FA211B">
            <w:pPr>
              <w:autoSpaceDE w:val="0"/>
              <w:autoSpaceDN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①基本污染物环境质量现状</w:t>
            </w:r>
          </w:p>
          <w:p w14:paraId="519DEDDD">
            <w:pPr>
              <w:spacing w:line="360" w:lineRule="auto"/>
              <w:ind w:firstLine="472" w:firstLineChars="200"/>
              <w:rPr>
                <w:rFonts w:hint="default" w:ascii="Times New Roman" w:hAnsi="Times New Roman" w:eastAsia="宋体" w:cs="Times New Roman"/>
                <w:snapToGrid w:val="0"/>
                <w:color w:val="auto"/>
                <w:spacing w:val="-2"/>
                <w:sz w:val="24"/>
                <w:szCs w:val="24"/>
              </w:rPr>
            </w:pPr>
            <w:r>
              <w:rPr>
                <w:rFonts w:hint="default" w:ascii="Times New Roman" w:hAnsi="Times New Roman" w:eastAsia="宋体" w:cs="Times New Roman"/>
                <w:snapToGrid w:val="0"/>
                <w:color w:val="auto"/>
                <w:spacing w:val="-2"/>
                <w:sz w:val="24"/>
                <w:szCs w:val="24"/>
              </w:rPr>
              <w:t>细颗粒物（PM</w:t>
            </w:r>
            <w:r>
              <w:rPr>
                <w:rFonts w:hint="default" w:ascii="Times New Roman" w:hAnsi="Times New Roman" w:eastAsia="宋体" w:cs="Times New Roman"/>
                <w:snapToGrid w:val="0"/>
                <w:color w:val="auto"/>
                <w:spacing w:val="-2"/>
                <w:sz w:val="24"/>
                <w:szCs w:val="24"/>
                <w:vertAlign w:val="subscript"/>
              </w:rPr>
              <w:t>2.5</w:t>
            </w:r>
            <w:r>
              <w:rPr>
                <w:rFonts w:hint="default" w:ascii="Times New Roman" w:hAnsi="Times New Roman" w:eastAsia="宋体" w:cs="Times New Roman"/>
                <w:snapToGrid w:val="0"/>
                <w:color w:val="auto"/>
                <w:spacing w:val="-2"/>
                <w:sz w:val="24"/>
                <w:szCs w:val="24"/>
              </w:rPr>
              <w:t>）日均浓度范围为8～252微克/立方米，日均值达标率为93.0%。年均值为38.7微克/立方米，与上年相比下降了4.4个百分点。</w:t>
            </w:r>
          </w:p>
          <w:p w14:paraId="0D94D8DE">
            <w:pPr>
              <w:spacing w:line="360" w:lineRule="auto"/>
              <w:ind w:firstLine="472" w:firstLineChars="200"/>
              <w:rPr>
                <w:rFonts w:hint="default" w:ascii="Times New Roman" w:hAnsi="Times New Roman" w:eastAsia="宋体" w:cs="Times New Roman"/>
                <w:snapToGrid w:val="0"/>
                <w:color w:val="auto"/>
                <w:spacing w:val="-2"/>
                <w:sz w:val="24"/>
                <w:szCs w:val="24"/>
              </w:rPr>
            </w:pPr>
            <w:r>
              <w:rPr>
                <w:rFonts w:hint="default" w:ascii="Times New Roman" w:hAnsi="Times New Roman" w:eastAsia="宋体" w:cs="Times New Roman"/>
                <w:snapToGrid w:val="0"/>
                <w:color w:val="auto"/>
                <w:spacing w:val="-2"/>
                <w:sz w:val="24"/>
                <w:szCs w:val="24"/>
              </w:rPr>
              <w:t>可吸入颗粒物（PM</w:t>
            </w:r>
            <w:r>
              <w:rPr>
                <w:rFonts w:hint="default" w:ascii="Times New Roman" w:hAnsi="Times New Roman" w:eastAsia="宋体" w:cs="Times New Roman"/>
                <w:snapToGrid w:val="0"/>
                <w:color w:val="auto"/>
                <w:spacing w:val="-2"/>
                <w:sz w:val="24"/>
                <w:szCs w:val="24"/>
                <w:vertAlign w:val="subscript"/>
              </w:rPr>
              <w:t>10</w:t>
            </w:r>
            <w:r>
              <w:rPr>
                <w:rFonts w:hint="default" w:ascii="Times New Roman" w:hAnsi="Times New Roman" w:eastAsia="宋体" w:cs="Times New Roman"/>
                <w:snapToGrid w:val="0"/>
                <w:color w:val="auto"/>
                <w:spacing w:val="-2"/>
                <w:sz w:val="24"/>
                <w:szCs w:val="24"/>
              </w:rPr>
              <w:t>）日均浓度范围为12～313微克/立方米，日均值达标率为97.6%。年均值为65.9微克/立方米，与上年相比下降了0.8个百分点。</w:t>
            </w:r>
          </w:p>
          <w:p w14:paraId="56A97742">
            <w:pPr>
              <w:spacing w:line="360" w:lineRule="auto"/>
              <w:ind w:firstLine="472" w:firstLineChars="200"/>
              <w:rPr>
                <w:rFonts w:hint="default" w:ascii="Times New Roman" w:hAnsi="Times New Roman" w:eastAsia="宋体" w:cs="Times New Roman"/>
                <w:snapToGrid w:val="0"/>
                <w:color w:val="auto"/>
                <w:spacing w:val="-2"/>
                <w:sz w:val="24"/>
                <w:szCs w:val="24"/>
              </w:rPr>
            </w:pPr>
            <w:r>
              <w:rPr>
                <w:rFonts w:hint="default" w:ascii="Times New Roman" w:hAnsi="Times New Roman" w:eastAsia="宋体" w:cs="Times New Roman"/>
                <w:snapToGrid w:val="0"/>
                <w:color w:val="auto"/>
                <w:spacing w:val="-2"/>
                <w:sz w:val="24"/>
                <w:szCs w:val="24"/>
              </w:rPr>
              <w:t>二氧化氮（NO</w:t>
            </w:r>
            <w:r>
              <w:rPr>
                <w:rFonts w:hint="default" w:ascii="Times New Roman" w:hAnsi="Times New Roman" w:eastAsia="宋体" w:cs="Times New Roman"/>
                <w:snapToGrid w:val="0"/>
                <w:color w:val="auto"/>
                <w:spacing w:val="-2"/>
                <w:sz w:val="24"/>
                <w:szCs w:val="24"/>
                <w:vertAlign w:val="subscript"/>
              </w:rPr>
              <w:t>2</w:t>
            </w:r>
            <w:r>
              <w:rPr>
                <w:rFonts w:hint="default" w:ascii="Times New Roman" w:hAnsi="Times New Roman" w:eastAsia="宋体" w:cs="Times New Roman"/>
                <w:snapToGrid w:val="0"/>
                <w:color w:val="auto"/>
                <w:spacing w:val="-2"/>
                <w:sz w:val="24"/>
                <w:szCs w:val="24"/>
              </w:rPr>
              <w:t>）日均浓度范围为6～70微克/立方米，日均值达标率为100%。年均浓度为21微克/立方米，与上年相比上升了10.5个百分点。</w:t>
            </w:r>
          </w:p>
          <w:p w14:paraId="4B66C971">
            <w:pPr>
              <w:spacing w:line="360" w:lineRule="auto"/>
              <w:ind w:firstLine="472" w:firstLineChars="200"/>
              <w:rPr>
                <w:rFonts w:hint="default" w:ascii="Times New Roman" w:hAnsi="Times New Roman" w:eastAsia="宋体" w:cs="Times New Roman"/>
                <w:snapToGrid w:val="0"/>
                <w:color w:val="auto"/>
                <w:spacing w:val="-2"/>
                <w:sz w:val="24"/>
                <w:szCs w:val="24"/>
              </w:rPr>
            </w:pPr>
            <w:r>
              <w:rPr>
                <w:rFonts w:hint="default" w:ascii="Times New Roman" w:hAnsi="Times New Roman" w:eastAsia="宋体" w:cs="Times New Roman"/>
                <w:snapToGrid w:val="0"/>
                <w:color w:val="auto"/>
                <w:spacing w:val="-2"/>
                <w:sz w:val="24"/>
                <w:szCs w:val="24"/>
              </w:rPr>
              <w:t>二氧化硫（SO</w:t>
            </w:r>
            <w:r>
              <w:rPr>
                <w:rFonts w:hint="default" w:ascii="Times New Roman" w:hAnsi="Times New Roman" w:eastAsia="宋体" w:cs="Times New Roman"/>
                <w:snapToGrid w:val="0"/>
                <w:color w:val="auto"/>
                <w:spacing w:val="-2"/>
                <w:sz w:val="24"/>
                <w:szCs w:val="24"/>
                <w:vertAlign w:val="subscript"/>
              </w:rPr>
              <w:t>2</w:t>
            </w:r>
            <w:r>
              <w:rPr>
                <w:rFonts w:hint="default" w:ascii="Times New Roman" w:hAnsi="Times New Roman" w:eastAsia="宋体" w:cs="Times New Roman"/>
                <w:snapToGrid w:val="0"/>
                <w:color w:val="auto"/>
                <w:spacing w:val="-2"/>
                <w:sz w:val="24"/>
                <w:szCs w:val="24"/>
              </w:rPr>
              <w:t>）日均浓度范围为3～15微克/立方米，日均值达标率为100%。年均浓度为8微克/立方米，与上年持平。</w:t>
            </w:r>
          </w:p>
          <w:p w14:paraId="456C6570">
            <w:pPr>
              <w:spacing w:line="360" w:lineRule="auto"/>
              <w:ind w:firstLine="472" w:firstLineChars="200"/>
              <w:rPr>
                <w:rFonts w:hint="default" w:ascii="Times New Roman" w:hAnsi="Times New Roman" w:eastAsia="宋体" w:cs="Times New Roman"/>
                <w:snapToGrid w:val="0"/>
                <w:color w:val="auto"/>
                <w:spacing w:val="-2"/>
                <w:sz w:val="24"/>
                <w:szCs w:val="24"/>
              </w:rPr>
            </w:pPr>
            <w:r>
              <w:rPr>
                <w:rFonts w:hint="default" w:ascii="Times New Roman" w:hAnsi="Times New Roman" w:eastAsia="宋体" w:cs="Times New Roman"/>
                <w:snapToGrid w:val="0"/>
                <w:color w:val="auto"/>
                <w:spacing w:val="-2"/>
                <w:sz w:val="24"/>
                <w:szCs w:val="24"/>
              </w:rPr>
              <w:t>一氧化碳（CO）日均浓度范围为0.2～1.5毫克/立方米，日均值达标率为100%。日均值第95百分位数为0.7毫克/立方米，与上年相比下降了12.5个百分点。</w:t>
            </w:r>
          </w:p>
          <w:p w14:paraId="04DBE096">
            <w:pPr>
              <w:spacing w:line="360" w:lineRule="auto"/>
              <w:ind w:firstLine="472" w:firstLineChars="200"/>
              <w:rPr>
                <w:rFonts w:hint="default" w:ascii="Times New Roman" w:hAnsi="Times New Roman" w:eastAsia="微软雅黑" w:cs="Times New Roman"/>
                <w:color w:val="auto"/>
                <w:kern w:val="0"/>
                <w:sz w:val="20"/>
                <w:szCs w:val="20"/>
              </w:rPr>
            </w:pPr>
            <w:r>
              <w:rPr>
                <w:rFonts w:hint="default" w:ascii="Times New Roman" w:hAnsi="Times New Roman" w:eastAsia="宋体" w:cs="Times New Roman"/>
                <w:snapToGrid w:val="0"/>
                <w:color w:val="auto"/>
                <w:spacing w:val="-2"/>
                <w:sz w:val="24"/>
                <w:szCs w:val="24"/>
              </w:rPr>
              <w:t>臭氧日最大8小时（O</w:t>
            </w:r>
            <w:r>
              <w:rPr>
                <w:rFonts w:hint="default" w:ascii="Times New Roman" w:hAnsi="Times New Roman" w:eastAsia="宋体" w:cs="Times New Roman"/>
                <w:snapToGrid w:val="0"/>
                <w:color w:val="auto"/>
                <w:spacing w:val="-2"/>
                <w:sz w:val="24"/>
                <w:szCs w:val="24"/>
                <w:vertAlign w:val="subscript"/>
              </w:rPr>
              <w:t>3</w:t>
            </w:r>
            <w:r>
              <w:rPr>
                <w:rFonts w:hint="default" w:ascii="Times New Roman" w:hAnsi="Times New Roman" w:eastAsia="宋体" w:cs="Times New Roman"/>
                <w:snapToGrid w:val="0"/>
                <w:color w:val="auto"/>
                <w:spacing w:val="-2"/>
                <w:sz w:val="24"/>
                <w:szCs w:val="24"/>
              </w:rPr>
              <w:t>-8h）滑动平均值范围为4～210微克/立方米，达标率为91.8%。日最大8小时滑动平均值第90百分位数为157微克/立方米，与上年相比上升了4.0个百分点</w:t>
            </w:r>
            <w:r>
              <w:rPr>
                <w:rFonts w:hint="default" w:ascii="Times New Roman" w:hAnsi="Times New Roman" w:eastAsia="微软雅黑" w:cs="Times New Roman"/>
                <w:color w:val="auto"/>
                <w:kern w:val="0"/>
                <w:sz w:val="20"/>
                <w:szCs w:val="20"/>
              </w:rPr>
              <w:t>。</w:t>
            </w:r>
          </w:p>
          <w:p w14:paraId="158BC8E7">
            <w:pPr>
              <w:pStyle w:val="95"/>
              <w:numPr>
                <w:ilvl w:val="1"/>
                <w:numId w:val="2"/>
              </w:numPr>
              <w:tabs>
                <w:tab w:val="left" w:pos="2100"/>
                <w:tab w:val="clear" w:pos="1440"/>
              </w:tabs>
              <w:spacing w:line="240" w:lineRule="auto"/>
              <w:ind w:left="3300" w:leftChars="0" w:hanging="120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基本污染物环境质量现状</w:t>
            </w:r>
          </w:p>
          <w:tbl>
            <w:tblPr>
              <w:tblStyle w:val="25"/>
              <w:tblW w:w="81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2881"/>
              <w:gridCol w:w="1165"/>
              <w:gridCol w:w="1180"/>
              <w:gridCol w:w="941"/>
              <w:gridCol w:w="1143"/>
            </w:tblGrid>
            <w:tr w14:paraId="3F8F8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14:paraId="69FF8238">
                  <w:pPr>
                    <w:widowControl/>
                    <w:spacing w:line="276"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污染物</w:t>
                  </w:r>
                </w:p>
              </w:tc>
              <w:tc>
                <w:tcPr>
                  <w:tcW w:w="1777" w:type="pct"/>
                  <w:vAlign w:val="center"/>
                </w:tcPr>
                <w:p w14:paraId="2088D9B5">
                  <w:pPr>
                    <w:widowControl/>
                    <w:spacing w:line="276"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年评价指标</w:t>
                  </w:r>
                </w:p>
              </w:tc>
              <w:tc>
                <w:tcPr>
                  <w:tcW w:w="704" w:type="pct"/>
                  <w:vAlign w:val="center"/>
                </w:tcPr>
                <w:p w14:paraId="5D56AB34">
                  <w:pPr>
                    <w:widowControl/>
                    <w:spacing w:line="276"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现状浓度（µg/m</w:t>
                  </w:r>
                  <w:r>
                    <w:rPr>
                      <w:rFonts w:hint="default" w:ascii="Times New Roman" w:hAnsi="Times New Roman" w:eastAsia="宋体" w:cs="Times New Roman"/>
                      <w:b/>
                      <w:bCs/>
                      <w:color w:val="auto"/>
                      <w:kern w:val="0"/>
                      <w:szCs w:val="21"/>
                      <w:vertAlign w:val="superscript"/>
                    </w:rPr>
                    <w:t>3</w:t>
                  </w:r>
                  <w:r>
                    <w:rPr>
                      <w:rFonts w:hint="default" w:ascii="Times New Roman" w:hAnsi="Times New Roman" w:eastAsia="宋体" w:cs="Times New Roman"/>
                      <w:b/>
                      <w:bCs/>
                      <w:color w:val="auto"/>
                      <w:kern w:val="0"/>
                      <w:szCs w:val="21"/>
                    </w:rPr>
                    <w:t>）</w:t>
                  </w:r>
                </w:p>
              </w:tc>
              <w:tc>
                <w:tcPr>
                  <w:tcW w:w="729" w:type="pct"/>
                  <w:vAlign w:val="center"/>
                </w:tcPr>
                <w:p w14:paraId="7F890938">
                  <w:pPr>
                    <w:widowControl/>
                    <w:spacing w:line="276"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标准值（µg/m</w:t>
                  </w:r>
                  <w:r>
                    <w:rPr>
                      <w:rFonts w:hint="default" w:ascii="Times New Roman" w:hAnsi="Times New Roman" w:eastAsia="宋体" w:cs="Times New Roman"/>
                      <w:b/>
                      <w:bCs/>
                      <w:color w:val="auto"/>
                      <w:kern w:val="0"/>
                      <w:szCs w:val="21"/>
                      <w:vertAlign w:val="superscript"/>
                    </w:rPr>
                    <w:t>3</w:t>
                  </w:r>
                  <w:r>
                    <w:rPr>
                      <w:rFonts w:hint="default" w:ascii="Times New Roman" w:hAnsi="Times New Roman" w:eastAsia="宋体" w:cs="Times New Roman"/>
                      <w:b/>
                      <w:bCs/>
                      <w:color w:val="auto"/>
                      <w:kern w:val="0"/>
                      <w:szCs w:val="21"/>
                    </w:rPr>
                    <w:t>）</w:t>
                  </w:r>
                </w:p>
              </w:tc>
              <w:tc>
                <w:tcPr>
                  <w:tcW w:w="582" w:type="pct"/>
                  <w:vAlign w:val="center"/>
                </w:tcPr>
                <w:p w14:paraId="317A4F44">
                  <w:pPr>
                    <w:widowControl/>
                    <w:spacing w:line="276"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占标率（%）</w:t>
                  </w:r>
                </w:p>
              </w:tc>
              <w:tc>
                <w:tcPr>
                  <w:tcW w:w="706" w:type="pct"/>
                  <w:vAlign w:val="center"/>
                </w:tcPr>
                <w:p w14:paraId="42899F53">
                  <w:pPr>
                    <w:widowControl/>
                    <w:spacing w:line="276"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达标情况</w:t>
                  </w:r>
                </w:p>
              </w:tc>
            </w:tr>
            <w:tr w14:paraId="09298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98" w:type="pct"/>
                  <w:vAlign w:val="center"/>
                </w:tcPr>
                <w:p w14:paraId="2C67E749">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SO</w:t>
                  </w:r>
                  <w:r>
                    <w:rPr>
                      <w:rFonts w:hint="default" w:ascii="Times New Roman" w:hAnsi="Times New Roman" w:eastAsia="宋体" w:cs="Times New Roman"/>
                      <w:color w:val="auto"/>
                      <w:kern w:val="0"/>
                      <w:szCs w:val="21"/>
                      <w:vertAlign w:val="subscript"/>
                    </w:rPr>
                    <w:t>2</w:t>
                  </w:r>
                </w:p>
              </w:tc>
              <w:tc>
                <w:tcPr>
                  <w:tcW w:w="1777" w:type="pct"/>
                  <w:vAlign w:val="center"/>
                </w:tcPr>
                <w:p w14:paraId="1828143A">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年平均质量浓度</w:t>
                  </w:r>
                </w:p>
              </w:tc>
              <w:tc>
                <w:tcPr>
                  <w:tcW w:w="704" w:type="pct"/>
                  <w:vAlign w:val="center"/>
                </w:tcPr>
                <w:p w14:paraId="06D5310F">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w:t>
                  </w:r>
                </w:p>
              </w:tc>
              <w:tc>
                <w:tcPr>
                  <w:tcW w:w="729" w:type="pct"/>
                  <w:vAlign w:val="center"/>
                </w:tcPr>
                <w:p w14:paraId="154F10AD">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60</w:t>
                  </w:r>
                </w:p>
              </w:tc>
              <w:tc>
                <w:tcPr>
                  <w:tcW w:w="582" w:type="pct"/>
                  <w:vAlign w:val="center"/>
                </w:tcPr>
                <w:p w14:paraId="4D77258A">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13.3</w:t>
                  </w:r>
                </w:p>
              </w:tc>
              <w:tc>
                <w:tcPr>
                  <w:tcW w:w="706" w:type="pct"/>
                  <w:vAlign w:val="center"/>
                </w:tcPr>
                <w:p w14:paraId="7F26060A">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14:paraId="5A0E5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98" w:type="pct"/>
                  <w:vAlign w:val="center"/>
                </w:tcPr>
                <w:p w14:paraId="58E4DEC9">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NO</w:t>
                  </w:r>
                  <w:r>
                    <w:rPr>
                      <w:rFonts w:hint="default" w:ascii="Times New Roman" w:hAnsi="Times New Roman" w:eastAsia="宋体" w:cs="Times New Roman"/>
                      <w:color w:val="auto"/>
                      <w:kern w:val="0"/>
                      <w:szCs w:val="21"/>
                      <w:vertAlign w:val="subscript"/>
                    </w:rPr>
                    <w:t>2</w:t>
                  </w:r>
                </w:p>
              </w:tc>
              <w:tc>
                <w:tcPr>
                  <w:tcW w:w="1777" w:type="pct"/>
                  <w:vAlign w:val="center"/>
                </w:tcPr>
                <w:p w14:paraId="7F8F5892">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年平均质量浓度</w:t>
                  </w:r>
                </w:p>
              </w:tc>
              <w:tc>
                <w:tcPr>
                  <w:tcW w:w="704" w:type="pct"/>
                  <w:vAlign w:val="center"/>
                </w:tcPr>
                <w:p w14:paraId="022FB4C4">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21</w:t>
                  </w:r>
                </w:p>
              </w:tc>
              <w:tc>
                <w:tcPr>
                  <w:tcW w:w="729" w:type="pct"/>
                  <w:vAlign w:val="center"/>
                </w:tcPr>
                <w:p w14:paraId="39BAC185">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40</w:t>
                  </w:r>
                </w:p>
              </w:tc>
              <w:tc>
                <w:tcPr>
                  <w:tcW w:w="582" w:type="pct"/>
                  <w:vAlign w:val="center"/>
                </w:tcPr>
                <w:p w14:paraId="29AB8E90">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35</w:t>
                  </w:r>
                </w:p>
              </w:tc>
              <w:tc>
                <w:tcPr>
                  <w:tcW w:w="706" w:type="pct"/>
                  <w:vAlign w:val="center"/>
                </w:tcPr>
                <w:p w14:paraId="1AC69475">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14:paraId="736D2D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98" w:type="pct"/>
                  <w:vAlign w:val="center"/>
                </w:tcPr>
                <w:p w14:paraId="35DFC074">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PM</w:t>
                  </w:r>
                  <w:r>
                    <w:rPr>
                      <w:rFonts w:hint="default" w:ascii="Times New Roman" w:hAnsi="Times New Roman" w:eastAsia="宋体" w:cs="Times New Roman"/>
                      <w:color w:val="auto"/>
                      <w:kern w:val="0"/>
                      <w:szCs w:val="21"/>
                      <w:vertAlign w:val="subscript"/>
                    </w:rPr>
                    <w:t>10</w:t>
                  </w:r>
                </w:p>
              </w:tc>
              <w:tc>
                <w:tcPr>
                  <w:tcW w:w="1777" w:type="pct"/>
                  <w:vAlign w:val="center"/>
                </w:tcPr>
                <w:p w14:paraId="3FCB2A36">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年平均质量浓度</w:t>
                  </w:r>
                </w:p>
              </w:tc>
              <w:tc>
                <w:tcPr>
                  <w:tcW w:w="704" w:type="pct"/>
                  <w:vAlign w:val="center"/>
                </w:tcPr>
                <w:p w14:paraId="76994EF3">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65.9</w:t>
                  </w:r>
                </w:p>
              </w:tc>
              <w:tc>
                <w:tcPr>
                  <w:tcW w:w="729" w:type="pct"/>
                  <w:vAlign w:val="center"/>
                </w:tcPr>
                <w:p w14:paraId="0656BCAC">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70</w:t>
                  </w:r>
                </w:p>
              </w:tc>
              <w:tc>
                <w:tcPr>
                  <w:tcW w:w="582" w:type="pct"/>
                  <w:vAlign w:val="center"/>
                </w:tcPr>
                <w:p w14:paraId="4A88C45C">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94.1</w:t>
                  </w:r>
                </w:p>
              </w:tc>
              <w:tc>
                <w:tcPr>
                  <w:tcW w:w="706" w:type="pct"/>
                  <w:vAlign w:val="center"/>
                </w:tcPr>
                <w:p w14:paraId="386FD9FA">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达标</w:t>
                  </w:r>
                </w:p>
              </w:tc>
            </w:tr>
            <w:tr w14:paraId="27E11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98" w:type="pct"/>
                  <w:vAlign w:val="center"/>
                </w:tcPr>
                <w:p w14:paraId="17709CD7">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PM</w:t>
                  </w:r>
                  <w:r>
                    <w:rPr>
                      <w:rFonts w:hint="default" w:ascii="Times New Roman" w:hAnsi="Times New Roman" w:eastAsia="宋体" w:cs="Times New Roman"/>
                      <w:color w:val="auto"/>
                      <w:kern w:val="0"/>
                      <w:szCs w:val="21"/>
                      <w:vertAlign w:val="subscript"/>
                    </w:rPr>
                    <w:t>2.5</w:t>
                  </w:r>
                </w:p>
              </w:tc>
              <w:tc>
                <w:tcPr>
                  <w:tcW w:w="1777" w:type="pct"/>
                  <w:vAlign w:val="center"/>
                </w:tcPr>
                <w:p w14:paraId="33F971B5">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年平均质量浓度</w:t>
                  </w:r>
                </w:p>
              </w:tc>
              <w:tc>
                <w:tcPr>
                  <w:tcW w:w="704" w:type="pct"/>
                  <w:vAlign w:val="center"/>
                </w:tcPr>
                <w:p w14:paraId="1C9B27B7">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38.7</w:t>
                  </w:r>
                </w:p>
              </w:tc>
              <w:tc>
                <w:tcPr>
                  <w:tcW w:w="729" w:type="pct"/>
                  <w:vAlign w:val="center"/>
                </w:tcPr>
                <w:p w14:paraId="535585B1">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35</w:t>
                  </w:r>
                </w:p>
              </w:tc>
              <w:tc>
                <w:tcPr>
                  <w:tcW w:w="582" w:type="pct"/>
                  <w:vAlign w:val="center"/>
                </w:tcPr>
                <w:p w14:paraId="32E3A4DA">
                  <w:pPr>
                    <w:widowControl/>
                    <w:spacing w:line="276" w:lineRule="auto"/>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11</w:t>
                  </w:r>
                  <w:r>
                    <w:rPr>
                      <w:rFonts w:hint="eastAsia" w:ascii="Times New Roman" w:hAnsi="Times New Roman" w:eastAsia="宋体" w:cs="Times New Roman"/>
                      <w:color w:val="auto"/>
                      <w:kern w:val="0"/>
                      <w:szCs w:val="21"/>
                      <w:lang w:val="en-US" w:eastAsia="zh-CN"/>
                    </w:rPr>
                    <w:t>0.57</w:t>
                  </w:r>
                </w:p>
              </w:tc>
              <w:tc>
                <w:tcPr>
                  <w:tcW w:w="706" w:type="pct"/>
                  <w:vAlign w:val="center"/>
                </w:tcPr>
                <w:p w14:paraId="38416FE4">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不达标</w:t>
                  </w:r>
                </w:p>
              </w:tc>
            </w:tr>
            <w:tr w14:paraId="7BEB8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14:paraId="7C80784B">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w:t>
                  </w:r>
                </w:p>
              </w:tc>
              <w:tc>
                <w:tcPr>
                  <w:tcW w:w="1777" w:type="pct"/>
                  <w:vAlign w:val="center"/>
                </w:tcPr>
                <w:p w14:paraId="5CC2B402">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第95百分位日均值浓度</w:t>
                  </w:r>
                </w:p>
              </w:tc>
              <w:tc>
                <w:tcPr>
                  <w:tcW w:w="704" w:type="pct"/>
                  <w:vAlign w:val="center"/>
                </w:tcPr>
                <w:p w14:paraId="63EB3248">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700</w:t>
                  </w:r>
                </w:p>
              </w:tc>
              <w:tc>
                <w:tcPr>
                  <w:tcW w:w="729" w:type="pct"/>
                  <w:vAlign w:val="center"/>
                </w:tcPr>
                <w:p w14:paraId="23EC42FD">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4000</w:t>
                  </w:r>
                </w:p>
              </w:tc>
              <w:tc>
                <w:tcPr>
                  <w:tcW w:w="582" w:type="pct"/>
                  <w:vAlign w:val="center"/>
                </w:tcPr>
                <w:p w14:paraId="30D275A9">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17.5</w:t>
                  </w:r>
                </w:p>
              </w:tc>
              <w:tc>
                <w:tcPr>
                  <w:tcW w:w="706" w:type="pct"/>
                  <w:vAlign w:val="center"/>
                </w:tcPr>
                <w:p w14:paraId="6100D5A5">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达标</w:t>
                  </w:r>
                </w:p>
              </w:tc>
            </w:tr>
            <w:tr w14:paraId="34E2E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14:paraId="27366E3C">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O</w:t>
                  </w:r>
                  <w:r>
                    <w:rPr>
                      <w:rFonts w:hint="default" w:ascii="Times New Roman" w:hAnsi="Times New Roman" w:eastAsia="宋体" w:cs="Times New Roman"/>
                      <w:color w:val="auto"/>
                      <w:szCs w:val="21"/>
                      <w:vertAlign w:val="subscript"/>
                    </w:rPr>
                    <w:t>3</w:t>
                  </w:r>
                </w:p>
              </w:tc>
              <w:tc>
                <w:tcPr>
                  <w:tcW w:w="1777" w:type="pct"/>
                  <w:vAlign w:val="center"/>
                </w:tcPr>
                <w:p w14:paraId="7EC2AF1C">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第90百分位日平均质量浓度</w:t>
                  </w:r>
                </w:p>
              </w:tc>
              <w:tc>
                <w:tcPr>
                  <w:tcW w:w="704" w:type="pct"/>
                  <w:vAlign w:val="center"/>
                </w:tcPr>
                <w:p w14:paraId="574DBC59">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157</w:t>
                  </w:r>
                </w:p>
              </w:tc>
              <w:tc>
                <w:tcPr>
                  <w:tcW w:w="729" w:type="pct"/>
                  <w:vAlign w:val="center"/>
                </w:tcPr>
                <w:p w14:paraId="68CB77D7">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160</w:t>
                  </w:r>
                </w:p>
              </w:tc>
              <w:tc>
                <w:tcPr>
                  <w:tcW w:w="582" w:type="pct"/>
                  <w:vAlign w:val="center"/>
                </w:tcPr>
                <w:p w14:paraId="321088E9">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98.1</w:t>
                  </w:r>
                </w:p>
              </w:tc>
              <w:tc>
                <w:tcPr>
                  <w:tcW w:w="706" w:type="pct"/>
                  <w:vAlign w:val="center"/>
                </w:tcPr>
                <w:p w14:paraId="69988B3D">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达标</w:t>
                  </w:r>
                </w:p>
              </w:tc>
            </w:tr>
          </w:tbl>
          <w:p w14:paraId="4C950EAA">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1"/>
              </w:rPr>
              <w:t>根据《</w:t>
            </w:r>
            <w:r>
              <w:rPr>
                <w:rFonts w:hint="default" w:ascii="Times New Roman" w:hAnsi="Times New Roman" w:eastAsia="宋体" w:cs="Times New Roman"/>
                <w:snapToGrid w:val="0"/>
                <w:color w:val="auto"/>
                <w:spacing w:val="-2"/>
                <w:sz w:val="24"/>
                <w:szCs w:val="24"/>
              </w:rPr>
              <w:t>2023年淮南市环境质量状况公报</w:t>
            </w:r>
            <w:r>
              <w:rPr>
                <w:rFonts w:hint="default" w:ascii="Times New Roman" w:hAnsi="Times New Roman" w:eastAsia="宋体" w:cs="Times New Roman"/>
                <w:color w:val="auto"/>
                <w:sz w:val="24"/>
                <w:szCs w:val="21"/>
              </w:rPr>
              <w:t>》并结合《环境空气质量标准》（GB3095-2012）及2018年修改单中二级标准可知，</w:t>
            </w:r>
            <w:r>
              <w:rPr>
                <w:rFonts w:hint="default" w:ascii="Times New Roman" w:hAnsi="Times New Roman" w:eastAsia="宋体" w:cs="Times New Roman"/>
                <w:color w:val="auto"/>
                <w:sz w:val="24"/>
                <w:szCs w:val="24"/>
              </w:rPr>
              <w:t>二氧化硫（SO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）、二氧化氮（NO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）、一氧化碳（CO）、可吸入颗粒物（PM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）、臭氧（O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）均符合《环境空气质量标准》（GB3095-2012）</w:t>
            </w:r>
            <w:r>
              <w:rPr>
                <w:rFonts w:hint="default" w:ascii="Times New Roman" w:hAnsi="Times New Roman" w:eastAsia="宋体" w:cs="Times New Roman"/>
                <w:color w:val="auto"/>
                <w:sz w:val="24"/>
                <w:szCs w:val="21"/>
              </w:rPr>
              <w:t>及2018年修改单中</w:t>
            </w:r>
            <w:r>
              <w:rPr>
                <w:rFonts w:hint="default" w:ascii="Times New Roman" w:hAnsi="Times New Roman" w:eastAsia="宋体" w:cs="Times New Roman"/>
                <w:color w:val="auto"/>
                <w:sz w:val="24"/>
                <w:szCs w:val="24"/>
              </w:rPr>
              <w:t>二级标准，细颗粒物（PM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）年均浓度超过《环境空气质量标准》（GB3095-2012）</w:t>
            </w:r>
            <w:r>
              <w:rPr>
                <w:rFonts w:hint="default" w:ascii="Times New Roman" w:hAnsi="Times New Roman" w:eastAsia="宋体" w:cs="Times New Roman"/>
                <w:color w:val="auto"/>
                <w:sz w:val="24"/>
                <w:szCs w:val="21"/>
              </w:rPr>
              <w:t>及2018年修改单中</w:t>
            </w:r>
            <w:r>
              <w:rPr>
                <w:rFonts w:hint="default" w:ascii="Times New Roman" w:hAnsi="Times New Roman" w:eastAsia="宋体" w:cs="Times New Roman"/>
                <w:color w:val="auto"/>
                <w:sz w:val="24"/>
                <w:szCs w:val="24"/>
              </w:rPr>
              <w:t>二级标准限值要求。因此，项目所在评价区域为不达标区。</w:t>
            </w:r>
          </w:p>
          <w:p w14:paraId="5A5F1176">
            <w:pPr>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淮南市生态环境局就空气质量不达标提出一系列举措，</w:t>
            </w:r>
          </w:p>
          <w:p w14:paraId="7ED20660">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eastAsia="宋体" w:cs="Times New Roman"/>
                <w:color w:val="auto"/>
                <w:kern w:val="0"/>
                <w:sz w:val="24"/>
                <w:szCs w:val="24"/>
              </w:rPr>
              <w:t>为确保淮南市大气污染防治工作有效推进，</w:t>
            </w:r>
            <w:r>
              <w:rPr>
                <w:rFonts w:hint="default" w:ascii="Times New Roman" w:hAnsi="Times New Roman" w:cs="Times New Roman"/>
                <w:color w:val="auto"/>
                <w:sz w:val="24"/>
                <w:szCs w:val="21"/>
              </w:rPr>
              <w:t>目前，淮南市已制订《淮南市“十四五”大气污染防治规划（2021-2025年）》，围绕工业大气污染治理、扬（烟）尘污染防治等开展专项治理活动，进一步削减大气污染物排放。</w:t>
            </w:r>
          </w:p>
          <w:p w14:paraId="4D3B1A7D">
            <w:pPr>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（2）地表水环境现状</w:t>
            </w:r>
          </w:p>
          <w:p w14:paraId="7EE2A94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firstLine="64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依据淮南市生态环境局发布的《2023年淮南市环境质量状况公报》中的结论，水环境质量状况如下：</w:t>
            </w:r>
          </w:p>
          <w:p w14:paraId="51D9F56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firstLine="64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2023年，全市地表水24个监测断面中优良水质比例为95.8%，比上年提升了16.6个百分点，Ⅳ类水质比例4.2%，总体水质状况优。</w:t>
            </w:r>
          </w:p>
          <w:p w14:paraId="640C83D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firstLine="64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全市8个国控断面中优良水质比例为87.5%，Ⅳ类水质比例12.5%，总体水质状况良好；11个省控断面中优良水质比例为100%，总体水质状况优。</w:t>
            </w:r>
          </w:p>
          <w:p w14:paraId="7512D7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河流：全市辖区内淮河干流水质状况为优，西淝河水质状况为优，东淝河、永幸河、架河、泥河、瓦西干渠、陡涧河、万小河、便民沟和丁家沟水质状况为良好。20个监测断面中优良水质比例为100%，比上年提升了15个百分点。其中新城口、西淝河闸下断面水质均有所好转（Ⅲ类→Ⅱ类），泥河入河口、便民沟焦岗闸、丁家沟河口和安丰塘水质均有所好转（Ⅳ类→Ⅲ类），其他断面水质保持稳定。</w:t>
            </w:r>
          </w:p>
          <w:p w14:paraId="71918B16">
            <w:pPr>
              <w:pStyle w:val="24"/>
              <w:adjustRightInd w:val="0"/>
              <w:snapToGrid w:val="0"/>
              <w:spacing w:line="360" w:lineRule="auto"/>
              <w:ind w:firstLine="48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项目所在区域地表水体为泥河，泥河水质状况为良好。</w:t>
            </w:r>
          </w:p>
          <w:p w14:paraId="3667EA9E">
            <w:pPr>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（3）声环境质量现状</w:t>
            </w:r>
          </w:p>
          <w:p w14:paraId="29B30C9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根据现场踏勘，项目</w:t>
            </w:r>
            <w:r>
              <w:rPr>
                <w:rFonts w:hint="eastAsia" w:ascii="Times New Roman" w:hAnsi="Times New Roman" w:eastAsia="宋体" w:cs="Times New Roman"/>
                <w:color w:val="auto"/>
                <w:sz w:val="24"/>
                <w:szCs w:val="24"/>
                <w:lang w:val="en-US" w:eastAsia="zh-CN"/>
              </w:rPr>
              <w:t>施工场地</w:t>
            </w:r>
            <w:r>
              <w:rPr>
                <w:rFonts w:ascii="Times New Roman" w:hAnsi="Times New Roman" w:eastAsia="宋体" w:cs="Times New Roman"/>
                <w:color w:val="auto"/>
                <w:sz w:val="24"/>
                <w:szCs w:val="24"/>
              </w:rPr>
              <w:t>厂界外50米范围内</w:t>
            </w:r>
            <w:r>
              <w:rPr>
                <w:rFonts w:hint="eastAsia" w:ascii="Times New Roman" w:hAnsi="Times New Roman" w:eastAsia="宋体" w:cs="Times New Roman"/>
                <w:color w:val="auto"/>
                <w:sz w:val="24"/>
                <w:szCs w:val="24"/>
                <w:lang w:eastAsia="zh-CN"/>
              </w:rPr>
              <w:t>均</w:t>
            </w:r>
            <w:r>
              <w:rPr>
                <w:rFonts w:hint="eastAsia" w:ascii="Times New Roman" w:hAnsi="Times New Roman" w:eastAsia="宋体" w:cs="Times New Roman"/>
                <w:color w:val="auto"/>
                <w:sz w:val="24"/>
                <w:szCs w:val="24"/>
              </w:rPr>
              <w:t>存在</w:t>
            </w:r>
            <w:r>
              <w:rPr>
                <w:rFonts w:ascii="Times New Roman" w:hAnsi="Times New Roman" w:eastAsia="宋体" w:cs="Times New Roman"/>
                <w:color w:val="auto"/>
                <w:sz w:val="24"/>
                <w:szCs w:val="24"/>
              </w:rPr>
              <w:t>声环境保护目标。</w:t>
            </w:r>
            <w:r>
              <w:rPr>
                <w:rFonts w:hint="eastAsia" w:ascii="Times New Roman" w:hAnsi="Times New Roman" w:eastAsia="宋体" w:cs="Times New Roman"/>
                <w:color w:val="auto"/>
                <w:sz w:val="24"/>
                <w:szCs w:val="24"/>
              </w:rPr>
              <w:t>本</w:t>
            </w:r>
            <w:r>
              <w:rPr>
                <w:rFonts w:hint="eastAsia" w:ascii="Times New Roman" w:hAnsi="Times New Roman" w:eastAsia="宋体" w:cs="Times New Roman"/>
                <w:color w:val="auto"/>
                <w:sz w:val="24"/>
                <w:szCs w:val="24"/>
                <w:lang w:eastAsia="zh-CN"/>
              </w:rPr>
              <w:t>次</w:t>
            </w:r>
            <w:r>
              <w:rPr>
                <w:rFonts w:hint="eastAsia" w:ascii="Times New Roman" w:hAnsi="Times New Roman" w:eastAsia="宋体" w:cs="Times New Roman"/>
                <w:color w:val="auto"/>
                <w:sz w:val="24"/>
                <w:szCs w:val="24"/>
              </w:rPr>
              <w:t>委托</w:t>
            </w:r>
            <w:r>
              <w:rPr>
                <w:rFonts w:hint="eastAsia" w:cs="Times New Roman"/>
                <w:color w:val="auto"/>
                <w:sz w:val="24"/>
                <w:szCs w:val="24"/>
                <w:lang w:eastAsia="zh-CN"/>
              </w:rPr>
              <w:t>安徽恩测环境检测有限公司对</w:t>
            </w:r>
            <w:r>
              <w:rPr>
                <w:rFonts w:hint="eastAsia" w:ascii="Times New Roman" w:hAnsi="Times New Roman" w:eastAsia="宋体" w:cs="Times New Roman"/>
                <w:color w:val="auto"/>
                <w:sz w:val="24"/>
                <w:szCs w:val="24"/>
              </w:rPr>
              <w:t>声环境质量进行现状监测，监测时间为202</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年</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14-15</w:t>
            </w:r>
            <w:r>
              <w:rPr>
                <w:rFonts w:hint="eastAsia"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lang w:eastAsia="zh-CN"/>
              </w:rPr>
              <w:t>详细</w:t>
            </w:r>
            <w:r>
              <w:rPr>
                <w:rFonts w:hint="eastAsia" w:ascii="Times New Roman" w:hAnsi="Times New Roman" w:eastAsia="宋体" w:cs="Times New Roman"/>
                <w:color w:val="auto"/>
                <w:sz w:val="24"/>
                <w:szCs w:val="24"/>
              </w:rPr>
              <w:t>监测</w:t>
            </w:r>
            <w:r>
              <w:rPr>
                <w:rFonts w:hint="eastAsia" w:ascii="Times New Roman" w:hAnsi="Times New Roman" w:eastAsia="宋体" w:cs="Times New Roman"/>
                <w:color w:val="auto"/>
                <w:sz w:val="24"/>
                <w:szCs w:val="24"/>
                <w:lang w:eastAsia="zh-CN"/>
              </w:rPr>
              <w:t>情况见下表</w:t>
            </w:r>
            <w:r>
              <w:rPr>
                <w:rFonts w:hint="eastAsia" w:ascii="Times New Roman" w:hAnsi="Times New Roman" w:eastAsia="宋体" w:cs="Times New Roman"/>
                <w:color w:val="auto"/>
                <w:sz w:val="24"/>
                <w:szCs w:val="24"/>
              </w:rPr>
              <w:t>：</w:t>
            </w:r>
          </w:p>
          <w:p w14:paraId="15E9929A">
            <w:pPr>
              <w:pStyle w:val="95"/>
              <w:numPr>
                <w:ilvl w:val="1"/>
                <w:numId w:val="2"/>
              </w:numPr>
              <w:tabs>
                <w:tab w:val="left" w:pos="2100"/>
                <w:tab w:val="clear" w:pos="1440"/>
              </w:tabs>
              <w:spacing w:line="240" w:lineRule="auto"/>
              <w:ind w:left="3300" w:leftChars="0" w:hanging="1200" w:firstLineChars="0"/>
              <w:jc w:val="both"/>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声</w:t>
            </w:r>
            <w:r>
              <w:rPr>
                <w:rFonts w:hint="default" w:ascii="Times New Roman" w:hAnsi="Times New Roman" w:eastAsia="宋体" w:cs="Times New Roman"/>
                <w:color w:val="auto"/>
                <w:sz w:val="24"/>
                <w:szCs w:val="24"/>
              </w:rPr>
              <w:t>环境质量监测结果</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33"/>
              <w:gridCol w:w="2441"/>
              <w:gridCol w:w="2040"/>
              <w:gridCol w:w="1546"/>
            </w:tblGrid>
            <w:tr w14:paraId="130A3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66" w:type="pct"/>
                  <w:vMerge w:val="restart"/>
                  <w:noWrap w:val="0"/>
                  <w:vAlign w:val="center"/>
                </w:tcPr>
                <w:p w14:paraId="1DE00459">
                  <w:pPr>
                    <w:jc w:val="center"/>
                    <w:rPr>
                      <w:rFonts w:hint="eastAsia" w:ascii="Times New Roman" w:hAnsi="Times New Roman" w:eastAsiaTheme="minorEastAsia"/>
                      <w:b/>
                      <w:color w:val="auto"/>
                      <w:szCs w:val="21"/>
                      <w:lang w:eastAsia="zh-CN"/>
                    </w:rPr>
                  </w:pPr>
                  <w:r>
                    <w:rPr>
                      <w:rFonts w:hint="eastAsia" w:ascii="Times New Roman"/>
                      <w:b/>
                      <w:color w:val="auto"/>
                      <w:szCs w:val="21"/>
                    </w:rPr>
                    <w:t>点位</w:t>
                  </w:r>
                  <w:r>
                    <w:rPr>
                      <w:rFonts w:hint="eastAsia" w:ascii="Times New Roman"/>
                      <w:b/>
                      <w:color w:val="auto"/>
                      <w:szCs w:val="21"/>
                      <w:lang w:eastAsia="zh-CN"/>
                    </w:rPr>
                    <w:t>名称</w:t>
                  </w:r>
                </w:p>
              </w:tc>
              <w:tc>
                <w:tcPr>
                  <w:tcW w:w="1552" w:type="pct"/>
                  <w:vMerge w:val="restart"/>
                  <w:noWrap w:val="0"/>
                  <w:vAlign w:val="center"/>
                </w:tcPr>
                <w:p w14:paraId="5A0B6656">
                  <w:pPr>
                    <w:spacing w:line="360" w:lineRule="exact"/>
                    <w:jc w:val="center"/>
                    <w:textAlignment w:val="center"/>
                    <w:rPr>
                      <w:rFonts w:hint="eastAsia" w:ascii="Times New Roman" w:hAnsi="Times New Roman" w:eastAsiaTheme="minorEastAsia"/>
                      <w:b/>
                      <w:color w:val="auto"/>
                      <w:szCs w:val="21"/>
                      <w:lang w:eastAsia="zh-CN"/>
                    </w:rPr>
                  </w:pPr>
                  <w:r>
                    <w:rPr>
                      <w:rFonts w:hint="eastAsia" w:ascii="Times New Roman" w:hAnsi="Times New Roman"/>
                      <w:b/>
                      <w:color w:val="auto"/>
                      <w:szCs w:val="21"/>
                      <w:lang w:eastAsia="zh-CN"/>
                    </w:rPr>
                    <w:t>监测时间</w:t>
                  </w:r>
                </w:p>
              </w:tc>
              <w:tc>
                <w:tcPr>
                  <w:tcW w:w="2280" w:type="pct"/>
                  <w:gridSpan w:val="2"/>
                  <w:noWrap w:val="0"/>
                  <w:vAlign w:val="center"/>
                </w:tcPr>
                <w:p w14:paraId="39AFFC2B">
                  <w:pPr>
                    <w:spacing w:line="360" w:lineRule="exact"/>
                    <w:jc w:val="center"/>
                    <w:textAlignment w:val="center"/>
                    <w:rPr>
                      <w:rFonts w:hint="eastAsia" w:ascii="Times New Roman" w:hAnsi="Times New Roman" w:eastAsia="宋体"/>
                      <w:b/>
                      <w:color w:val="auto"/>
                      <w:szCs w:val="21"/>
                      <w:lang w:val="en-US" w:eastAsia="zh-CN"/>
                    </w:rPr>
                  </w:pPr>
                  <w:r>
                    <w:rPr>
                      <w:rFonts w:hint="eastAsia" w:ascii="Times New Roman" w:hAnsi="Times New Roman" w:eastAsia="宋体"/>
                      <w:b/>
                      <w:color w:val="auto"/>
                      <w:szCs w:val="21"/>
                      <w:lang w:eastAsia="zh-CN"/>
                    </w:rPr>
                    <w:t>监测结果（</w:t>
                  </w:r>
                  <w:r>
                    <w:rPr>
                      <w:rFonts w:hint="eastAsia" w:ascii="Times New Roman" w:hAnsi="Times New Roman" w:eastAsia="宋体"/>
                      <w:b/>
                      <w:color w:val="auto"/>
                      <w:szCs w:val="21"/>
                      <w:lang w:val="en-US" w:eastAsia="zh-CN"/>
                    </w:rPr>
                    <w:t>dB</w:t>
                  </w:r>
                  <w:r>
                    <w:rPr>
                      <w:rFonts w:hint="eastAsia" w:ascii="Times New Roman" w:hAnsi="Times New Roman" w:eastAsia="宋体"/>
                      <w:b/>
                      <w:color w:val="auto"/>
                      <w:szCs w:val="21"/>
                      <w:lang w:eastAsia="zh-CN"/>
                    </w:rPr>
                    <w:t>）</w:t>
                  </w:r>
                </w:p>
              </w:tc>
            </w:tr>
            <w:tr w14:paraId="7865E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34" w:hRule="atLeast"/>
                <w:jc w:val="center"/>
              </w:trPr>
              <w:tc>
                <w:tcPr>
                  <w:tcW w:w="1166" w:type="pct"/>
                  <w:vMerge w:val="continue"/>
                  <w:noWrap w:val="0"/>
                  <w:vAlign w:val="center"/>
                </w:tcPr>
                <w:p w14:paraId="5353E923">
                  <w:pPr>
                    <w:widowControl/>
                    <w:jc w:val="center"/>
                    <w:rPr>
                      <w:rFonts w:ascii="Times New Roman" w:hAnsi="Times New Roman"/>
                      <w:b/>
                      <w:color w:val="auto"/>
                      <w:szCs w:val="21"/>
                    </w:rPr>
                  </w:pPr>
                </w:p>
              </w:tc>
              <w:tc>
                <w:tcPr>
                  <w:tcW w:w="1552" w:type="pct"/>
                  <w:vMerge w:val="continue"/>
                  <w:noWrap w:val="0"/>
                  <w:vAlign w:val="center"/>
                </w:tcPr>
                <w:p w14:paraId="0ECA9714">
                  <w:pPr>
                    <w:jc w:val="center"/>
                    <w:rPr>
                      <w:rFonts w:hint="eastAsia" w:ascii="Times New Roman" w:hAnsi="Times New Roman"/>
                      <w:b/>
                      <w:color w:val="auto"/>
                      <w:szCs w:val="21"/>
                    </w:rPr>
                  </w:pPr>
                </w:p>
              </w:tc>
              <w:tc>
                <w:tcPr>
                  <w:tcW w:w="1297" w:type="pct"/>
                  <w:noWrap w:val="0"/>
                  <w:vAlign w:val="center"/>
                </w:tcPr>
                <w:p w14:paraId="57585691">
                  <w:pPr>
                    <w:jc w:val="center"/>
                    <w:rPr>
                      <w:rFonts w:ascii="Times New Roman" w:hAnsi="Times New Roman"/>
                      <w:b/>
                      <w:color w:val="auto"/>
                      <w:szCs w:val="21"/>
                    </w:rPr>
                  </w:pPr>
                  <w:r>
                    <w:rPr>
                      <w:rFonts w:hint="eastAsia" w:ascii="Times New Roman" w:hAnsi="Times New Roman"/>
                      <w:b/>
                      <w:color w:val="auto"/>
                      <w:szCs w:val="21"/>
                    </w:rPr>
                    <w:t>昼间</w:t>
                  </w:r>
                </w:p>
              </w:tc>
              <w:tc>
                <w:tcPr>
                  <w:tcW w:w="982" w:type="pct"/>
                  <w:noWrap w:val="0"/>
                  <w:vAlign w:val="center"/>
                </w:tcPr>
                <w:p w14:paraId="0E3FA705">
                  <w:pPr>
                    <w:jc w:val="center"/>
                    <w:rPr>
                      <w:rFonts w:ascii="Times New Roman" w:hAnsi="Times New Roman"/>
                      <w:b/>
                      <w:color w:val="auto"/>
                      <w:szCs w:val="21"/>
                    </w:rPr>
                  </w:pPr>
                  <w:r>
                    <w:rPr>
                      <w:rFonts w:ascii="Times New Roman" w:hAnsi="Times New Roman"/>
                      <w:b/>
                      <w:color w:val="auto"/>
                      <w:szCs w:val="21"/>
                    </w:rPr>
                    <w:t>夜间</w:t>
                  </w:r>
                </w:p>
              </w:tc>
            </w:tr>
            <w:tr w14:paraId="08FC4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pct"/>
                  <w:noWrap w:val="0"/>
                  <w:vAlign w:val="center"/>
                </w:tcPr>
                <w:p w14:paraId="0FD4C899">
                  <w:pPr>
                    <w:jc w:val="center"/>
                    <w:rPr>
                      <w:rFonts w:hint="default" w:eastAsia="宋体"/>
                      <w:color w:val="auto"/>
                      <w:lang w:val="en-US" w:eastAsia="zh-CN"/>
                    </w:rPr>
                  </w:pPr>
                  <w:r>
                    <w:rPr>
                      <w:rFonts w:hint="eastAsia" w:cs="Times New Roman"/>
                      <w:lang w:val="en-US" w:eastAsia="zh-CN"/>
                    </w:rPr>
                    <w:t>泥河镇前圩孜</w:t>
                  </w:r>
                </w:p>
              </w:tc>
              <w:tc>
                <w:tcPr>
                  <w:tcW w:w="1552" w:type="pct"/>
                  <w:noWrap w:val="0"/>
                  <w:vAlign w:val="center"/>
                </w:tcPr>
                <w:p w14:paraId="0638CF6F">
                  <w:pPr>
                    <w:adjustRightInd w:val="0"/>
                    <w:snapToGrid w:val="0"/>
                    <w:spacing w:line="360" w:lineRule="exact"/>
                    <w:jc w:val="center"/>
                    <w:textAlignment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2025.4.14-15</w:t>
                  </w:r>
                </w:p>
              </w:tc>
              <w:tc>
                <w:tcPr>
                  <w:tcW w:w="1297" w:type="pct"/>
                  <w:noWrap w:val="0"/>
                  <w:vAlign w:val="center"/>
                </w:tcPr>
                <w:p w14:paraId="12C28B72">
                  <w:pPr>
                    <w:adjustRightInd w:val="0"/>
                    <w:snapToGrid w:val="0"/>
                    <w:spacing w:line="360" w:lineRule="exact"/>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56</w:t>
                  </w:r>
                </w:p>
              </w:tc>
              <w:tc>
                <w:tcPr>
                  <w:tcW w:w="982" w:type="pct"/>
                  <w:noWrap w:val="0"/>
                  <w:vAlign w:val="center"/>
                </w:tcPr>
                <w:p w14:paraId="1BE700F4">
                  <w:pPr>
                    <w:adjustRightInd w:val="0"/>
                    <w:snapToGrid w:val="0"/>
                    <w:spacing w:line="360" w:lineRule="exact"/>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49</w:t>
                  </w:r>
                </w:p>
              </w:tc>
            </w:tr>
          </w:tbl>
          <w:p w14:paraId="7F39C6EF">
            <w:pPr>
              <w:spacing w:line="360" w:lineRule="auto"/>
              <w:ind w:firstLine="480" w:firstLineChars="200"/>
              <w:rPr>
                <w:rFonts w:hint="eastAsia" w:ascii="Times New Roman" w:hAnsi="Times New Roman" w:eastAsia="宋体" w:cs="Times New Roman"/>
                <w:color w:val="auto"/>
                <w:sz w:val="24"/>
                <w:szCs w:val="24"/>
              </w:rPr>
            </w:pPr>
            <w:r>
              <w:rPr>
                <w:rFonts w:ascii="Times New Roman" w:hAnsi="Times New Roman" w:eastAsia="宋体" w:cs="Times New Roman"/>
                <w:color w:val="auto"/>
                <w:sz w:val="24"/>
                <w:szCs w:val="24"/>
              </w:rPr>
              <w:t>根据监测结果可知</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rPr>
              <w:t>周边敏感点声环境质量现状满足《声环境质量标准》（</w:t>
            </w:r>
            <w:r>
              <w:rPr>
                <w:rFonts w:hint="eastAsia" w:cs="Times New Roman"/>
                <w:color w:val="auto"/>
                <w:sz w:val="24"/>
                <w:szCs w:val="24"/>
                <w:lang w:val="en-US" w:eastAsia="zh-CN"/>
              </w:rPr>
              <w:t>GB</w:t>
            </w:r>
            <w:r>
              <w:rPr>
                <w:rFonts w:hint="eastAsia" w:ascii="Times New Roman" w:hAnsi="Times New Roman" w:eastAsia="宋体" w:cs="Times New Roman"/>
                <w:color w:val="auto"/>
                <w:sz w:val="24"/>
                <w:szCs w:val="24"/>
              </w:rPr>
              <w:t>3096—2008）中2类区标准。</w:t>
            </w:r>
          </w:p>
          <w:p w14:paraId="14518EA7">
            <w:pPr>
              <w:spacing w:line="360" w:lineRule="auto"/>
              <w:rPr>
                <w:rFonts w:hint="eastAsia" w:eastAsia="宋体"/>
                <w:lang w:eastAsia="zh-CN"/>
              </w:rPr>
            </w:pPr>
            <w:r>
              <w:rPr>
                <w:rFonts w:hint="eastAsia" w:eastAsia="宋体"/>
                <w:lang w:eastAsia="zh-CN"/>
              </w:rPr>
              <w:drawing>
                <wp:inline distT="0" distB="0" distL="114300" distR="114300">
                  <wp:extent cx="4977130" cy="5317490"/>
                  <wp:effectExtent l="0" t="0" r="13970" b="16510"/>
                  <wp:docPr id="11" name="图片 11" descr="567a829782466808aa8558f1e8a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67a829782466808aa8558f1e8a0734"/>
                          <pic:cNvPicPr>
                            <a:picLocks noChangeAspect="1"/>
                          </pic:cNvPicPr>
                        </pic:nvPicPr>
                        <pic:blipFill>
                          <a:blip r:embed="rId25"/>
                          <a:stretch>
                            <a:fillRect/>
                          </a:stretch>
                        </pic:blipFill>
                        <pic:spPr>
                          <a:xfrm>
                            <a:off x="0" y="0"/>
                            <a:ext cx="4977130" cy="5317490"/>
                          </a:xfrm>
                          <a:prstGeom prst="rect">
                            <a:avLst/>
                          </a:prstGeom>
                        </pic:spPr>
                      </pic:pic>
                    </a:graphicData>
                  </a:graphic>
                </wp:inline>
              </w:drawing>
            </w:r>
          </w:p>
          <w:p w14:paraId="1EA2FD87">
            <w:pPr>
              <w:numPr>
                <w:ilvl w:val="0"/>
                <w:numId w:val="3"/>
              </w:numPr>
              <w:spacing w:line="360" w:lineRule="auto"/>
              <w:ind w:left="0" w:leftChars="0" w:firstLine="560" w:firstLineChars="0"/>
              <w:jc w:val="center"/>
              <w:rPr>
                <w:rFonts w:hint="default" w:eastAsia="宋体"/>
                <w:lang w:val="en-US" w:eastAsia="zh-CN"/>
              </w:rPr>
            </w:pPr>
            <w:r>
              <w:rPr>
                <w:rFonts w:hint="eastAsia" w:eastAsia="宋体"/>
                <w:lang w:val="en-US" w:eastAsia="zh-CN"/>
              </w:rPr>
              <w:t xml:space="preserve">   </w:t>
            </w:r>
            <w:r>
              <w:rPr>
                <w:rFonts w:hint="eastAsia" w:cs="Times New Roman"/>
                <w:color w:val="auto"/>
                <w:sz w:val="24"/>
                <w:szCs w:val="24"/>
                <w:lang w:val="en-US" w:eastAsia="zh-CN"/>
              </w:rPr>
              <w:t xml:space="preserve"> 环境质量现状监测点位图</w:t>
            </w:r>
          </w:p>
        </w:tc>
      </w:tr>
      <w:tr w14:paraId="4353C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292" w:type="pct"/>
            <w:vAlign w:val="center"/>
          </w:tcPr>
          <w:p w14:paraId="75DA97D1">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bCs/>
                <w:color w:val="auto"/>
                <w:sz w:val="24"/>
                <w:szCs w:val="24"/>
              </w:rPr>
              <w:t>与项目有关的原有环境污染和生态破坏问题</w:t>
            </w:r>
          </w:p>
        </w:tc>
        <w:tc>
          <w:tcPr>
            <w:tcW w:w="4707" w:type="pct"/>
            <w:vAlign w:val="center"/>
          </w:tcPr>
          <w:p w14:paraId="71E98A32">
            <w:pPr>
              <w:widowControl/>
              <w:shd w:val="clear" w:color="auto" w:fill="FFFFFF"/>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highlight w:val="none"/>
              </w:rPr>
              <w:t>本项目为新建项目</w:t>
            </w:r>
            <w:r>
              <w:rPr>
                <w:rFonts w:hint="eastAsia" w:ascii="Times New Roman" w:hAnsi="Times New Roman" w:eastAsia="宋体" w:cs="Times New Roman"/>
                <w:color w:val="auto"/>
                <w:kern w:val="0"/>
                <w:sz w:val="24"/>
                <w:szCs w:val="24"/>
                <w:highlight w:val="none"/>
                <w:lang w:eastAsia="zh-CN"/>
              </w:rPr>
              <w:t>，现状为农田，无原有环境污染问题</w:t>
            </w:r>
            <w:r>
              <w:rPr>
                <w:rFonts w:hint="default" w:ascii="Times New Roman" w:hAnsi="Times New Roman" w:eastAsia="宋体" w:cs="Times New Roman"/>
                <w:color w:val="auto"/>
                <w:kern w:val="0"/>
                <w:sz w:val="24"/>
                <w:szCs w:val="24"/>
                <w:highlight w:val="none"/>
              </w:rPr>
              <w:t>。</w:t>
            </w:r>
          </w:p>
        </w:tc>
      </w:tr>
      <w:tr w14:paraId="70DF24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292" w:type="pct"/>
            <w:vAlign w:val="center"/>
          </w:tcPr>
          <w:p w14:paraId="1C1E3545">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生态环境保护目标</w:t>
            </w:r>
          </w:p>
        </w:tc>
        <w:tc>
          <w:tcPr>
            <w:tcW w:w="4707" w:type="pct"/>
            <w:vAlign w:val="center"/>
          </w:tcPr>
          <w:p w14:paraId="1789F44F">
            <w:pPr>
              <w:tabs>
                <w:tab w:val="left" w:pos="0"/>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1、生态环境</w:t>
            </w:r>
          </w:p>
          <w:p w14:paraId="0AE64D27">
            <w:pPr>
              <w:tabs>
                <w:tab w:val="left" w:pos="0"/>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 生态影响》（HJ19-2022），本项目不涉及国家公园、自然保护区、自然公园等自然保护地、世界自然遗产、生态保护红线等区域，以及重要物种的重要生境等生态敏感区，项目占地</w:t>
            </w:r>
            <w:r>
              <w:rPr>
                <w:rFonts w:hint="eastAsia" w:ascii="Times New Roman" w:hAnsi="Times New Roman" w:eastAsia="宋体" w:cs="Times New Roman"/>
                <w:color w:val="auto"/>
                <w:sz w:val="24"/>
                <w:szCs w:val="24"/>
                <w:highlight w:val="none"/>
                <w:lang w:eastAsia="zh-CN"/>
              </w:rPr>
              <w:t>全部为</w:t>
            </w:r>
            <w:r>
              <w:rPr>
                <w:rFonts w:hint="default" w:ascii="Times New Roman" w:hAnsi="Times New Roman" w:eastAsia="宋体" w:cs="Times New Roman"/>
                <w:color w:val="auto"/>
                <w:sz w:val="24"/>
                <w:szCs w:val="24"/>
                <w:highlight w:val="none"/>
              </w:rPr>
              <w:t>临时占地，</w:t>
            </w:r>
            <w:r>
              <w:rPr>
                <w:rFonts w:hint="eastAsia" w:ascii="Times New Roman" w:hAnsi="Times New Roman" w:eastAsia="宋体" w:cs="Times New Roman"/>
                <w:color w:val="auto"/>
                <w:sz w:val="24"/>
                <w:szCs w:val="24"/>
                <w:highlight w:val="none"/>
                <w:lang w:eastAsia="zh-CN"/>
              </w:rPr>
              <w:t>占地面积</w:t>
            </w:r>
            <w:r>
              <w:rPr>
                <w:rFonts w:hint="default" w:ascii="Times New Roman" w:hAnsi="Times New Roman" w:eastAsia="宋体" w:cs="Times New Roman"/>
                <w:color w:val="auto"/>
                <w:sz w:val="24"/>
                <w:szCs w:val="24"/>
                <w:highlight w:val="none"/>
              </w:rPr>
              <w:t>远小于20km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。因此评价范围为井场</w:t>
            </w:r>
            <w:r>
              <w:rPr>
                <w:rFonts w:hint="eastAsia" w:ascii="Times New Roman" w:hAnsi="Times New Roman" w:eastAsia="宋体" w:cs="Times New Roman"/>
                <w:color w:val="auto"/>
                <w:sz w:val="24"/>
                <w:szCs w:val="24"/>
                <w:highlight w:val="none"/>
                <w:lang w:eastAsia="zh-CN"/>
              </w:rPr>
              <w:t>施工厂界</w:t>
            </w:r>
            <w:r>
              <w:rPr>
                <w:rFonts w:hint="default" w:ascii="Times New Roman" w:hAnsi="Times New Roman" w:eastAsia="宋体" w:cs="Times New Roman"/>
                <w:color w:val="auto"/>
                <w:sz w:val="24"/>
                <w:szCs w:val="24"/>
                <w:highlight w:val="none"/>
              </w:rPr>
              <w:t>周边500m范围内的区域</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输气管线两侧外延300米的区域。</w:t>
            </w:r>
          </w:p>
          <w:p w14:paraId="0F6B85A1">
            <w:pPr>
              <w:tabs>
                <w:tab w:val="left" w:pos="0"/>
              </w:tabs>
              <w:spacing w:line="360" w:lineRule="auto"/>
              <w:ind w:firstLine="480" w:firstLineChars="200"/>
              <w:rPr>
                <w:rFonts w:hint="eastAsia"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rPr>
              <w:t>根据现状调查，本项目评价区范围内未见</w:t>
            </w:r>
            <w:r>
              <w:rPr>
                <w:rFonts w:hint="eastAsia" w:ascii="Times New Roman" w:hAnsi="Times New Roman" w:eastAsia="宋体" w:cs="Times New Roman"/>
                <w:bCs/>
                <w:color w:val="auto"/>
                <w:sz w:val="24"/>
                <w:lang w:val="en-US" w:eastAsia="zh-CN"/>
              </w:rPr>
              <w:t>依据法律法规、政策等规范性文件划定或确认的国家公园、自然保护区、自然公园等自然保护地、世界自然遗产、生态保护红线等区域，未见重要物种的天然集中分布区、栖息地，重要水生生物的产卵场、索饵场、越冬场和洄游通道，迁徙鸟类的重要繁殖地、停歇地、越冬地以及野生动物迁徙通道等及其他需要保护的物种、种群、生物群落及生态空间</w:t>
            </w:r>
            <w:r>
              <w:rPr>
                <w:rFonts w:hint="eastAsia" w:ascii="Times New Roman" w:hAnsi="Times New Roman" w:eastAsia="宋体" w:cs="Times New Roman"/>
                <w:bCs/>
                <w:color w:val="auto"/>
                <w:sz w:val="24"/>
                <w:lang w:eastAsia="zh-CN"/>
              </w:rPr>
              <w:t>等生态环境保护目标。</w:t>
            </w:r>
          </w:p>
          <w:p w14:paraId="1C5D541D">
            <w:pPr>
              <w:keepNext w:val="0"/>
              <w:keepLines w:val="0"/>
              <w:widowControl/>
              <w:suppressLineNumbers w:val="0"/>
              <w:spacing w:line="360" w:lineRule="auto"/>
              <w:ind w:firstLine="480" w:firstLineChars="200"/>
              <w:jc w:val="left"/>
              <w:rPr>
                <w:rFonts w:hint="eastAsia" w:ascii="Times New Roman" w:hAnsi="Times New Roman" w:eastAsia="宋体" w:cs="Times New Roman"/>
                <w:b w:val="0"/>
                <w:bCs w:val="0"/>
                <w:color w:val="auto"/>
                <w:sz w:val="24"/>
                <w:szCs w:val="24"/>
                <w:lang w:val="en-US" w:eastAsia="zh-CN"/>
              </w:rPr>
            </w:pPr>
            <w:r>
              <w:rPr>
                <w:rFonts w:hint="eastAsia" w:ascii="宋体" w:hAnsi="宋体" w:cs="宋体"/>
                <w:color w:val="auto"/>
                <w:kern w:val="0"/>
                <w:sz w:val="24"/>
                <w:szCs w:val="24"/>
                <w:lang w:val="en-US" w:eastAsia="zh-CN" w:bidi="ar"/>
              </w:rPr>
              <w:t>项目周边其他环境保护目标见下表及附图。</w:t>
            </w:r>
          </w:p>
          <w:p w14:paraId="79AC555B">
            <w:pPr>
              <w:pStyle w:val="95"/>
              <w:numPr>
                <w:ilvl w:val="1"/>
                <w:numId w:val="2"/>
              </w:numPr>
              <w:tabs>
                <w:tab w:val="left" w:pos="2100"/>
                <w:tab w:val="clear" w:pos="1440"/>
              </w:tabs>
              <w:spacing w:line="240" w:lineRule="auto"/>
              <w:ind w:left="3360" w:leftChars="0" w:hanging="224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项目周边</w:t>
            </w:r>
            <w:r>
              <w:rPr>
                <w:rFonts w:hint="eastAsia" w:ascii="宋体" w:hAnsi="宋体" w:cs="宋体"/>
                <w:color w:val="auto"/>
                <w:kern w:val="0"/>
                <w:sz w:val="24"/>
                <w:szCs w:val="24"/>
                <w:lang w:val="en-US" w:eastAsia="zh-CN" w:bidi="ar"/>
              </w:rPr>
              <w:t>其他</w:t>
            </w:r>
            <w:r>
              <w:rPr>
                <w:rFonts w:hint="default" w:ascii="Times New Roman" w:hAnsi="Times New Roman" w:eastAsia="宋体" w:cs="Times New Roman"/>
                <w:color w:val="auto"/>
                <w:sz w:val="24"/>
                <w:szCs w:val="24"/>
              </w:rPr>
              <w:t>环境保护目标一览表</w:t>
            </w:r>
          </w:p>
          <w:tbl>
            <w:tblPr>
              <w:tblStyle w:val="26"/>
              <w:tblW w:w="5000" w:type="pct"/>
              <w:tblInd w:w="0" w:type="dxa"/>
              <w:tblBorders>
                <w:top w:val="single" w:color="000000" w:sz="4" w:space="0"/>
                <w:left w:val="single" w:color="000000" w:sz="4" w:space="0"/>
                <w:bottom w:val="single" w:color="auto" w:sz="4" w:space="0"/>
                <w:right w:val="single" w:color="000000"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421"/>
              <w:gridCol w:w="421"/>
              <w:gridCol w:w="1485"/>
              <w:gridCol w:w="1391"/>
              <w:gridCol w:w="421"/>
              <w:gridCol w:w="421"/>
              <w:gridCol w:w="1793"/>
              <w:gridCol w:w="556"/>
              <w:gridCol w:w="523"/>
            </w:tblGrid>
            <w:tr w14:paraId="7161E422">
              <w:tblPrEx>
                <w:tblBorders>
                  <w:top w:val="single" w:color="000000" w:sz="4" w:space="0"/>
                  <w:left w:val="single" w:color="000000"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55" w:type="pct"/>
                  <w:vMerge w:val="restart"/>
                  <w:noWrap w:val="0"/>
                  <w:vAlign w:val="center"/>
                </w:tcPr>
                <w:p w14:paraId="188602D9">
                  <w:pPr>
                    <w:jc w:val="center"/>
                    <w:rPr>
                      <w:rFonts w:ascii="Times New Roman" w:hAnsi="Times New Roman" w:eastAsia="宋体" w:cs="Times New Roman"/>
                      <w:b/>
                      <w:snapToGrid w:val="0"/>
                      <w:color w:val="auto"/>
                      <w:szCs w:val="21"/>
                      <w:highlight w:val="none"/>
                    </w:rPr>
                  </w:pPr>
                  <w:r>
                    <w:rPr>
                      <w:rFonts w:ascii="Times New Roman" w:hAnsi="宋体" w:eastAsia="宋体" w:cs="Times New Roman"/>
                      <w:b/>
                      <w:snapToGrid w:val="0"/>
                      <w:color w:val="auto"/>
                      <w:szCs w:val="21"/>
                      <w:highlight w:val="none"/>
                    </w:rPr>
                    <w:t>环境要素</w:t>
                  </w:r>
                </w:p>
              </w:tc>
              <w:tc>
                <w:tcPr>
                  <w:tcW w:w="255" w:type="pct"/>
                  <w:vMerge w:val="restart"/>
                  <w:noWrap w:val="0"/>
                  <w:vAlign w:val="center"/>
                </w:tcPr>
                <w:p w14:paraId="494DDC8A">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序号</w:t>
                  </w:r>
                </w:p>
              </w:tc>
              <w:tc>
                <w:tcPr>
                  <w:tcW w:w="591" w:type="pct"/>
                  <w:vMerge w:val="restart"/>
                  <w:noWrap w:val="0"/>
                  <w:vAlign w:val="center"/>
                </w:tcPr>
                <w:p w14:paraId="630A7E0A">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名称</w:t>
                  </w:r>
                </w:p>
              </w:tc>
              <w:tc>
                <w:tcPr>
                  <w:tcW w:w="1630" w:type="pct"/>
                  <w:gridSpan w:val="2"/>
                  <w:noWrap w:val="0"/>
                  <w:vAlign w:val="center"/>
                </w:tcPr>
                <w:p w14:paraId="2E2B8644">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坐标</w:t>
                  </w:r>
                </w:p>
              </w:tc>
              <w:tc>
                <w:tcPr>
                  <w:tcW w:w="448" w:type="pct"/>
                  <w:vMerge w:val="restart"/>
                  <w:noWrap w:val="0"/>
                  <w:vAlign w:val="center"/>
                </w:tcPr>
                <w:p w14:paraId="2D82E924">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保护对象</w:t>
                  </w:r>
                </w:p>
              </w:tc>
              <w:tc>
                <w:tcPr>
                  <w:tcW w:w="423" w:type="pct"/>
                  <w:vMerge w:val="restart"/>
                  <w:noWrap w:val="0"/>
                  <w:vAlign w:val="center"/>
                </w:tcPr>
                <w:p w14:paraId="6B4F4F10">
                  <w:pPr>
                    <w:jc w:val="center"/>
                    <w:rPr>
                      <w:rFonts w:hint="eastAsia" w:ascii="Times New Roman" w:hAnsi="Times New Roman" w:eastAsia="宋体" w:cs="Times New Roman"/>
                      <w:b/>
                      <w:snapToGrid w:val="0"/>
                      <w:color w:val="auto"/>
                      <w:szCs w:val="21"/>
                      <w:highlight w:val="none"/>
                      <w:lang w:val="en-US" w:eastAsia="zh-CN"/>
                    </w:rPr>
                  </w:pPr>
                  <w:r>
                    <w:rPr>
                      <w:rFonts w:ascii="Times New Roman" w:hAnsi="Times New Roman" w:eastAsia="宋体" w:cs="Times New Roman"/>
                      <w:b/>
                      <w:snapToGrid w:val="0"/>
                      <w:color w:val="auto"/>
                      <w:szCs w:val="21"/>
                      <w:highlight w:val="none"/>
                    </w:rPr>
                    <w:t>保护</w:t>
                  </w:r>
                  <w:r>
                    <w:rPr>
                      <w:rFonts w:hint="eastAsia" w:ascii="Times New Roman" w:hAnsi="Times New Roman" w:eastAsia="宋体" w:cs="Times New Roman"/>
                      <w:b/>
                      <w:snapToGrid w:val="0"/>
                      <w:color w:val="auto"/>
                      <w:szCs w:val="21"/>
                      <w:highlight w:val="none"/>
                      <w:lang w:eastAsia="zh-CN"/>
                    </w:rPr>
                    <w:t>规模</w:t>
                  </w:r>
                </w:p>
              </w:tc>
              <w:tc>
                <w:tcPr>
                  <w:tcW w:w="596" w:type="pct"/>
                  <w:vMerge w:val="restart"/>
                  <w:noWrap w:val="0"/>
                  <w:vAlign w:val="center"/>
                </w:tcPr>
                <w:p w14:paraId="6C1A055B">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环境功能区</w:t>
                  </w:r>
                </w:p>
              </w:tc>
              <w:tc>
                <w:tcPr>
                  <w:tcW w:w="314" w:type="pct"/>
                  <w:vMerge w:val="restart"/>
                  <w:noWrap w:val="0"/>
                  <w:vAlign w:val="center"/>
                </w:tcPr>
                <w:p w14:paraId="6AF8664B">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相对方位</w:t>
                  </w:r>
                </w:p>
              </w:tc>
              <w:tc>
                <w:tcPr>
                  <w:tcW w:w="482" w:type="pct"/>
                  <w:vMerge w:val="restart"/>
                  <w:noWrap w:val="0"/>
                  <w:vAlign w:val="center"/>
                </w:tcPr>
                <w:p w14:paraId="7499CC54">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相对井场最近距离</w:t>
                  </w:r>
                  <w:r>
                    <w:rPr>
                      <w:rFonts w:hint="eastAsia" w:ascii="Times New Roman" w:hAnsi="Times New Roman" w:eastAsia="宋体" w:cs="Times New Roman"/>
                      <w:b/>
                      <w:snapToGrid w:val="0"/>
                      <w:color w:val="auto"/>
                      <w:szCs w:val="21"/>
                      <w:highlight w:val="none"/>
                    </w:rPr>
                    <w:t>/m</w:t>
                  </w:r>
                </w:p>
              </w:tc>
            </w:tr>
            <w:tr w14:paraId="718E1C17">
              <w:tblPrEx>
                <w:tblBorders>
                  <w:top w:val="single" w:color="000000" w:sz="4" w:space="0"/>
                  <w:left w:val="single" w:color="000000"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55" w:type="pct"/>
                  <w:vMerge w:val="continue"/>
                  <w:noWrap w:val="0"/>
                  <w:vAlign w:val="center"/>
                </w:tcPr>
                <w:p w14:paraId="0FB04EB5">
                  <w:pPr>
                    <w:jc w:val="center"/>
                    <w:rPr>
                      <w:rFonts w:ascii="Times New Roman" w:hAnsi="宋体" w:eastAsia="宋体" w:cs="Times New Roman"/>
                      <w:snapToGrid w:val="0"/>
                      <w:color w:val="auto"/>
                      <w:szCs w:val="21"/>
                      <w:highlight w:val="none"/>
                    </w:rPr>
                  </w:pPr>
                </w:p>
              </w:tc>
              <w:tc>
                <w:tcPr>
                  <w:tcW w:w="255" w:type="pct"/>
                  <w:vMerge w:val="continue"/>
                  <w:noWrap w:val="0"/>
                  <w:vAlign w:val="center"/>
                </w:tcPr>
                <w:p w14:paraId="3C93FC11">
                  <w:pPr>
                    <w:jc w:val="center"/>
                    <w:rPr>
                      <w:rFonts w:ascii="Times New Roman" w:hAnsi="Times New Roman" w:eastAsia="宋体" w:cs="Times New Roman"/>
                      <w:snapToGrid w:val="0"/>
                      <w:color w:val="auto"/>
                      <w:szCs w:val="21"/>
                      <w:highlight w:val="none"/>
                    </w:rPr>
                  </w:pPr>
                </w:p>
              </w:tc>
              <w:tc>
                <w:tcPr>
                  <w:tcW w:w="591" w:type="pct"/>
                  <w:vMerge w:val="continue"/>
                  <w:noWrap w:val="0"/>
                  <w:vAlign w:val="center"/>
                </w:tcPr>
                <w:p w14:paraId="41DFE0C1">
                  <w:pPr>
                    <w:jc w:val="center"/>
                    <w:rPr>
                      <w:rFonts w:ascii="Times New Roman" w:hAnsi="Times New Roman" w:eastAsia="宋体" w:cs="Times New Roman"/>
                      <w:snapToGrid w:val="0"/>
                      <w:color w:val="auto"/>
                      <w:szCs w:val="21"/>
                      <w:highlight w:val="none"/>
                    </w:rPr>
                  </w:pPr>
                </w:p>
              </w:tc>
              <w:tc>
                <w:tcPr>
                  <w:tcW w:w="905" w:type="pct"/>
                  <w:noWrap w:val="0"/>
                  <w:vAlign w:val="center"/>
                </w:tcPr>
                <w:p w14:paraId="22C4CAD3">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经度</w:t>
                  </w:r>
                </w:p>
              </w:tc>
              <w:tc>
                <w:tcPr>
                  <w:tcW w:w="725" w:type="pct"/>
                  <w:noWrap w:val="0"/>
                  <w:vAlign w:val="center"/>
                </w:tcPr>
                <w:p w14:paraId="14ABC974">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纬度</w:t>
                  </w:r>
                </w:p>
              </w:tc>
              <w:tc>
                <w:tcPr>
                  <w:tcW w:w="448" w:type="pct"/>
                  <w:vMerge w:val="continue"/>
                  <w:noWrap w:val="0"/>
                  <w:vAlign w:val="center"/>
                </w:tcPr>
                <w:p w14:paraId="5303F648">
                  <w:pPr>
                    <w:jc w:val="center"/>
                    <w:rPr>
                      <w:rFonts w:ascii="Times New Roman" w:hAnsi="Times New Roman" w:eastAsia="宋体" w:cs="Times New Roman"/>
                      <w:snapToGrid w:val="0"/>
                      <w:color w:val="auto"/>
                      <w:szCs w:val="21"/>
                      <w:highlight w:val="none"/>
                    </w:rPr>
                  </w:pPr>
                </w:p>
              </w:tc>
              <w:tc>
                <w:tcPr>
                  <w:tcW w:w="423" w:type="pct"/>
                  <w:vMerge w:val="continue"/>
                  <w:noWrap w:val="0"/>
                  <w:vAlign w:val="center"/>
                </w:tcPr>
                <w:p w14:paraId="0F8299C6">
                  <w:pPr>
                    <w:jc w:val="center"/>
                    <w:rPr>
                      <w:rFonts w:ascii="Times New Roman" w:hAnsi="Times New Roman" w:eastAsia="宋体" w:cs="Times New Roman"/>
                      <w:snapToGrid w:val="0"/>
                      <w:color w:val="auto"/>
                      <w:szCs w:val="21"/>
                      <w:highlight w:val="none"/>
                    </w:rPr>
                  </w:pPr>
                </w:p>
              </w:tc>
              <w:tc>
                <w:tcPr>
                  <w:tcW w:w="596" w:type="pct"/>
                  <w:vMerge w:val="continue"/>
                  <w:noWrap w:val="0"/>
                  <w:vAlign w:val="center"/>
                </w:tcPr>
                <w:p w14:paraId="1F407622">
                  <w:pPr>
                    <w:jc w:val="center"/>
                    <w:rPr>
                      <w:rFonts w:ascii="Times New Roman" w:hAnsi="Times New Roman" w:eastAsia="宋体" w:cs="Times New Roman"/>
                      <w:snapToGrid w:val="0"/>
                      <w:color w:val="auto"/>
                      <w:szCs w:val="21"/>
                      <w:highlight w:val="none"/>
                    </w:rPr>
                  </w:pPr>
                </w:p>
              </w:tc>
              <w:tc>
                <w:tcPr>
                  <w:tcW w:w="314" w:type="pct"/>
                  <w:vMerge w:val="continue"/>
                  <w:noWrap w:val="0"/>
                  <w:vAlign w:val="center"/>
                </w:tcPr>
                <w:p w14:paraId="7D6C2AC9">
                  <w:pPr>
                    <w:jc w:val="center"/>
                    <w:rPr>
                      <w:rFonts w:ascii="Times New Roman" w:hAnsi="Times New Roman" w:eastAsia="宋体" w:cs="Times New Roman"/>
                      <w:snapToGrid w:val="0"/>
                      <w:color w:val="auto"/>
                      <w:szCs w:val="21"/>
                      <w:highlight w:val="none"/>
                    </w:rPr>
                  </w:pPr>
                </w:p>
              </w:tc>
              <w:tc>
                <w:tcPr>
                  <w:tcW w:w="482" w:type="pct"/>
                  <w:vMerge w:val="continue"/>
                  <w:noWrap w:val="0"/>
                  <w:vAlign w:val="center"/>
                </w:tcPr>
                <w:p w14:paraId="74A2525F">
                  <w:pPr>
                    <w:jc w:val="center"/>
                    <w:rPr>
                      <w:rFonts w:ascii="Times New Roman" w:hAnsi="Times New Roman" w:eastAsia="宋体" w:cs="Times New Roman"/>
                      <w:snapToGrid w:val="0"/>
                      <w:color w:val="auto"/>
                      <w:szCs w:val="21"/>
                      <w:highlight w:val="none"/>
                    </w:rPr>
                  </w:pPr>
                </w:p>
              </w:tc>
            </w:tr>
            <w:tr w14:paraId="2DB9BCD6">
              <w:tblPrEx>
                <w:tblBorders>
                  <w:top w:val="single" w:color="000000" w:sz="4" w:space="0"/>
                  <w:left w:val="single" w:color="000000"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c>
                <w:tcPr>
                  <w:tcW w:w="255" w:type="pct"/>
                  <w:vMerge w:val="restart"/>
                  <w:noWrap w:val="0"/>
                  <w:vAlign w:val="center"/>
                </w:tcPr>
                <w:p w14:paraId="2435C0D6">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环境空气</w:t>
                  </w:r>
                </w:p>
              </w:tc>
              <w:tc>
                <w:tcPr>
                  <w:tcW w:w="255" w:type="pct"/>
                  <w:noWrap w:val="0"/>
                  <w:vAlign w:val="center"/>
                </w:tcPr>
                <w:p w14:paraId="2AC58412">
                  <w:pPr>
                    <w:jc w:val="center"/>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1</w:t>
                  </w:r>
                </w:p>
              </w:tc>
              <w:tc>
                <w:tcPr>
                  <w:tcW w:w="591" w:type="pct"/>
                  <w:noWrap w:val="0"/>
                  <w:vAlign w:val="center"/>
                </w:tcPr>
                <w:p w14:paraId="7FD7083C">
                  <w:pPr>
                    <w:spacing w:line="276"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前圩子</w:t>
                  </w:r>
                </w:p>
              </w:tc>
              <w:tc>
                <w:tcPr>
                  <w:tcW w:w="905" w:type="pct"/>
                  <w:noWrap w:val="0"/>
                  <w:vAlign w:val="center"/>
                </w:tcPr>
                <w:p w14:paraId="7BE5518B">
                  <w:pPr>
                    <w:spacing w:line="276" w:lineRule="auto"/>
                    <w:jc w:val="both"/>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116.918540287</w:t>
                  </w:r>
                </w:p>
              </w:tc>
              <w:tc>
                <w:tcPr>
                  <w:tcW w:w="725" w:type="pct"/>
                  <w:noWrap w:val="0"/>
                  <w:vAlign w:val="center"/>
                </w:tcPr>
                <w:p w14:paraId="024B6C07">
                  <w:pPr>
                    <w:spacing w:line="276"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32.773819958</w:t>
                  </w:r>
                </w:p>
              </w:tc>
              <w:tc>
                <w:tcPr>
                  <w:tcW w:w="448" w:type="pct"/>
                  <w:noWrap w:val="0"/>
                  <w:vAlign w:val="center"/>
                </w:tcPr>
                <w:p w14:paraId="7F3D1ADA">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村庄</w:t>
                  </w:r>
                </w:p>
              </w:tc>
              <w:tc>
                <w:tcPr>
                  <w:tcW w:w="423" w:type="pct"/>
                  <w:noWrap w:val="0"/>
                  <w:vAlign w:val="center"/>
                </w:tcPr>
                <w:p w14:paraId="6BC2280E">
                  <w:pPr>
                    <w:jc w:val="center"/>
                    <w:rPr>
                      <w:rFonts w:hint="eastAsia" w:ascii="Times New Roman" w:hAnsi="Times New Roman" w:eastAsia="宋体" w:cs="Times New Roman"/>
                      <w:bCs/>
                      <w:color w:val="auto"/>
                      <w:szCs w:val="21"/>
                      <w:highlight w:val="none"/>
                      <w:lang w:eastAsia="zh-CN"/>
                    </w:rPr>
                  </w:pPr>
                  <w:r>
                    <w:rPr>
                      <w:rFonts w:ascii="Times New Roman" w:hAnsi="Times New Roman" w:eastAsia="宋体" w:cs="Times New Roman"/>
                      <w:bCs/>
                      <w:color w:val="auto"/>
                      <w:szCs w:val="21"/>
                      <w:highlight w:val="none"/>
                    </w:rPr>
                    <w:t>约</w:t>
                  </w:r>
                  <w:r>
                    <w:rPr>
                      <w:rFonts w:hint="eastAsia" w:ascii="Times New Roman" w:hAnsi="Times New Roman" w:eastAsia="宋体" w:cs="Times New Roman"/>
                      <w:bCs/>
                      <w:color w:val="auto"/>
                      <w:szCs w:val="21"/>
                      <w:highlight w:val="none"/>
                      <w:lang w:val="en-US" w:eastAsia="zh-CN"/>
                    </w:rPr>
                    <w:t>60</w:t>
                  </w:r>
                  <w:r>
                    <w:rPr>
                      <w:rFonts w:hint="eastAsia" w:ascii="Times New Roman" w:hAnsi="Times New Roman" w:eastAsia="宋体" w:cs="Times New Roman"/>
                      <w:bCs/>
                      <w:color w:val="auto"/>
                      <w:szCs w:val="21"/>
                      <w:highlight w:val="none"/>
                      <w:lang w:eastAsia="zh-CN"/>
                    </w:rPr>
                    <w:t>户</w:t>
                  </w:r>
                </w:p>
              </w:tc>
              <w:tc>
                <w:tcPr>
                  <w:tcW w:w="596" w:type="pct"/>
                  <w:vMerge w:val="restart"/>
                  <w:noWrap w:val="0"/>
                  <w:vAlign w:val="center"/>
                </w:tcPr>
                <w:p w14:paraId="77A53603">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《环境空气质量标准》（GB3095-2012）二级标准</w:t>
                  </w:r>
                </w:p>
              </w:tc>
              <w:tc>
                <w:tcPr>
                  <w:tcW w:w="314" w:type="pct"/>
                  <w:noWrap w:val="0"/>
                  <w:vAlign w:val="center"/>
                </w:tcPr>
                <w:p w14:paraId="3FCE0F74">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NW</w:t>
                  </w:r>
                </w:p>
              </w:tc>
              <w:tc>
                <w:tcPr>
                  <w:tcW w:w="482" w:type="pct"/>
                  <w:noWrap w:val="0"/>
                  <w:vAlign w:val="center"/>
                </w:tcPr>
                <w:p w14:paraId="409598DC">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61</w:t>
                  </w:r>
                </w:p>
              </w:tc>
            </w:tr>
            <w:tr w14:paraId="130F26C0">
              <w:tblPrEx>
                <w:tblBorders>
                  <w:top w:val="single" w:color="000000" w:sz="4" w:space="0"/>
                  <w:left w:val="single" w:color="000000"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c>
                <w:tcPr>
                  <w:tcW w:w="255" w:type="pct"/>
                  <w:vMerge w:val="continue"/>
                  <w:noWrap w:val="0"/>
                  <w:vAlign w:val="center"/>
                </w:tcPr>
                <w:p w14:paraId="63201BF3">
                  <w:pPr>
                    <w:jc w:val="center"/>
                    <w:rPr>
                      <w:rFonts w:ascii="Times New Roman" w:hAnsi="Times New Roman" w:eastAsia="宋体" w:cs="Times New Roman"/>
                      <w:bCs/>
                      <w:color w:val="auto"/>
                      <w:szCs w:val="21"/>
                    </w:rPr>
                  </w:pPr>
                </w:p>
              </w:tc>
              <w:tc>
                <w:tcPr>
                  <w:tcW w:w="255" w:type="pct"/>
                  <w:noWrap w:val="0"/>
                  <w:vAlign w:val="center"/>
                </w:tcPr>
                <w:p w14:paraId="123619CC">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w:t>
                  </w:r>
                </w:p>
              </w:tc>
              <w:tc>
                <w:tcPr>
                  <w:tcW w:w="591" w:type="pct"/>
                  <w:noWrap w:val="0"/>
                  <w:vAlign w:val="center"/>
                </w:tcPr>
                <w:p w14:paraId="77089E0C">
                  <w:pPr>
                    <w:spacing w:line="276" w:lineRule="auto"/>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新集村</w:t>
                  </w:r>
                </w:p>
              </w:tc>
              <w:tc>
                <w:tcPr>
                  <w:tcW w:w="905" w:type="pct"/>
                  <w:noWrap w:val="0"/>
                  <w:vAlign w:val="center"/>
                </w:tcPr>
                <w:p w14:paraId="09F34B99">
                  <w:pPr>
                    <w:spacing w:line="276" w:lineRule="auto"/>
                    <w:jc w:val="both"/>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116.92602574</w:t>
                  </w:r>
                </w:p>
              </w:tc>
              <w:tc>
                <w:tcPr>
                  <w:tcW w:w="725" w:type="pct"/>
                  <w:noWrap w:val="0"/>
                  <w:vAlign w:val="center"/>
                </w:tcPr>
                <w:p w14:paraId="7BC50E4E">
                  <w:pPr>
                    <w:spacing w:line="276"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32.77488820</w:t>
                  </w:r>
                </w:p>
              </w:tc>
              <w:tc>
                <w:tcPr>
                  <w:tcW w:w="448" w:type="pct"/>
                  <w:noWrap w:val="0"/>
                  <w:vAlign w:val="center"/>
                </w:tcPr>
                <w:p w14:paraId="1D311B9B">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村庄</w:t>
                  </w:r>
                </w:p>
              </w:tc>
              <w:tc>
                <w:tcPr>
                  <w:tcW w:w="423" w:type="pct"/>
                  <w:noWrap w:val="0"/>
                  <w:vAlign w:val="center"/>
                </w:tcPr>
                <w:p w14:paraId="4E88392C">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约</w:t>
                  </w:r>
                  <w:r>
                    <w:rPr>
                      <w:rFonts w:hint="eastAsia" w:ascii="Times New Roman" w:hAnsi="Times New Roman" w:eastAsia="宋体" w:cs="Times New Roman"/>
                      <w:bCs/>
                      <w:color w:val="auto"/>
                      <w:szCs w:val="21"/>
                      <w:highlight w:val="none"/>
                      <w:lang w:val="en-US" w:eastAsia="zh-CN"/>
                    </w:rPr>
                    <w:t>65</w:t>
                  </w:r>
                  <w:r>
                    <w:rPr>
                      <w:rFonts w:hint="eastAsia" w:ascii="Times New Roman" w:hAnsi="Times New Roman" w:eastAsia="宋体" w:cs="Times New Roman"/>
                      <w:bCs/>
                      <w:color w:val="auto"/>
                      <w:szCs w:val="21"/>
                      <w:highlight w:val="none"/>
                      <w:lang w:eastAsia="zh-CN"/>
                    </w:rPr>
                    <w:t>户</w:t>
                  </w:r>
                </w:p>
              </w:tc>
              <w:tc>
                <w:tcPr>
                  <w:tcW w:w="596" w:type="pct"/>
                  <w:vMerge w:val="continue"/>
                  <w:noWrap w:val="0"/>
                  <w:vAlign w:val="center"/>
                </w:tcPr>
                <w:p w14:paraId="5567EC17">
                  <w:pPr>
                    <w:jc w:val="center"/>
                    <w:rPr>
                      <w:rFonts w:ascii="Times New Roman" w:hAnsi="Times New Roman" w:eastAsia="宋体" w:cs="Times New Roman"/>
                      <w:bCs/>
                      <w:color w:val="auto"/>
                      <w:szCs w:val="21"/>
                      <w:highlight w:val="none"/>
                    </w:rPr>
                  </w:pPr>
                </w:p>
              </w:tc>
              <w:tc>
                <w:tcPr>
                  <w:tcW w:w="314" w:type="pct"/>
                  <w:noWrap w:val="0"/>
                  <w:vAlign w:val="center"/>
                </w:tcPr>
                <w:p w14:paraId="29F0E321">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N</w:t>
                  </w:r>
                </w:p>
              </w:tc>
              <w:tc>
                <w:tcPr>
                  <w:tcW w:w="482" w:type="pct"/>
                  <w:noWrap w:val="0"/>
                  <w:vAlign w:val="center"/>
                </w:tcPr>
                <w:p w14:paraId="514659C3">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329</w:t>
                  </w:r>
                </w:p>
              </w:tc>
            </w:tr>
            <w:tr w14:paraId="4F3992FA">
              <w:tblPrEx>
                <w:tblBorders>
                  <w:top w:val="single" w:color="000000" w:sz="4" w:space="0"/>
                  <w:left w:val="single" w:color="000000"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c>
                <w:tcPr>
                  <w:tcW w:w="255" w:type="pct"/>
                  <w:vMerge w:val="continue"/>
                  <w:noWrap w:val="0"/>
                  <w:vAlign w:val="center"/>
                </w:tcPr>
                <w:p w14:paraId="56A62895">
                  <w:pPr>
                    <w:jc w:val="center"/>
                    <w:rPr>
                      <w:rFonts w:ascii="Times New Roman" w:hAnsi="Times New Roman" w:eastAsia="宋体" w:cs="Times New Roman"/>
                      <w:bCs/>
                      <w:color w:val="auto"/>
                      <w:szCs w:val="21"/>
                    </w:rPr>
                  </w:pPr>
                </w:p>
              </w:tc>
              <w:tc>
                <w:tcPr>
                  <w:tcW w:w="255" w:type="pct"/>
                  <w:noWrap w:val="0"/>
                  <w:vAlign w:val="center"/>
                </w:tcPr>
                <w:p w14:paraId="0FACAE62">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3</w:t>
                  </w:r>
                </w:p>
              </w:tc>
              <w:tc>
                <w:tcPr>
                  <w:tcW w:w="591" w:type="pct"/>
                  <w:noWrap w:val="0"/>
                  <w:vAlign w:val="center"/>
                </w:tcPr>
                <w:p w14:paraId="296F4823">
                  <w:pPr>
                    <w:spacing w:line="276" w:lineRule="auto"/>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老八圩</w:t>
                  </w:r>
                </w:p>
              </w:tc>
              <w:tc>
                <w:tcPr>
                  <w:tcW w:w="905" w:type="pct"/>
                  <w:noWrap w:val="0"/>
                  <w:vAlign w:val="center"/>
                </w:tcPr>
                <w:p w14:paraId="5038FF58">
                  <w:pPr>
                    <w:spacing w:line="276" w:lineRule="auto"/>
                    <w:jc w:val="both"/>
                    <w:rPr>
                      <w:rFonts w:ascii="Times New Roman" w:hAnsi="Times New Roman" w:eastAsia="宋体" w:cs="Times New Roman"/>
                      <w:color w:val="auto"/>
                      <w:szCs w:val="21"/>
                    </w:rPr>
                  </w:pPr>
                  <w:r>
                    <w:rPr>
                      <w:rFonts w:hint="eastAsia" w:ascii="Times New Roman" w:hAnsi="Times New Roman" w:eastAsia="宋体" w:cs="Times New Roman"/>
                      <w:color w:val="auto"/>
                      <w:szCs w:val="21"/>
                    </w:rPr>
                    <w:t>116.924092459</w:t>
                  </w:r>
                </w:p>
              </w:tc>
              <w:tc>
                <w:tcPr>
                  <w:tcW w:w="725" w:type="pct"/>
                  <w:noWrap w:val="0"/>
                  <w:vAlign w:val="center"/>
                </w:tcPr>
                <w:p w14:paraId="6C8047DE">
                  <w:pPr>
                    <w:spacing w:line="276" w:lineRule="auto"/>
                    <w:jc w:val="center"/>
                    <w:rPr>
                      <w:rFonts w:ascii="Times New Roman" w:hAnsi="Times New Roman" w:cs="Times New Roman"/>
                      <w:color w:val="auto"/>
                    </w:rPr>
                  </w:pPr>
                  <w:r>
                    <w:rPr>
                      <w:rFonts w:hint="eastAsia" w:ascii="Times New Roman" w:hAnsi="Times New Roman" w:eastAsia="宋体" w:cs="Times New Roman"/>
                      <w:color w:val="auto"/>
                      <w:szCs w:val="21"/>
                    </w:rPr>
                    <w:t>32.772183811</w:t>
                  </w:r>
                </w:p>
              </w:tc>
              <w:tc>
                <w:tcPr>
                  <w:tcW w:w="448" w:type="pct"/>
                  <w:noWrap w:val="0"/>
                  <w:vAlign w:val="center"/>
                </w:tcPr>
                <w:p w14:paraId="639B566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highlight w:val="none"/>
                      <w:lang w:eastAsia="zh-CN"/>
                    </w:rPr>
                    <w:t>村庄</w:t>
                  </w:r>
                </w:p>
              </w:tc>
              <w:tc>
                <w:tcPr>
                  <w:tcW w:w="423" w:type="pct"/>
                  <w:noWrap w:val="0"/>
                  <w:vAlign w:val="center"/>
                </w:tcPr>
                <w:p w14:paraId="4AD3B6AF">
                  <w:pPr>
                    <w:jc w:val="center"/>
                    <w:rPr>
                      <w:rFonts w:ascii="Times New Roman" w:hAnsi="Times New Roman" w:eastAsia="宋体" w:cs="Times New Roman"/>
                      <w:color w:val="auto"/>
                      <w:szCs w:val="21"/>
                      <w:highlight w:val="none"/>
                    </w:rPr>
                  </w:pPr>
                  <w:r>
                    <w:rPr>
                      <w:rFonts w:ascii="Times New Roman" w:hAnsi="Times New Roman" w:eastAsia="宋体" w:cs="Times New Roman"/>
                      <w:bCs/>
                      <w:color w:val="auto"/>
                      <w:szCs w:val="21"/>
                      <w:highlight w:val="none"/>
                    </w:rPr>
                    <w:t>约</w:t>
                  </w:r>
                  <w:r>
                    <w:rPr>
                      <w:rFonts w:hint="eastAsia" w:ascii="Times New Roman" w:hAnsi="Times New Roman" w:eastAsia="宋体" w:cs="Times New Roman"/>
                      <w:bCs/>
                      <w:color w:val="auto"/>
                      <w:szCs w:val="21"/>
                      <w:highlight w:val="none"/>
                      <w:lang w:val="en-US" w:eastAsia="zh-CN"/>
                    </w:rPr>
                    <w:t>25</w:t>
                  </w:r>
                  <w:r>
                    <w:rPr>
                      <w:rFonts w:hint="eastAsia" w:ascii="Times New Roman" w:hAnsi="Times New Roman" w:eastAsia="宋体" w:cs="Times New Roman"/>
                      <w:bCs/>
                      <w:color w:val="auto"/>
                      <w:szCs w:val="21"/>
                      <w:highlight w:val="none"/>
                      <w:lang w:eastAsia="zh-CN"/>
                    </w:rPr>
                    <w:t>户</w:t>
                  </w:r>
                </w:p>
              </w:tc>
              <w:tc>
                <w:tcPr>
                  <w:tcW w:w="596" w:type="pct"/>
                  <w:vMerge w:val="continue"/>
                  <w:noWrap w:val="0"/>
                  <w:vAlign w:val="center"/>
                </w:tcPr>
                <w:p w14:paraId="13FAEBD1">
                  <w:pPr>
                    <w:jc w:val="center"/>
                    <w:rPr>
                      <w:rFonts w:ascii="Times New Roman" w:hAnsi="Times New Roman" w:eastAsia="宋体" w:cs="Times New Roman"/>
                      <w:bCs/>
                      <w:color w:val="auto"/>
                      <w:szCs w:val="21"/>
                      <w:highlight w:val="none"/>
                    </w:rPr>
                  </w:pPr>
                </w:p>
              </w:tc>
              <w:tc>
                <w:tcPr>
                  <w:tcW w:w="314" w:type="pct"/>
                  <w:noWrap w:val="0"/>
                  <w:vAlign w:val="center"/>
                </w:tcPr>
                <w:p w14:paraId="69EA1E20">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E</w:t>
                  </w:r>
                </w:p>
              </w:tc>
              <w:tc>
                <w:tcPr>
                  <w:tcW w:w="482" w:type="pct"/>
                  <w:noWrap w:val="0"/>
                  <w:vAlign w:val="center"/>
                </w:tcPr>
                <w:p w14:paraId="474AA13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438</w:t>
                  </w:r>
                </w:p>
              </w:tc>
            </w:tr>
            <w:tr w14:paraId="0DEB0823">
              <w:tblPrEx>
                <w:tblBorders>
                  <w:top w:val="single" w:color="000000" w:sz="4" w:space="0"/>
                  <w:left w:val="single" w:color="000000"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c>
                <w:tcPr>
                  <w:tcW w:w="255" w:type="pct"/>
                  <w:noWrap w:val="0"/>
                  <w:vAlign w:val="center"/>
                </w:tcPr>
                <w:p w14:paraId="02A6FA2F">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声环境</w:t>
                  </w:r>
                </w:p>
              </w:tc>
              <w:tc>
                <w:tcPr>
                  <w:tcW w:w="255" w:type="pct"/>
                  <w:noWrap w:val="0"/>
                  <w:vAlign w:val="center"/>
                </w:tcPr>
                <w:p w14:paraId="3F4367DE">
                  <w:pPr>
                    <w:jc w:val="both"/>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w:t>
                  </w:r>
                </w:p>
              </w:tc>
              <w:tc>
                <w:tcPr>
                  <w:tcW w:w="591" w:type="pct"/>
                  <w:noWrap w:val="0"/>
                  <w:vAlign w:val="center"/>
                </w:tcPr>
                <w:p w14:paraId="4AFB6EF6">
                  <w:pPr>
                    <w:spacing w:line="276" w:lineRule="auto"/>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highlight w:val="none"/>
                      <w:lang w:val="en-US" w:eastAsia="zh-CN"/>
                    </w:rPr>
                    <w:t>前圩子</w:t>
                  </w:r>
                </w:p>
              </w:tc>
              <w:tc>
                <w:tcPr>
                  <w:tcW w:w="905" w:type="pct"/>
                  <w:noWrap w:val="0"/>
                  <w:vAlign w:val="center"/>
                </w:tcPr>
                <w:p w14:paraId="2217ABAD">
                  <w:pPr>
                    <w:spacing w:line="276" w:lineRule="auto"/>
                    <w:jc w:val="both"/>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highlight w:val="none"/>
                    </w:rPr>
                    <w:t>116.918540287</w:t>
                  </w:r>
                </w:p>
              </w:tc>
              <w:tc>
                <w:tcPr>
                  <w:tcW w:w="725" w:type="pct"/>
                  <w:noWrap w:val="0"/>
                  <w:vAlign w:val="center"/>
                </w:tcPr>
                <w:p w14:paraId="0A3279A6">
                  <w:pPr>
                    <w:spacing w:line="276" w:lineRule="auto"/>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highlight w:val="none"/>
                    </w:rPr>
                    <w:t>32.773819958</w:t>
                  </w:r>
                </w:p>
              </w:tc>
              <w:tc>
                <w:tcPr>
                  <w:tcW w:w="448" w:type="pct"/>
                  <w:noWrap w:val="0"/>
                  <w:vAlign w:val="center"/>
                </w:tcPr>
                <w:p w14:paraId="6ADA2204">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村庄</w:t>
                  </w:r>
                </w:p>
              </w:tc>
              <w:tc>
                <w:tcPr>
                  <w:tcW w:w="423" w:type="pct"/>
                  <w:noWrap w:val="0"/>
                  <w:vAlign w:val="center"/>
                </w:tcPr>
                <w:p w14:paraId="694E34C1">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约</w:t>
                  </w:r>
                  <w:r>
                    <w:rPr>
                      <w:rFonts w:hint="eastAsia" w:ascii="Times New Roman" w:hAnsi="Times New Roman" w:eastAsia="宋体" w:cs="Times New Roman"/>
                      <w:bCs/>
                      <w:color w:val="auto"/>
                      <w:szCs w:val="21"/>
                      <w:highlight w:val="none"/>
                      <w:lang w:val="en-US" w:eastAsia="zh-CN"/>
                    </w:rPr>
                    <w:t>3</w:t>
                  </w:r>
                  <w:r>
                    <w:rPr>
                      <w:rFonts w:hint="eastAsia" w:ascii="Times New Roman" w:hAnsi="Times New Roman" w:eastAsia="宋体" w:cs="Times New Roman"/>
                      <w:bCs/>
                      <w:color w:val="auto"/>
                      <w:szCs w:val="21"/>
                      <w:highlight w:val="none"/>
                      <w:lang w:eastAsia="zh-CN"/>
                    </w:rPr>
                    <w:t>户</w:t>
                  </w:r>
                </w:p>
              </w:tc>
              <w:tc>
                <w:tcPr>
                  <w:tcW w:w="596" w:type="pct"/>
                  <w:noWrap w:val="0"/>
                  <w:vAlign w:val="center"/>
                </w:tcPr>
                <w:p w14:paraId="1FFAF810">
                  <w:pPr>
                    <w:jc w:val="center"/>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《声环境质量标准》（GB3096-2008）</w:t>
                  </w:r>
                  <w:r>
                    <w:rPr>
                      <w:rFonts w:hint="eastAsia" w:ascii="Times New Roman" w:hAnsi="Times New Roman" w:eastAsia="宋体" w:cs="Times New Roman"/>
                      <w:bCs/>
                      <w:color w:val="auto"/>
                      <w:szCs w:val="21"/>
                      <w:highlight w:val="none"/>
                      <w:lang w:val="en-US" w:eastAsia="zh-CN"/>
                    </w:rPr>
                    <w:t>2</w:t>
                  </w:r>
                  <w:r>
                    <w:rPr>
                      <w:rFonts w:hint="eastAsia" w:ascii="Times New Roman" w:hAnsi="Times New Roman" w:eastAsia="宋体" w:cs="Times New Roman"/>
                      <w:bCs/>
                      <w:color w:val="auto"/>
                      <w:szCs w:val="21"/>
                      <w:highlight w:val="none"/>
                    </w:rPr>
                    <w:t>类</w:t>
                  </w:r>
                </w:p>
              </w:tc>
              <w:tc>
                <w:tcPr>
                  <w:tcW w:w="314" w:type="pct"/>
                  <w:noWrap w:val="0"/>
                  <w:vAlign w:val="center"/>
                </w:tcPr>
                <w:p w14:paraId="66B49695">
                  <w:pPr>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w:t>
                  </w:r>
                </w:p>
              </w:tc>
              <w:tc>
                <w:tcPr>
                  <w:tcW w:w="482" w:type="pct"/>
                  <w:noWrap w:val="0"/>
                  <w:vAlign w:val="center"/>
                </w:tcPr>
                <w:p w14:paraId="5A99B90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18</w:t>
                  </w:r>
                </w:p>
              </w:tc>
            </w:tr>
          </w:tbl>
          <w:p w14:paraId="098BBDB9">
            <w:pPr>
              <w:tabs>
                <w:tab w:val="left" w:pos="0"/>
              </w:tabs>
              <w:spacing w:line="360" w:lineRule="auto"/>
              <w:ind w:firstLine="480" w:firstLineChars="200"/>
              <w:rPr>
                <w:rFonts w:hint="default" w:ascii="Times New Roman" w:hAnsi="Times New Roman" w:eastAsia="宋体" w:cs="Times New Roman"/>
                <w:color w:val="auto"/>
                <w:sz w:val="24"/>
                <w:szCs w:val="24"/>
              </w:rPr>
            </w:pPr>
          </w:p>
          <w:p w14:paraId="689D95C4">
            <w:pPr>
              <w:tabs>
                <w:tab w:val="left" w:pos="0"/>
              </w:tabs>
              <w:spacing w:line="360" w:lineRule="auto"/>
              <w:rPr>
                <w:rFonts w:hint="default" w:ascii="Times New Roman" w:hAnsi="Times New Roman" w:eastAsia="黑体" w:cs="Times New Roman"/>
                <w:color w:val="auto"/>
                <w:sz w:val="24"/>
                <w:szCs w:val="24"/>
              </w:rPr>
            </w:pPr>
          </w:p>
        </w:tc>
      </w:tr>
    </w:tbl>
    <w:p w14:paraId="540DD1B7">
      <w:pPr>
        <w:widowControl/>
        <w:jc w:val="center"/>
        <w:rPr>
          <w:rFonts w:ascii="黑体" w:hAnsi="黑体" w:eastAsia="黑体" w:cs="Times New Roman"/>
          <w:snapToGrid w:val="0"/>
          <w:color w:val="FF0000"/>
          <w:sz w:val="36"/>
          <w:szCs w:val="36"/>
        </w:rPr>
        <w:sectPr>
          <w:pgSz w:w="11906" w:h="16838"/>
          <w:pgMar w:top="1440" w:right="1797" w:bottom="1440" w:left="1797" w:header="851" w:footer="1077" w:gutter="0"/>
          <w:cols w:space="425" w:num="1"/>
          <w:docGrid w:type="lines" w:linePitch="312" w:charSpace="0"/>
        </w:sectPr>
      </w:pPr>
    </w:p>
    <w:tbl>
      <w:tblPr>
        <w:tblStyle w:val="25"/>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8346"/>
      </w:tblGrid>
      <w:tr w14:paraId="581FF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904" w:type="dxa"/>
            <w:vAlign w:val="center"/>
          </w:tcPr>
          <w:p w14:paraId="17A79E14">
            <w:pPr>
              <w:adjustRightInd w:val="0"/>
              <w:snapToGrid w:val="0"/>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评价</w:t>
            </w:r>
          </w:p>
          <w:p w14:paraId="216F5125">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 w:val="24"/>
                <w:szCs w:val="24"/>
              </w:rPr>
              <w:t>标准</w:t>
            </w:r>
          </w:p>
        </w:tc>
        <w:tc>
          <w:tcPr>
            <w:tcW w:w="8253" w:type="dxa"/>
            <w:vAlign w:val="center"/>
          </w:tcPr>
          <w:p w14:paraId="0EEE8C5D">
            <w:pPr>
              <w:spacing w:line="360" w:lineRule="auto"/>
              <w:rPr>
                <w:rFonts w:ascii="Times New Roman" w:hAnsi="Times New Roman" w:eastAsia="宋体" w:cs="Times New Roman"/>
                <w:b/>
                <w:color w:val="auto"/>
                <w:kern w:val="0"/>
                <w:sz w:val="24"/>
                <w:szCs w:val="24"/>
              </w:rPr>
            </w:pPr>
            <w:r>
              <w:rPr>
                <w:rFonts w:hint="eastAsia" w:ascii="Times New Roman" w:hAnsi="宋体" w:eastAsia="宋体" w:cs="Times New Roman"/>
                <w:b/>
                <w:color w:val="auto"/>
                <w:kern w:val="0"/>
                <w:sz w:val="24"/>
                <w:szCs w:val="24"/>
              </w:rPr>
              <w:t>1</w:t>
            </w:r>
            <w:r>
              <w:rPr>
                <w:rFonts w:ascii="Times New Roman" w:hAnsi="宋体" w:eastAsia="宋体" w:cs="Times New Roman"/>
                <w:b/>
                <w:color w:val="auto"/>
                <w:kern w:val="0"/>
                <w:sz w:val="24"/>
                <w:szCs w:val="24"/>
              </w:rPr>
              <w:t>、环境质量标准</w:t>
            </w:r>
          </w:p>
          <w:p w14:paraId="68046457">
            <w:pPr>
              <w:spacing w:line="360" w:lineRule="auto"/>
              <w:ind w:firstLine="482" w:firstLineChars="200"/>
              <w:rPr>
                <w:rFonts w:ascii="Times New Roman" w:hAnsi="宋体" w:eastAsia="宋体" w:cs="Times New Roman"/>
                <w:b/>
                <w:color w:val="auto"/>
                <w:kern w:val="0"/>
                <w:sz w:val="24"/>
                <w:szCs w:val="24"/>
              </w:rPr>
            </w:pPr>
            <w:r>
              <w:rPr>
                <w:rFonts w:hint="eastAsia" w:ascii="Times New Roman" w:hAnsi="Times New Roman" w:eastAsia="宋体" w:cs="Times New Roman"/>
                <w:b/>
                <w:color w:val="auto"/>
                <w:kern w:val="0"/>
                <w:sz w:val="24"/>
                <w:szCs w:val="24"/>
              </w:rPr>
              <w:t>（1）</w:t>
            </w:r>
            <w:r>
              <w:rPr>
                <w:rFonts w:hint="eastAsia" w:ascii="Times New Roman" w:hAnsi="宋体" w:eastAsia="宋体" w:cs="Times New Roman"/>
                <w:b/>
                <w:color w:val="auto"/>
                <w:kern w:val="0"/>
                <w:sz w:val="24"/>
                <w:szCs w:val="24"/>
              </w:rPr>
              <w:t>环境空气质量标准</w:t>
            </w:r>
          </w:p>
          <w:p w14:paraId="4B6CCCDA">
            <w:pPr>
              <w:spacing w:line="360" w:lineRule="auto"/>
              <w:ind w:firstLine="480" w:firstLineChars="200"/>
              <w:rPr>
                <w:rFonts w:ascii="Times New Roman" w:hAnsi="Times New Roman" w:eastAsia="宋体" w:cs="Times New Roman"/>
                <w:color w:val="auto"/>
                <w:sz w:val="24"/>
                <w:szCs w:val="24"/>
              </w:rPr>
            </w:pPr>
            <w:r>
              <w:rPr>
                <w:rFonts w:hint="eastAsia"/>
                <w:color w:val="auto"/>
                <w:sz w:val="24"/>
                <w:szCs w:val="24"/>
              </w:rPr>
              <w:t>评价区域环境空气质量执行《环境空气质量标准》（GB3095-2012）及2</w:t>
            </w:r>
            <w:r>
              <w:rPr>
                <w:color w:val="auto"/>
                <w:sz w:val="24"/>
                <w:szCs w:val="24"/>
              </w:rPr>
              <w:t>018</w:t>
            </w:r>
            <w:r>
              <w:rPr>
                <w:rFonts w:hint="eastAsia"/>
                <w:color w:val="auto"/>
                <w:sz w:val="24"/>
                <w:szCs w:val="24"/>
              </w:rPr>
              <w:t>年修改单中的二级标准</w:t>
            </w:r>
            <w:r>
              <w:rPr>
                <w:rFonts w:ascii="Times New Roman" w:hAnsi="宋体" w:eastAsia="宋体" w:cs="Times New Roman"/>
                <w:color w:val="auto"/>
                <w:sz w:val="24"/>
                <w:szCs w:val="24"/>
              </w:rPr>
              <w:t>，具体标准值详见下表：</w:t>
            </w:r>
          </w:p>
          <w:p w14:paraId="4EE8843E">
            <w:pPr>
              <w:pStyle w:val="95"/>
              <w:numPr>
                <w:ilvl w:val="1"/>
                <w:numId w:val="2"/>
              </w:numPr>
              <w:tabs>
                <w:tab w:val="clear" w:pos="1440"/>
              </w:tabs>
              <w:spacing w:line="240" w:lineRule="auto"/>
              <w:ind w:left="3300" w:leftChars="0" w:hanging="1400" w:firstLineChars="0"/>
              <w:jc w:val="both"/>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环境空气质量标准</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956"/>
              <w:gridCol w:w="1979"/>
              <w:gridCol w:w="1668"/>
              <w:gridCol w:w="2698"/>
            </w:tblGrid>
            <w:tr w14:paraId="68D69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2F591DAB">
                  <w:pPr>
                    <w:spacing w:line="276" w:lineRule="auto"/>
                    <w:jc w:val="center"/>
                    <w:rPr>
                      <w:rFonts w:ascii="Times New Roman" w:hAnsi="Times New Roman" w:eastAsia="宋体" w:cs="Times New Roman"/>
                      <w:b/>
                      <w:snapToGrid w:val="0"/>
                      <w:color w:val="auto"/>
                      <w:szCs w:val="21"/>
                    </w:rPr>
                  </w:pPr>
                  <w:r>
                    <w:rPr>
                      <w:rFonts w:ascii="Times New Roman" w:hAnsi="Times New Roman" w:eastAsia="宋体" w:cs="Times New Roman"/>
                      <w:b/>
                      <w:snapToGrid w:val="0"/>
                      <w:color w:val="auto"/>
                      <w:szCs w:val="21"/>
                    </w:rPr>
                    <w:t>类别</w:t>
                  </w:r>
                </w:p>
              </w:tc>
              <w:tc>
                <w:tcPr>
                  <w:tcW w:w="588" w:type="pct"/>
                  <w:vAlign w:val="center"/>
                </w:tcPr>
                <w:p w14:paraId="78193CA6">
                  <w:pPr>
                    <w:spacing w:line="276" w:lineRule="auto"/>
                    <w:jc w:val="center"/>
                    <w:rPr>
                      <w:rFonts w:ascii="Times New Roman" w:hAnsi="Times New Roman" w:eastAsia="宋体" w:cs="Times New Roman"/>
                      <w:b/>
                      <w:snapToGrid w:val="0"/>
                      <w:color w:val="auto"/>
                      <w:szCs w:val="21"/>
                    </w:rPr>
                  </w:pPr>
                  <w:r>
                    <w:rPr>
                      <w:rFonts w:ascii="Times New Roman" w:hAnsi="Times New Roman" w:eastAsia="宋体" w:cs="Times New Roman"/>
                      <w:b/>
                      <w:snapToGrid w:val="0"/>
                      <w:color w:val="auto"/>
                      <w:szCs w:val="21"/>
                    </w:rPr>
                    <w:t>项目</w:t>
                  </w:r>
                </w:p>
              </w:tc>
              <w:tc>
                <w:tcPr>
                  <w:tcW w:w="1217" w:type="pct"/>
                  <w:vAlign w:val="center"/>
                </w:tcPr>
                <w:p w14:paraId="06C1C2CD">
                  <w:pPr>
                    <w:spacing w:line="276" w:lineRule="auto"/>
                    <w:jc w:val="center"/>
                    <w:rPr>
                      <w:rFonts w:ascii="Times New Roman" w:hAnsi="Times New Roman" w:eastAsia="宋体" w:cs="Times New Roman"/>
                      <w:b/>
                      <w:snapToGrid w:val="0"/>
                      <w:color w:val="auto"/>
                      <w:szCs w:val="21"/>
                    </w:rPr>
                  </w:pPr>
                  <w:r>
                    <w:rPr>
                      <w:rFonts w:ascii="Times New Roman" w:hAnsi="Times New Roman" w:eastAsia="宋体" w:cs="Times New Roman"/>
                      <w:b/>
                      <w:snapToGrid w:val="0"/>
                      <w:color w:val="auto"/>
                      <w:szCs w:val="21"/>
                    </w:rPr>
                    <w:t>取值时间</w:t>
                  </w:r>
                </w:p>
              </w:tc>
              <w:tc>
                <w:tcPr>
                  <w:tcW w:w="1026" w:type="pct"/>
                  <w:vAlign w:val="center"/>
                </w:tcPr>
                <w:p w14:paraId="4612347F">
                  <w:pPr>
                    <w:spacing w:line="276" w:lineRule="auto"/>
                    <w:jc w:val="center"/>
                    <w:rPr>
                      <w:rFonts w:ascii="Times New Roman" w:hAnsi="Times New Roman" w:eastAsia="宋体" w:cs="Times New Roman"/>
                      <w:b/>
                      <w:snapToGrid w:val="0"/>
                      <w:color w:val="auto"/>
                      <w:szCs w:val="21"/>
                    </w:rPr>
                  </w:pPr>
                  <w:r>
                    <w:rPr>
                      <w:rFonts w:ascii="Times New Roman" w:hAnsi="Times New Roman" w:eastAsia="宋体" w:cs="Times New Roman"/>
                      <w:b/>
                      <w:snapToGrid w:val="0"/>
                      <w:color w:val="auto"/>
                      <w:szCs w:val="21"/>
                    </w:rPr>
                    <w:t>标准值</w:t>
                  </w:r>
                </w:p>
              </w:tc>
              <w:tc>
                <w:tcPr>
                  <w:tcW w:w="1659" w:type="pct"/>
                  <w:vAlign w:val="center"/>
                </w:tcPr>
                <w:p w14:paraId="51E4F7AC">
                  <w:pPr>
                    <w:spacing w:line="276" w:lineRule="auto"/>
                    <w:jc w:val="center"/>
                    <w:rPr>
                      <w:rFonts w:ascii="Times New Roman" w:hAnsi="Times New Roman" w:eastAsia="宋体" w:cs="Times New Roman"/>
                      <w:b/>
                      <w:snapToGrid w:val="0"/>
                      <w:color w:val="auto"/>
                      <w:szCs w:val="21"/>
                    </w:rPr>
                  </w:pPr>
                  <w:r>
                    <w:rPr>
                      <w:rFonts w:ascii="Times New Roman" w:hAnsi="Times New Roman" w:eastAsia="宋体" w:cs="Times New Roman"/>
                      <w:b/>
                      <w:snapToGrid w:val="0"/>
                      <w:color w:val="auto"/>
                      <w:szCs w:val="21"/>
                    </w:rPr>
                    <w:t>标准来源</w:t>
                  </w:r>
                </w:p>
              </w:tc>
            </w:tr>
            <w:tr w14:paraId="49B41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restart"/>
                  <w:vAlign w:val="center"/>
                </w:tcPr>
                <w:p w14:paraId="7E881A7C">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环</w:t>
                  </w:r>
                </w:p>
                <w:p w14:paraId="55C4D122">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境</w:t>
                  </w:r>
                </w:p>
                <w:p w14:paraId="6B78157B">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空</w:t>
                  </w:r>
                </w:p>
                <w:p w14:paraId="55957DF7">
                  <w:pPr>
                    <w:spacing w:line="276" w:lineRule="auto"/>
                    <w:jc w:val="center"/>
                    <w:rPr>
                      <w:rFonts w:ascii="Times New Roman" w:hAnsi="Times New Roman" w:eastAsia="宋体" w:cs="Times New Roman"/>
                      <w:snapToGrid w:val="0"/>
                      <w:color w:val="auto"/>
                      <w:sz w:val="24"/>
                      <w:szCs w:val="21"/>
                    </w:rPr>
                  </w:pPr>
                  <w:r>
                    <w:rPr>
                      <w:rFonts w:ascii="Times New Roman" w:hAnsi="Times New Roman" w:eastAsia="宋体" w:cs="Times New Roman"/>
                      <w:snapToGrid w:val="0"/>
                      <w:color w:val="auto"/>
                      <w:szCs w:val="21"/>
                    </w:rPr>
                    <w:t>气</w:t>
                  </w:r>
                </w:p>
              </w:tc>
              <w:tc>
                <w:tcPr>
                  <w:tcW w:w="588" w:type="pct"/>
                  <w:vMerge w:val="restart"/>
                  <w:vAlign w:val="center"/>
                </w:tcPr>
                <w:p w14:paraId="57B4530E">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color w:val="auto"/>
                      <w:szCs w:val="21"/>
                      <w:shd w:val="clear" w:color="auto" w:fill="FFFFFF"/>
                    </w:rPr>
                    <w:t>SO</w:t>
                  </w:r>
                  <w:r>
                    <w:rPr>
                      <w:rFonts w:ascii="Times New Roman" w:hAnsi="Times New Roman" w:eastAsia="宋体" w:cs="Times New Roman"/>
                      <w:color w:val="auto"/>
                      <w:szCs w:val="21"/>
                      <w:shd w:val="clear" w:color="auto" w:fill="FFFFFF"/>
                      <w:vertAlign w:val="subscript"/>
                    </w:rPr>
                    <w:t>2</w:t>
                  </w:r>
                </w:p>
              </w:tc>
              <w:tc>
                <w:tcPr>
                  <w:tcW w:w="1217" w:type="pct"/>
                  <w:vAlign w:val="center"/>
                </w:tcPr>
                <w:p w14:paraId="4DA60248">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1小时平均</w:t>
                  </w:r>
                </w:p>
              </w:tc>
              <w:tc>
                <w:tcPr>
                  <w:tcW w:w="1026" w:type="pct"/>
                  <w:vAlign w:val="center"/>
                </w:tcPr>
                <w:p w14:paraId="121BA2FA">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500μg/m</w:t>
                  </w:r>
                  <w:r>
                    <w:rPr>
                      <w:rFonts w:ascii="Times New Roman" w:hAnsi="Times New Roman" w:eastAsia="宋体" w:cs="Times New Roman"/>
                      <w:snapToGrid w:val="0"/>
                      <w:color w:val="auto"/>
                      <w:szCs w:val="21"/>
                      <w:vertAlign w:val="superscript"/>
                    </w:rPr>
                    <w:t>3</w:t>
                  </w:r>
                </w:p>
              </w:tc>
              <w:tc>
                <w:tcPr>
                  <w:tcW w:w="1659" w:type="pct"/>
                  <w:vMerge w:val="restart"/>
                  <w:vAlign w:val="center"/>
                </w:tcPr>
                <w:p w14:paraId="40767092">
                  <w:pPr>
                    <w:spacing w:line="276" w:lineRule="auto"/>
                    <w:jc w:val="center"/>
                    <w:rPr>
                      <w:rFonts w:ascii="Times New Roman" w:hAnsi="Times New Roman" w:eastAsia="宋体" w:cs="Times New Roman"/>
                      <w:snapToGrid w:val="0"/>
                      <w:color w:val="auto"/>
                      <w:kern w:val="0"/>
                      <w:sz w:val="24"/>
                      <w:szCs w:val="21"/>
                    </w:rPr>
                  </w:pPr>
                  <w:r>
                    <w:rPr>
                      <w:rFonts w:ascii="Times New Roman" w:hAnsi="Times New Roman" w:eastAsia="宋体" w:cs="Times New Roman"/>
                      <w:snapToGrid w:val="0"/>
                      <w:color w:val="auto"/>
                      <w:szCs w:val="21"/>
                    </w:rPr>
                    <w:t>《环境空气质量标准》</w:t>
                  </w:r>
                  <w:r>
                    <w:rPr>
                      <w:rFonts w:ascii="Times New Roman" w:hAnsi="Times New Roman" w:eastAsia="宋体" w:cs="Times New Roman"/>
                      <w:snapToGrid w:val="0"/>
                      <w:color w:val="auto"/>
                      <w:kern w:val="0"/>
                      <w:szCs w:val="21"/>
                    </w:rPr>
                    <w:t>（GB3095-2012）中的二级标准及2018年修改单中二级标准</w:t>
                  </w:r>
                </w:p>
              </w:tc>
            </w:tr>
            <w:tr w14:paraId="28E98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0C42791D">
                  <w:pPr>
                    <w:spacing w:line="276" w:lineRule="auto"/>
                    <w:jc w:val="center"/>
                    <w:rPr>
                      <w:rFonts w:ascii="Times New Roman" w:hAnsi="Times New Roman" w:eastAsia="宋体" w:cs="Times New Roman"/>
                      <w:snapToGrid w:val="0"/>
                      <w:color w:val="auto"/>
                      <w:szCs w:val="21"/>
                    </w:rPr>
                  </w:pPr>
                </w:p>
              </w:tc>
              <w:tc>
                <w:tcPr>
                  <w:tcW w:w="588" w:type="pct"/>
                  <w:vMerge w:val="continue"/>
                  <w:vAlign w:val="center"/>
                </w:tcPr>
                <w:p w14:paraId="3F1C95CF">
                  <w:pPr>
                    <w:spacing w:line="276" w:lineRule="auto"/>
                    <w:jc w:val="center"/>
                    <w:rPr>
                      <w:rFonts w:ascii="Times New Roman" w:hAnsi="Times New Roman" w:eastAsia="宋体" w:cs="Times New Roman"/>
                      <w:color w:val="auto"/>
                      <w:szCs w:val="21"/>
                      <w:shd w:val="clear" w:color="auto" w:fill="FFFFFF"/>
                    </w:rPr>
                  </w:pPr>
                </w:p>
              </w:tc>
              <w:tc>
                <w:tcPr>
                  <w:tcW w:w="1217" w:type="pct"/>
                  <w:vAlign w:val="center"/>
                </w:tcPr>
                <w:p w14:paraId="0A60B855">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24小时平均</w:t>
                  </w:r>
                </w:p>
              </w:tc>
              <w:tc>
                <w:tcPr>
                  <w:tcW w:w="1026" w:type="pct"/>
                  <w:vAlign w:val="center"/>
                </w:tcPr>
                <w:p w14:paraId="7CB4765F">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150μg/m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61C6ABE1">
                  <w:pPr>
                    <w:spacing w:line="276" w:lineRule="auto"/>
                    <w:jc w:val="center"/>
                    <w:rPr>
                      <w:rFonts w:ascii="Times New Roman" w:hAnsi="Times New Roman" w:eastAsia="宋体" w:cs="Times New Roman"/>
                      <w:snapToGrid w:val="0"/>
                      <w:color w:val="auto"/>
                      <w:kern w:val="0"/>
                      <w:szCs w:val="21"/>
                    </w:rPr>
                  </w:pPr>
                </w:p>
              </w:tc>
            </w:tr>
            <w:tr w14:paraId="23542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60AB7E78">
                  <w:pPr>
                    <w:spacing w:line="276" w:lineRule="auto"/>
                    <w:jc w:val="center"/>
                    <w:rPr>
                      <w:rFonts w:ascii="Times New Roman" w:hAnsi="Times New Roman" w:eastAsia="宋体" w:cs="Times New Roman"/>
                      <w:snapToGrid w:val="0"/>
                      <w:color w:val="auto"/>
                      <w:szCs w:val="21"/>
                    </w:rPr>
                  </w:pPr>
                </w:p>
              </w:tc>
              <w:tc>
                <w:tcPr>
                  <w:tcW w:w="588" w:type="pct"/>
                  <w:vMerge w:val="continue"/>
                  <w:vAlign w:val="center"/>
                </w:tcPr>
                <w:p w14:paraId="02FD7967">
                  <w:pPr>
                    <w:spacing w:line="276" w:lineRule="auto"/>
                    <w:jc w:val="center"/>
                    <w:rPr>
                      <w:rFonts w:ascii="Times New Roman" w:hAnsi="Times New Roman" w:eastAsia="宋体" w:cs="Times New Roman"/>
                      <w:color w:val="auto"/>
                      <w:szCs w:val="21"/>
                      <w:shd w:val="clear" w:color="auto" w:fill="FFFFFF"/>
                    </w:rPr>
                  </w:pPr>
                </w:p>
              </w:tc>
              <w:tc>
                <w:tcPr>
                  <w:tcW w:w="1217" w:type="pct"/>
                  <w:vAlign w:val="center"/>
                </w:tcPr>
                <w:p w14:paraId="15176F17">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年平均</w:t>
                  </w:r>
                </w:p>
              </w:tc>
              <w:tc>
                <w:tcPr>
                  <w:tcW w:w="1026" w:type="pct"/>
                  <w:vAlign w:val="center"/>
                </w:tcPr>
                <w:p w14:paraId="0855BECC">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60μg/m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54B22EF0">
                  <w:pPr>
                    <w:spacing w:line="276" w:lineRule="auto"/>
                    <w:jc w:val="center"/>
                    <w:rPr>
                      <w:rFonts w:ascii="Times New Roman" w:hAnsi="Times New Roman" w:eastAsia="宋体" w:cs="Times New Roman"/>
                      <w:snapToGrid w:val="0"/>
                      <w:color w:val="auto"/>
                      <w:kern w:val="0"/>
                      <w:szCs w:val="21"/>
                    </w:rPr>
                  </w:pPr>
                </w:p>
              </w:tc>
            </w:tr>
            <w:tr w14:paraId="66E56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11433491">
                  <w:pPr>
                    <w:spacing w:line="276" w:lineRule="auto"/>
                    <w:jc w:val="center"/>
                    <w:rPr>
                      <w:rFonts w:ascii="Times New Roman" w:hAnsi="Times New Roman" w:eastAsia="宋体" w:cs="Times New Roman"/>
                      <w:snapToGrid w:val="0"/>
                      <w:color w:val="auto"/>
                      <w:szCs w:val="21"/>
                    </w:rPr>
                  </w:pPr>
                </w:p>
              </w:tc>
              <w:tc>
                <w:tcPr>
                  <w:tcW w:w="588" w:type="pct"/>
                  <w:vMerge w:val="restart"/>
                  <w:vAlign w:val="center"/>
                </w:tcPr>
                <w:p w14:paraId="364EC802">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color w:val="auto"/>
                      <w:szCs w:val="21"/>
                      <w:shd w:val="clear" w:color="auto" w:fill="FFFFFF"/>
                    </w:rPr>
                    <w:t>NO</w:t>
                  </w:r>
                  <w:r>
                    <w:rPr>
                      <w:rFonts w:ascii="Times New Roman" w:hAnsi="Times New Roman" w:eastAsia="宋体" w:cs="Times New Roman"/>
                      <w:color w:val="auto"/>
                      <w:szCs w:val="21"/>
                      <w:shd w:val="clear" w:color="auto" w:fill="FFFFFF"/>
                      <w:vertAlign w:val="subscript"/>
                    </w:rPr>
                    <w:t>2</w:t>
                  </w:r>
                </w:p>
              </w:tc>
              <w:tc>
                <w:tcPr>
                  <w:tcW w:w="1217" w:type="pct"/>
                  <w:vAlign w:val="center"/>
                </w:tcPr>
                <w:p w14:paraId="1A1F9AF5">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1小时平均</w:t>
                  </w:r>
                </w:p>
              </w:tc>
              <w:tc>
                <w:tcPr>
                  <w:tcW w:w="1026" w:type="pct"/>
                  <w:vAlign w:val="center"/>
                </w:tcPr>
                <w:p w14:paraId="723F3868">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200μg/m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6401EDF2">
                  <w:pPr>
                    <w:spacing w:line="276" w:lineRule="auto"/>
                    <w:jc w:val="center"/>
                    <w:rPr>
                      <w:rFonts w:ascii="Times New Roman" w:hAnsi="Times New Roman" w:eastAsia="宋体" w:cs="Times New Roman"/>
                      <w:snapToGrid w:val="0"/>
                      <w:color w:val="auto"/>
                      <w:kern w:val="0"/>
                      <w:szCs w:val="21"/>
                    </w:rPr>
                  </w:pPr>
                </w:p>
              </w:tc>
            </w:tr>
            <w:tr w14:paraId="74943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19E5E46E">
                  <w:pPr>
                    <w:spacing w:line="276" w:lineRule="auto"/>
                    <w:jc w:val="center"/>
                    <w:rPr>
                      <w:rFonts w:ascii="Times New Roman" w:hAnsi="Times New Roman" w:eastAsia="宋体" w:cs="Times New Roman"/>
                      <w:snapToGrid w:val="0"/>
                      <w:color w:val="auto"/>
                      <w:szCs w:val="21"/>
                    </w:rPr>
                  </w:pPr>
                </w:p>
              </w:tc>
              <w:tc>
                <w:tcPr>
                  <w:tcW w:w="588" w:type="pct"/>
                  <w:vMerge w:val="continue"/>
                  <w:vAlign w:val="center"/>
                </w:tcPr>
                <w:p w14:paraId="6BB2B513">
                  <w:pPr>
                    <w:spacing w:line="276" w:lineRule="auto"/>
                    <w:jc w:val="center"/>
                    <w:rPr>
                      <w:rFonts w:ascii="Times New Roman" w:hAnsi="Times New Roman" w:eastAsia="宋体" w:cs="Times New Roman"/>
                      <w:snapToGrid w:val="0"/>
                      <w:color w:val="auto"/>
                      <w:szCs w:val="21"/>
                    </w:rPr>
                  </w:pPr>
                </w:p>
              </w:tc>
              <w:tc>
                <w:tcPr>
                  <w:tcW w:w="1217" w:type="pct"/>
                  <w:vAlign w:val="center"/>
                </w:tcPr>
                <w:p w14:paraId="0C0C22A6">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24小时平均</w:t>
                  </w:r>
                </w:p>
              </w:tc>
              <w:tc>
                <w:tcPr>
                  <w:tcW w:w="1026" w:type="pct"/>
                  <w:vAlign w:val="center"/>
                </w:tcPr>
                <w:p w14:paraId="0D73AB07">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80μg/m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4F34BCF6">
                  <w:pPr>
                    <w:widowControl/>
                    <w:spacing w:line="276" w:lineRule="auto"/>
                    <w:jc w:val="center"/>
                    <w:rPr>
                      <w:rFonts w:ascii="Times New Roman" w:hAnsi="Times New Roman" w:eastAsia="宋体" w:cs="Times New Roman"/>
                      <w:snapToGrid w:val="0"/>
                      <w:color w:val="auto"/>
                      <w:kern w:val="0"/>
                      <w:szCs w:val="21"/>
                    </w:rPr>
                  </w:pPr>
                </w:p>
              </w:tc>
            </w:tr>
            <w:tr w14:paraId="29B23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54DC7C27">
                  <w:pPr>
                    <w:spacing w:line="276" w:lineRule="auto"/>
                    <w:jc w:val="center"/>
                    <w:rPr>
                      <w:rFonts w:ascii="Times New Roman" w:hAnsi="Times New Roman" w:eastAsia="宋体" w:cs="Times New Roman"/>
                      <w:snapToGrid w:val="0"/>
                      <w:color w:val="auto"/>
                      <w:szCs w:val="21"/>
                    </w:rPr>
                  </w:pPr>
                </w:p>
              </w:tc>
              <w:tc>
                <w:tcPr>
                  <w:tcW w:w="588" w:type="pct"/>
                  <w:vMerge w:val="continue"/>
                  <w:vAlign w:val="center"/>
                </w:tcPr>
                <w:p w14:paraId="395BD6D4">
                  <w:pPr>
                    <w:spacing w:line="276" w:lineRule="auto"/>
                    <w:jc w:val="center"/>
                    <w:rPr>
                      <w:rFonts w:ascii="Times New Roman" w:hAnsi="Times New Roman" w:eastAsia="宋体" w:cs="Times New Roman"/>
                      <w:snapToGrid w:val="0"/>
                      <w:color w:val="auto"/>
                      <w:szCs w:val="21"/>
                    </w:rPr>
                  </w:pPr>
                </w:p>
              </w:tc>
              <w:tc>
                <w:tcPr>
                  <w:tcW w:w="1217" w:type="pct"/>
                  <w:vAlign w:val="center"/>
                </w:tcPr>
                <w:p w14:paraId="53CAC9E4">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年平均</w:t>
                  </w:r>
                </w:p>
              </w:tc>
              <w:tc>
                <w:tcPr>
                  <w:tcW w:w="1026" w:type="pct"/>
                  <w:vAlign w:val="center"/>
                </w:tcPr>
                <w:p w14:paraId="1272CF33">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40μg/m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0662F674">
                  <w:pPr>
                    <w:widowControl/>
                    <w:spacing w:line="276" w:lineRule="auto"/>
                    <w:jc w:val="center"/>
                    <w:rPr>
                      <w:rFonts w:ascii="Times New Roman" w:hAnsi="Times New Roman" w:eastAsia="宋体" w:cs="Times New Roman"/>
                      <w:snapToGrid w:val="0"/>
                      <w:color w:val="auto"/>
                      <w:kern w:val="0"/>
                      <w:szCs w:val="21"/>
                    </w:rPr>
                  </w:pPr>
                </w:p>
              </w:tc>
            </w:tr>
            <w:tr w14:paraId="10A14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6D9A4FC1">
                  <w:pPr>
                    <w:spacing w:line="276" w:lineRule="auto"/>
                    <w:jc w:val="center"/>
                    <w:rPr>
                      <w:rFonts w:ascii="Times New Roman" w:hAnsi="Times New Roman" w:eastAsia="宋体" w:cs="Times New Roman"/>
                      <w:snapToGrid w:val="0"/>
                      <w:color w:val="auto"/>
                      <w:szCs w:val="21"/>
                    </w:rPr>
                  </w:pPr>
                </w:p>
              </w:tc>
              <w:tc>
                <w:tcPr>
                  <w:tcW w:w="588" w:type="pct"/>
                  <w:vMerge w:val="restart"/>
                  <w:vAlign w:val="center"/>
                </w:tcPr>
                <w:p w14:paraId="2A514418">
                  <w:pPr>
                    <w:spacing w:line="276" w:lineRule="auto"/>
                    <w:jc w:val="center"/>
                    <w:rPr>
                      <w:rFonts w:ascii="Times New Roman" w:hAnsi="Times New Roman" w:eastAsia="宋体" w:cs="Times New Roman"/>
                      <w:snapToGrid w:val="0"/>
                      <w:color w:val="auto"/>
                      <w:szCs w:val="24"/>
                    </w:rPr>
                  </w:pPr>
                  <w:r>
                    <w:rPr>
                      <w:rFonts w:ascii="Times New Roman" w:hAnsi="Times New Roman" w:eastAsia="宋体" w:cs="Times New Roman"/>
                      <w:snapToGrid w:val="0"/>
                      <w:color w:val="auto"/>
                      <w:szCs w:val="24"/>
                    </w:rPr>
                    <w:t>CO</w:t>
                  </w:r>
                </w:p>
              </w:tc>
              <w:tc>
                <w:tcPr>
                  <w:tcW w:w="1217" w:type="pct"/>
                  <w:vAlign w:val="center"/>
                </w:tcPr>
                <w:p w14:paraId="78215CFB">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1小时平均</w:t>
                  </w:r>
                </w:p>
              </w:tc>
              <w:tc>
                <w:tcPr>
                  <w:tcW w:w="1026" w:type="pct"/>
                  <w:vAlign w:val="center"/>
                </w:tcPr>
                <w:p w14:paraId="17A3E8D0">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10mg/m</w:t>
                  </w:r>
                  <w:r>
                    <w:rPr>
                      <w:rFonts w:ascii="Times New Roman" w:hAnsi="Times New Roman" w:eastAsia="宋体" w:cs="Times New Roman"/>
                      <w:snapToGrid w:val="0"/>
                      <w:color w:val="auto"/>
                      <w:kern w:val="0"/>
                      <w:szCs w:val="21"/>
                      <w:vertAlign w:val="superscript"/>
                    </w:rPr>
                    <w:t>3</w:t>
                  </w:r>
                </w:p>
              </w:tc>
              <w:tc>
                <w:tcPr>
                  <w:tcW w:w="1659" w:type="pct"/>
                  <w:vMerge w:val="continue"/>
                  <w:vAlign w:val="center"/>
                </w:tcPr>
                <w:p w14:paraId="36C670F0">
                  <w:pPr>
                    <w:widowControl/>
                    <w:spacing w:line="276" w:lineRule="auto"/>
                    <w:jc w:val="center"/>
                    <w:rPr>
                      <w:rFonts w:ascii="Times New Roman" w:hAnsi="Times New Roman" w:eastAsia="宋体" w:cs="Times New Roman"/>
                      <w:snapToGrid w:val="0"/>
                      <w:color w:val="auto"/>
                      <w:kern w:val="0"/>
                      <w:szCs w:val="21"/>
                    </w:rPr>
                  </w:pPr>
                </w:p>
              </w:tc>
            </w:tr>
            <w:tr w14:paraId="3D882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1683E24F">
                  <w:pPr>
                    <w:spacing w:line="276" w:lineRule="auto"/>
                    <w:jc w:val="center"/>
                    <w:rPr>
                      <w:rFonts w:ascii="Times New Roman" w:hAnsi="Times New Roman" w:eastAsia="宋体" w:cs="Times New Roman"/>
                      <w:snapToGrid w:val="0"/>
                      <w:color w:val="auto"/>
                      <w:szCs w:val="21"/>
                    </w:rPr>
                  </w:pPr>
                </w:p>
              </w:tc>
              <w:tc>
                <w:tcPr>
                  <w:tcW w:w="588" w:type="pct"/>
                  <w:vMerge w:val="continue"/>
                  <w:vAlign w:val="center"/>
                </w:tcPr>
                <w:p w14:paraId="6C248032">
                  <w:pPr>
                    <w:spacing w:line="276" w:lineRule="auto"/>
                    <w:jc w:val="center"/>
                    <w:rPr>
                      <w:rFonts w:ascii="Times New Roman" w:hAnsi="Times New Roman" w:eastAsia="宋体" w:cs="Times New Roman"/>
                      <w:snapToGrid w:val="0"/>
                      <w:color w:val="auto"/>
                      <w:szCs w:val="21"/>
                    </w:rPr>
                  </w:pPr>
                </w:p>
              </w:tc>
              <w:tc>
                <w:tcPr>
                  <w:tcW w:w="1217" w:type="pct"/>
                  <w:vAlign w:val="center"/>
                </w:tcPr>
                <w:p w14:paraId="305B05FB">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24小时平均</w:t>
                  </w:r>
                </w:p>
              </w:tc>
              <w:tc>
                <w:tcPr>
                  <w:tcW w:w="1026" w:type="pct"/>
                  <w:vAlign w:val="center"/>
                </w:tcPr>
                <w:p w14:paraId="3A7A283E">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4mg/m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47282252">
                  <w:pPr>
                    <w:widowControl/>
                    <w:spacing w:line="276" w:lineRule="auto"/>
                    <w:jc w:val="center"/>
                    <w:rPr>
                      <w:rFonts w:ascii="Times New Roman" w:hAnsi="Times New Roman" w:eastAsia="宋体" w:cs="Times New Roman"/>
                      <w:snapToGrid w:val="0"/>
                      <w:color w:val="auto"/>
                      <w:kern w:val="0"/>
                      <w:szCs w:val="21"/>
                    </w:rPr>
                  </w:pPr>
                </w:p>
              </w:tc>
            </w:tr>
            <w:tr w14:paraId="5A9DB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375DF6F2">
                  <w:pPr>
                    <w:spacing w:line="276" w:lineRule="auto"/>
                    <w:jc w:val="center"/>
                    <w:rPr>
                      <w:rFonts w:ascii="Times New Roman" w:hAnsi="Times New Roman" w:eastAsia="宋体" w:cs="Times New Roman"/>
                      <w:snapToGrid w:val="0"/>
                      <w:color w:val="auto"/>
                      <w:kern w:val="0"/>
                      <w:szCs w:val="21"/>
                    </w:rPr>
                  </w:pPr>
                </w:p>
              </w:tc>
              <w:tc>
                <w:tcPr>
                  <w:tcW w:w="588" w:type="pct"/>
                  <w:vMerge w:val="restart"/>
                  <w:vAlign w:val="center"/>
                </w:tcPr>
                <w:p w14:paraId="20A3DD0D">
                  <w:pPr>
                    <w:spacing w:line="276" w:lineRule="auto"/>
                    <w:jc w:val="center"/>
                    <w:rPr>
                      <w:rFonts w:ascii="Times New Roman" w:hAnsi="Times New Roman" w:eastAsia="宋体" w:cs="Times New Roman"/>
                      <w:snapToGrid w:val="0"/>
                      <w:color w:val="auto"/>
                      <w:kern w:val="0"/>
                      <w:szCs w:val="24"/>
                    </w:rPr>
                  </w:pPr>
                  <w:r>
                    <w:rPr>
                      <w:rFonts w:ascii="Times New Roman" w:hAnsi="Times New Roman" w:eastAsia="宋体" w:cs="Times New Roman"/>
                      <w:color w:val="auto"/>
                      <w:szCs w:val="24"/>
                    </w:rPr>
                    <w:t>PM</w:t>
                  </w:r>
                  <w:r>
                    <w:rPr>
                      <w:rFonts w:ascii="Times New Roman" w:hAnsi="Times New Roman" w:eastAsia="宋体" w:cs="Times New Roman"/>
                      <w:color w:val="auto"/>
                      <w:szCs w:val="24"/>
                      <w:vertAlign w:val="subscript"/>
                    </w:rPr>
                    <w:t>2.5</w:t>
                  </w:r>
                </w:p>
              </w:tc>
              <w:tc>
                <w:tcPr>
                  <w:tcW w:w="1217" w:type="pct"/>
                  <w:vAlign w:val="center"/>
                </w:tcPr>
                <w:p w14:paraId="13A0CC4D">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24小时平均</w:t>
                  </w:r>
                </w:p>
              </w:tc>
              <w:tc>
                <w:tcPr>
                  <w:tcW w:w="1026" w:type="pct"/>
                  <w:vAlign w:val="center"/>
                </w:tcPr>
                <w:p w14:paraId="35CE6182">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75μg/m</w:t>
                  </w:r>
                  <w:r>
                    <w:rPr>
                      <w:rFonts w:ascii="Times New Roman" w:hAnsi="Times New Roman" w:eastAsia="宋体" w:cs="Times New Roman"/>
                      <w:snapToGrid w:val="0"/>
                      <w:color w:val="auto"/>
                      <w:kern w:val="0"/>
                      <w:szCs w:val="21"/>
                      <w:vertAlign w:val="superscript"/>
                    </w:rPr>
                    <w:t>3</w:t>
                  </w:r>
                </w:p>
              </w:tc>
              <w:tc>
                <w:tcPr>
                  <w:tcW w:w="1659" w:type="pct"/>
                  <w:vMerge w:val="continue"/>
                  <w:vAlign w:val="center"/>
                </w:tcPr>
                <w:p w14:paraId="5EC6A828">
                  <w:pPr>
                    <w:widowControl/>
                    <w:spacing w:line="276" w:lineRule="auto"/>
                    <w:jc w:val="center"/>
                    <w:rPr>
                      <w:rFonts w:ascii="Times New Roman" w:hAnsi="Times New Roman" w:eastAsia="宋体" w:cs="Times New Roman"/>
                      <w:snapToGrid w:val="0"/>
                      <w:color w:val="auto"/>
                      <w:kern w:val="0"/>
                      <w:szCs w:val="21"/>
                    </w:rPr>
                  </w:pPr>
                </w:p>
              </w:tc>
            </w:tr>
            <w:tr w14:paraId="1F8FE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604C400D">
                  <w:pPr>
                    <w:spacing w:line="276" w:lineRule="auto"/>
                    <w:jc w:val="center"/>
                    <w:rPr>
                      <w:rFonts w:ascii="Times New Roman" w:hAnsi="Times New Roman" w:eastAsia="宋体" w:cs="Times New Roman"/>
                      <w:snapToGrid w:val="0"/>
                      <w:color w:val="auto"/>
                      <w:kern w:val="0"/>
                      <w:szCs w:val="21"/>
                    </w:rPr>
                  </w:pPr>
                </w:p>
              </w:tc>
              <w:tc>
                <w:tcPr>
                  <w:tcW w:w="588" w:type="pct"/>
                  <w:vMerge w:val="continue"/>
                  <w:vAlign w:val="center"/>
                </w:tcPr>
                <w:p w14:paraId="4E914E02">
                  <w:pPr>
                    <w:widowControl/>
                    <w:spacing w:line="276" w:lineRule="auto"/>
                    <w:jc w:val="center"/>
                    <w:rPr>
                      <w:rFonts w:ascii="Times New Roman" w:hAnsi="Times New Roman" w:eastAsia="宋体" w:cs="Times New Roman"/>
                      <w:snapToGrid w:val="0"/>
                      <w:color w:val="auto"/>
                      <w:kern w:val="0"/>
                      <w:szCs w:val="21"/>
                    </w:rPr>
                  </w:pPr>
                </w:p>
              </w:tc>
              <w:tc>
                <w:tcPr>
                  <w:tcW w:w="1217" w:type="pct"/>
                  <w:vAlign w:val="center"/>
                </w:tcPr>
                <w:p w14:paraId="5A9F8AD2">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年平均</w:t>
                  </w:r>
                </w:p>
              </w:tc>
              <w:tc>
                <w:tcPr>
                  <w:tcW w:w="1026" w:type="pct"/>
                  <w:vAlign w:val="center"/>
                </w:tcPr>
                <w:p w14:paraId="5B01575C">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35μg/m</w:t>
                  </w:r>
                  <w:r>
                    <w:rPr>
                      <w:rFonts w:ascii="Times New Roman" w:hAnsi="Times New Roman" w:eastAsia="宋体" w:cs="Times New Roman"/>
                      <w:snapToGrid w:val="0"/>
                      <w:color w:val="auto"/>
                      <w:kern w:val="0"/>
                      <w:szCs w:val="21"/>
                      <w:vertAlign w:val="superscript"/>
                    </w:rPr>
                    <w:t>3</w:t>
                  </w:r>
                </w:p>
              </w:tc>
              <w:tc>
                <w:tcPr>
                  <w:tcW w:w="1659" w:type="pct"/>
                  <w:vMerge w:val="continue"/>
                  <w:vAlign w:val="center"/>
                </w:tcPr>
                <w:p w14:paraId="306E3389">
                  <w:pPr>
                    <w:widowControl/>
                    <w:spacing w:line="276" w:lineRule="auto"/>
                    <w:jc w:val="center"/>
                    <w:rPr>
                      <w:rFonts w:ascii="Times New Roman" w:hAnsi="Times New Roman" w:eastAsia="宋体" w:cs="Times New Roman"/>
                      <w:snapToGrid w:val="0"/>
                      <w:color w:val="auto"/>
                      <w:kern w:val="0"/>
                      <w:szCs w:val="21"/>
                    </w:rPr>
                  </w:pPr>
                </w:p>
              </w:tc>
            </w:tr>
            <w:tr w14:paraId="7E00E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3652091A">
                  <w:pPr>
                    <w:widowControl/>
                    <w:spacing w:line="276" w:lineRule="auto"/>
                    <w:jc w:val="center"/>
                    <w:rPr>
                      <w:rFonts w:ascii="Times New Roman" w:hAnsi="Times New Roman" w:eastAsia="宋体" w:cs="Times New Roman"/>
                      <w:snapToGrid w:val="0"/>
                      <w:color w:val="auto"/>
                      <w:kern w:val="0"/>
                      <w:szCs w:val="21"/>
                    </w:rPr>
                  </w:pPr>
                </w:p>
              </w:tc>
              <w:tc>
                <w:tcPr>
                  <w:tcW w:w="588" w:type="pct"/>
                  <w:vMerge w:val="restart"/>
                  <w:vAlign w:val="center"/>
                </w:tcPr>
                <w:p w14:paraId="10645093">
                  <w:pPr>
                    <w:spacing w:line="276" w:lineRule="auto"/>
                    <w:jc w:val="center"/>
                    <w:rPr>
                      <w:rFonts w:ascii="Times New Roman" w:hAnsi="Times New Roman" w:eastAsia="宋体" w:cs="Times New Roman"/>
                      <w:snapToGrid w:val="0"/>
                      <w:color w:val="auto"/>
                      <w:kern w:val="0"/>
                      <w:szCs w:val="24"/>
                    </w:rPr>
                  </w:pPr>
                  <w:r>
                    <w:rPr>
                      <w:rFonts w:ascii="Times New Roman" w:hAnsi="Times New Roman" w:eastAsia="宋体" w:cs="Times New Roman"/>
                      <w:color w:val="auto"/>
                      <w:szCs w:val="24"/>
                    </w:rPr>
                    <w:t>PM</w:t>
                  </w:r>
                  <w:r>
                    <w:rPr>
                      <w:rFonts w:ascii="Times New Roman" w:hAnsi="Times New Roman" w:eastAsia="宋体" w:cs="Times New Roman"/>
                      <w:color w:val="auto"/>
                      <w:szCs w:val="24"/>
                      <w:vertAlign w:val="subscript"/>
                    </w:rPr>
                    <w:t>10</w:t>
                  </w:r>
                </w:p>
              </w:tc>
              <w:tc>
                <w:tcPr>
                  <w:tcW w:w="1217" w:type="pct"/>
                  <w:vAlign w:val="center"/>
                </w:tcPr>
                <w:p w14:paraId="34329849">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24小时平均</w:t>
                  </w:r>
                </w:p>
              </w:tc>
              <w:tc>
                <w:tcPr>
                  <w:tcW w:w="1026" w:type="pct"/>
                  <w:vAlign w:val="center"/>
                </w:tcPr>
                <w:p w14:paraId="54E8DDCA">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150μg/m</w:t>
                  </w:r>
                  <w:r>
                    <w:rPr>
                      <w:rFonts w:ascii="Times New Roman" w:hAnsi="Times New Roman" w:eastAsia="宋体" w:cs="Times New Roman"/>
                      <w:snapToGrid w:val="0"/>
                      <w:color w:val="auto"/>
                      <w:kern w:val="0"/>
                      <w:szCs w:val="21"/>
                      <w:vertAlign w:val="superscript"/>
                    </w:rPr>
                    <w:t>3</w:t>
                  </w:r>
                </w:p>
              </w:tc>
              <w:tc>
                <w:tcPr>
                  <w:tcW w:w="1659" w:type="pct"/>
                  <w:vMerge w:val="continue"/>
                  <w:vAlign w:val="center"/>
                </w:tcPr>
                <w:p w14:paraId="11D59772">
                  <w:pPr>
                    <w:widowControl/>
                    <w:spacing w:line="276" w:lineRule="auto"/>
                    <w:jc w:val="center"/>
                    <w:rPr>
                      <w:rFonts w:ascii="Times New Roman" w:hAnsi="Times New Roman" w:eastAsia="宋体" w:cs="Times New Roman"/>
                      <w:snapToGrid w:val="0"/>
                      <w:color w:val="auto"/>
                      <w:kern w:val="0"/>
                      <w:szCs w:val="21"/>
                    </w:rPr>
                  </w:pPr>
                </w:p>
              </w:tc>
            </w:tr>
            <w:tr w14:paraId="0D628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5397E5DE">
                  <w:pPr>
                    <w:widowControl/>
                    <w:spacing w:line="276" w:lineRule="auto"/>
                    <w:jc w:val="center"/>
                    <w:rPr>
                      <w:rFonts w:ascii="Times New Roman" w:hAnsi="Times New Roman" w:eastAsia="宋体" w:cs="Times New Roman"/>
                      <w:snapToGrid w:val="0"/>
                      <w:color w:val="auto"/>
                      <w:kern w:val="0"/>
                      <w:szCs w:val="21"/>
                    </w:rPr>
                  </w:pPr>
                </w:p>
              </w:tc>
              <w:tc>
                <w:tcPr>
                  <w:tcW w:w="588" w:type="pct"/>
                  <w:vMerge w:val="continue"/>
                  <w:vAlign w:val="center"/>
                </w:tcPr>
                <w:p w14:paraId="6A645711">
                  <w:pPr>
                    <w:widowControl/>
                    <w:spacing w:line="276" w:lineRule="auto"/>
                    <w:jc w:val="center"/>
                    <w:rPr>
                      <w:rFonts w:ascii="Times New Roman" w:hAnsi="Times New Roman" w:eastAsia="宋体" w:cs="Times New Roman"/>
                      <w:snapToGrid w:val="0"/>
                      <w:color w:val="auto"/>
                      <w:kern w:val="0"/>
                      <w:szCs w:val="21"/>
                    </w:rPr>
                  </w:pPr>
                </w:p>
              </w:tc>
              <w:tc>
                <w:tcPr>
                  <w:tcW w:w="1217" w:type="pct"/>
                  <w:vAlign w:val="center"/>
                </w:tcPr>
                <w:p w14:paraId="371D4C46">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年平均</w:t>
                  </w:r>
                </w:p>
              </w:tc>
              <w:tc>
                <w:tcPr>
                  <w:tcW w:w="1026" w:type="pct"/>
                  <w:vAlign w:val="center"/>
                </w:tcPr>
                <w:p w14:paraId="0CAED889">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70μg/m</w:t>
                  </w:r>
                  <w:r>
                    <w:rPr>
                      <w:rFonts w:ascii="Times New Roman" w:hAnsi="Times New Roman" w:eastAsia="宋体" w:cs="Times New Roman"/>
                      <w:snapToGrid w:val="0"/>
                      <w:color w:val="auto"/>
                      <w:kern w:val="0"/>
                      <w:szCs w:val="21"/>
                      <w:vertAlign w:val="superscript"/>
                    </w:rPr>
                    <w:t>3</w:t>
                  </w:r>
                </w:p>
              </w:tc>
              <w:tc>
                <w:tcPr>
                  <w:tcW w:w="1659" w:type="pct"/>
                  <w:vMerge w:val="continue"/>
                  <w:vAlign w:val="center"/>
                </w:tcPr>
                <w:p w14:paraId="06518F2C">
                  <w:pPr>
                    <w:widowControl/>
                    <w:spacing w:line="276" w:lineRule="auto"/>
                    <w:jc w:val="center"/>
                    <w:rPr>
                      <w:rFonts w:ascii="Times New Roman" w:hAnsi="Times New Roman" w:eastAsia="宋体" w:cs="Times New Roman"/>
                      <w:snapToGrid w:val="0"/>
                      <w:color w:val="auto"/>
                      <w:kern w:val="0"/>
                      <w:szCs w:val="21"/>
                    </w:rPr>
                  </w:pPr>
                </w:p>
              </w:tc>
            </w:tr>
            <w:tr w14:paraId="06F18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0E4654CB">
                  <w:pPr>
                    <w:widowControl/>
                    <w:spacing w:line="276" w:lineRule="auto"/>
                    <w:jc w:val="center"/>
                    <w:rPr>
                      <w:rFonts w:ascii="Times New Roman" w:hAnsi="Times New Roman" w:eastAsia="宋体" w:cs="Times New Roman"/>
                      <w:snapToGrid w:val="0"/>
                      <w:color w:val="auto"/>
                      <w:kern w:val="0"/>
                      <w:szCs w:val="21"/>
                    </w:rPr>
                  </w:pPr>
                </w:p>
              </w:tc>
              <w:tc>
                <w:tcPr>
                  <w:tcW w:w="588" w:type="pct"/>
                  <w:vMerge w:val="restart"/>
                  <w:vAlign w:val="center"/>
                </w:tcPr>
                <w:p w14:paraId="652664E5">
                  <w:pPr>
                    <w:spacing w:line="276" w:lineRule="auto"/>
                    <w:jc w:val="center"/>
                    <w:rPr>
                      <w:rFonts w:ascii="Times New Roman" w:hAnsi="Times New Roman" w:eastAsia="宋体" w:cs="Times New Roman"/>
                      <w:snapToGrid w:val="0"/>
                      <w:color w:val="auto"/>
                      <w:szCs w:val="24"/>
                    </w:rPr>
                  </w:pPr>
                  <w:r>
                    <w:rPr>
                      <w:rFonts w:ascii="Times New Roman" w:hAnsi="Times New Roman" w:eastAsia="宋体" w:cs="Times New Roman"/>
                      <w:snapToGrid w:val="0"/>
                      <w:color w:val="auto"/>
                      <w:szCs w:val="24"/>
                    </w:rPr>
                    <w:t>O</w:t>
                  </w:r>
                  <w:r>
                    <w:rPr>
                      <w:rFonts w:ascii="Times New Roman" w:hAnsi="Times New Roman" w:eastAsia="宋体" w:cs="Times New Roman"/>
                      <w:snapToGrid w:val="0"/>
                      <w:color w:val="auto"/>
                      <w:szCs w:val="24"/>
                      <w:vertAlign w:val="subscript"/>
                    </w:rPr>
                    <w:t>3</w:t>
                  </w:r>
                </w:p>
              </w:tc>
              <w:tc>
                <w:tcPr>
                  <w:tcW w:w="1217" w:type="pct"/>
                  <w:vAlign w:val="center"/>
                </w:tcPr>
                <w:p w14:paraId="40DF7694">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1小时平均</w:t>
                  </w:r>
                </w:p>
              </w:tc>
              <w:tc>
                <w:tcPr>
                  <w:tcW w:w="1026" w:type="pct"/>
                  <w:vAlign w:val="center"/>
                </w:tcPr>
                <w:p w14:paraId="1A9720D6">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200μg/m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6456BE33">
                  <w:pPr>
                    <w:widowControl/>
                    <w:spacing w:line="276" w:lineRule="auto"/>
                    <w:jc w:val="center"/>
                    <w:rPr>
                      <w:rFonts w:ascii="Times New Roman" w:hAnsi="Times New Roman" w:eastAsia="宋体" w:cs="Times New Roman"/>
                      <w:snapToGrid w:val="0"/>
                      <w:color w:val="auto"/>
                      <w:kern w:val="0"/>
                      <w:szCs w:val="21"/>
                    </w:rPr>
                  </w:pPr>
                </w:p>
              </w:tc>
            </w:tr>
            <w:tr w14:paraId="679BC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794BB455">
                  <w:pPr>
                    <w:widowControl/>
                    <w:spacing w:line="276" w:lineRule="auto"/>
                    <w:jc w:val="center"/>
                    <w:rPr>
                      <w:rFonts w:ascii="Times New Roman" w:hAnsi="Times New Roman" w:eastAsia="宋体" w:cs="Times New Roman"/>
                      <w:snapToGrid w:val="0"/>
                      <w:color w:val="auto"/>
                      <w:kern w:val="0"/>
                      <w:szCs w:val="21"/>
                    </w:rPr>
                  </w:pPr>
                </w:p>
              </w:tc>
              <w:tc>
                <w:tcPr>
                  <w:tcW w:w="588" w:type="pct"/>
                  <w:vMerge w:val="continue"/>
                  <w:vAlign w:val="center"/>
                </w:tcPr>
                <w:p w14:paraId="66424FC5">
                  <w:pPr>
                    <w:widowControl/>
                    <w:spacing w:line="276" w:lineRule="auto"/>
                    <w:jc w:val="center"/>
                    <w:rPr>
                      <w:rFonts w:ascii="Times New Roman" w:hAnsi="Times New Roman" w:eastAsia="宋体" w:cs="Times New Roman"/>
                      <w:snapToGrid w:val="0"/>
                      <w:color w:val="auto"/>
                      <w:kern w:val="0"/>
                      <w:szCs w:val="21"/>
                    </w:rPr>
                  </w:pPr>
                </w:p>
              </w:tc>
              <w:tc>
                <w:tcPr>
                  <w:tcW w:w="1217" w:type="pct"/>
                  <w:vAlign w:val="center"/>
                </w:tcPr>
                <w:p w14:paraId="09CB7A71">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日最大8小时平均</w:t>
                  </w:r>
                </w:p>
              </w:tc>
              <w:tc>
                <w:tcPr>
                  <w:tcW w:w="1026" w:type="pct"/>
                  <w:vAlign w:val="center"/>
                </w:tcPr>
                <w:p w14:paraId="7426FE93">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160μg/m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72A4E49D">
                  <w:pPr>
                    <w:widowControl/>
                    <w:spacing w:line="276" w:lineRule="auto"/>
                    <w:jc w:val="center"/>
                    <w:rPr>
                      <w:rFonts w:ascii="Times New Roman" w:hAnsi="Times New Roman" w:eastAsia="宋体" w:cs="Times New Roman"/>
                      <w:snapToGrid w:val="0"/>
                      <w:color w:val="auto"/>
                      <w:kern w:val="0"/>
                      <w:szCs w:val="21"/>
                    </w:rPr>
                  </w:pPr>
                </w:p>
              </w:tc>
            </w:tr>
            <w:tr w14:paraId="7D0D7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708BB620">
                  <w:pPr>
                    <w:widowControl/>
                    <w:spacing w:line="276" w:lineRule="auto"/>
                    <w:jc w:val="center"/>
                    <w:rPr>
                      <w:rFonts w:ascii="Times New Roman" w:hAnsi="Times New Roman" w:eastAsia="宋体" w:cs="Times New Roman"/>
                      <w:snapToGrid w:val="0"/>
                      <w:color w:val="auto"/>
                      <w:kern w:val="0"/>
                      <w:szCs w:val="21"/>
                    </w:rPr>
                  </w:pPr>
                </w:p>
              </w:tc>
              <w:tc>
                <w:tcPr>
                  <w:tcW w:w="588" w:type="pct"/>
                  <w:vMerge w:val="restart"/>
                  <w:vAlign w:val="center"/>
                </w:tcPr>
                <w:p w14:paraId="49ACF490">
                  <w:pPr>
                    <w:widowControl/>
                    <w:spacing w:line="276" w:lineRule="auto"/>
                    <w:jc w:val="center"/>
                    <w:rPr>
                      <w:rFonts w:ascii="Times New Roman" w:hAnsi="Times New Roman" w:eastAsia="宋体" w:cs="Times New Roman"/>
                      <w:snapToGrid w:val="0"/>
                      <w:color w:val="auto"/>
                      <w:kern w:val="0"/>
                      <w:szCs w:val="21"/>
                    </w:rPr>
                  </w:pPr>
                  <w:r>
                    <w:rPr>
                      <w:rFonts w:hint="eastAsia" w:ascii="Times New Roman" w:hAnsi="Times New Roman" w:eastAsia="宋体" w:cs="Times New Roman"/>
                      <w:snapToGrid w:val="0"/>
                      <w:color w:val="auto"/>
                      <w:kern w:val="0"/>
                      <w:szCs w:val="21"/>
                    </w:rPr>
                    <w:t>TSP</w:t>
                  </w:r>
                </w:p>
              </w:tc>
              <w:tc>
                <w:tcPr>
                  <w:tcW w:w="1217" w:type="pct"/>
                  <w:vAlign w:val="center"/>
                </w:tcPr>
                <w:p w14:paraId="6EDFEF0F">
                  <w:pPr>
                    <w:spacing w:line="276" w:lineRule="auto"/>
                    <w:jc w:val="center"/>
                    <w:rPr>
                      <w:rFonts w:ascii="Times New Roman" w:hAnsi="Times New Roman" w:eastAsia="宋体" w:cs="Times New Roman"/>
                      <w:snapToGrid w:val="0"/>
                      <w:color w:val="auto"/>
                      <w:szCs w:val="21"/>
                    </w:rPr>
                  </w:pPr>
                  <w:r>
                    <w:rPr>
                      <w:rFonts w:hint="eastAsia" w:ascii="Times New Roman" w:hAnsi="Times New Roman" w:eastAsia="宋体" w:cs="Times New Roman"/>
                      <w:snapToGrid w:val="0"/>
                      <w:color w:val="auto"/>
                      <w:szCs w:val="21"/>
                    </w:rPr>
                    <w:t>24小时平均</w:t>
                  </w:r>
                </w:p>
              </w:tc>
              <w:tc>
                <w:tcPr>
                  <w:tcW w:w="1026" w:type="pct"/>
                  <w:vAlign w:val="center"/>
                </w:tcPr>
                <w:p w14:paraId="05866E93">
                  <w:pPr>
                    <w:spacing w:line="276" w:lineRule="auto"/>
                    <w:jc w:val="center"/>
                    <w:rPr>
                      <w:rFonts w:ascii="Times New Roman" w:hAnsi="Times New Roman" w:eastAsia="宋体" w:cs="Times New Roman"/>
                      <w:snapToGrid w:val="0"/>
                      <w:color w:val="auto"/>
                      <w:szCs w:val="21"/>
                    </w:rPr>
                  </w:pPr>
                  <w:r>
                    <w:rPr>
                      <w:rFonts w:hint="eastAsia" w:ascii="Times New Roman" w:hAnsi="Times New Roman" w:eastAsia="宋体" w:cs="Times New Roman"/>
                      <w:snapToGrid w:val="0"/>
                      <w:color w:val="auto"/>
                      <w:szCs w:val="21"/>
                    </w:rPr>
                    <w:t>300</w:t>
                  </w:r>
                  <w:r>
                    <w:rPr>
                      <w:rFonts w:ascii="Times New Roman" w:hAnsi="Times New Roman" w:eastAsia="宋体" w:cs="Times New Roman"/>
                      <w:snapToGrid w:val="0"/>
                      <w:color w:val="auto"/>
                      <w:szCs w:val="21"/>
                    </w:rPr>
                    <w:t>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122B7626">
                  <w:pPr>
                    <w:widowControl/>
                    <w:spacing w:line="276" w:lineRule="auto"/>
                    <w:jc w:val="center"/>
                    <w:rPr>
                      <w:rFonts w:ascii="Times New Roman" w:hAnsi="Times New Roman" w:eastAsia="宋体" w:cs="Times New Roman"/>
                      <w:snapToGrid w:val="0"/>
                      <w:color w:val="auto"/>
                      <w:kern w:val="0"/>
                      <w:szCs w:val="21"/>
                    </w:rPr>
                  </w:pPr>
                </w:p>
              </w:tc>
            </w:tr>
            <w:tr w14:paraId="7CFC4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633459C3">
                  <w:pPr>
                    <w:widowControl/>
                    <w:spacing w:line="276" w:lineRule="auto"/>
                    <w:jc w:val="center"/>
                    <w:rPr>
                      <w:rFonts w:ascii="Times New Roman" w:hAnsi="Times New Roman" w:eastAsia="宋体" w:cs="Times New Roman"/>
                      <w:snapToGrid w:val="0"/>
                      <w:color w:val="auto"/>
                      <w:kern w:val="0"/>
                      <w:szCs w:val="21"/>
                    </w:rPr>
                  </w:pPr>
                </w:p>
              </w:tc>
              <w:tc>
                <w:tcPr>
                  <w:tcW w:w="588" w:type="pct"/>
                  <w:vMerge w:val="continue"/>
                  <w:vAlign w:val="center"/>
                </w:tcPr>
                <w:p w14:paraId="014595D3">
                  <w:pPr>
                    <w:widowControl/>
                    <w:spacing w:line="276" w:lineRule="auto"/>
                    <w:jc w:val="center"/>
                    <w:rPr>
                      <w:rFonts w:ascii="Times New Roman" w:hAnsi="Times New Roman" w:eastAsia="宋体" w:cs="Times New Roman"/>
                      <w:snapToGrid w:val="0"/>
                      <w:color w:val="auto"/>
                      <w:kern w:val="0"/>
                      <w:szCs w:val="21"/>
                    </w:rPr>
                  </w:pPr>
                </w:p>
              </w:tc>
              <w:tc>
                <w:tcPr>
                  <w:tcW w:w="1217" w:type="pct"/>
                  <w:vAlign w:val="center"/>
                </w:tcPr>
                <w:p w14:paraId="0F9424B0">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年平均</w:t>
                  </w:r>
                </w:p>
              </w:tc>
              <w:tc>
                <w:tcPr>
                  <w:tcW w:w="1026" w:type="pct"/>
                  <w:vAlign w:val="center"/>
                </w:tcPr>
                <w:p w14:paraId="49D7215A">
                  <w:pPr>
                    <w:spacing w:line="276" w:lineRule="auto"/>
                    <w:jc w:val="center"/>
                    <w:rPr>
                      <w:rFonts w:ascii="Times New Roman" w:hAnsi="Times New Roman" w:eastAsia="宋体" w:cs="Times New Roman"/>
                      <w:snapToGrid w:val="0"/>
                      <w:color w:val="auto"/>
                      <w:szCs w:val="21"/>
                    </w:rPr>
                  </w:pPr>
                  <w:r>
                    <w:rPr>
                      <w:rFonts w:hint="eastAsia" w:ascii="Times New Roman" w:hAnsi="Times New Roman" w:eastAsia="宋体" w:cs="Times New Roman"/>
                      <w:snapToGrid w:val="0"/>
                      <w:color w:val="auto"/>
                      <w:szCs w:val="21"/>
                    </w:rPr>
                    <w:t>200</w:t>
                  </w:r>
                  <w:r>
                    <w:rPr>
                      <w:rFonts w:ascii="Times New Roman" w:hAnsi="Times New Roman" w:eastAsia="宋体" w:cs="Times New Roman"/>
                      <w:snapToGrid w:val="0"/>
                      <w:color w:val="auto"/>
                      <w:szCs w:val="21"/>
                    </w:rPr>
                    <w:t>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621A829A">
                  <w:pPr>
                    <w:widowControl/>
                    <w:spacing w:line="276" w:lineRule="auto"/>
                    <w:jc w:val="center"/>
                    <w:rPr>
                      <w:rFonts w:ascii="Times New Roman" w:hAnsi="Times New Roman" w:eastAsia="宋体" w:cs="Times New Roman"/>
                      <w:snapToGrid w:val="0"/>
                      <w:color w:val="auto"/>
                      <w:kern w:val="0"/>
                      <w:szCs w:val="21"/>
                    </w:rPr>
                  </w:pPr>
                </w:p>
              </w:tc>
            </w:tr>
          </w:tbl>
          <w:p w14:paraId="72CEC5C4">
            <w:pPr>
              <w:spacing w:line="360" w:lineRule="auto"/>
              <w:ind w:firstLine="482" w:firstLineChars="200"/>
              <w:rPr>
                <w:rFonts w:ascii="Times New Roman" w:hAnsi="宋体" w:eastAsia="宋体" w:cs="Times New Roman"/>
                <w:b/>
                <w:color w:val="auto"/>
                <w:kern w:val="0"/>
                <w:sz w:val="24"/>
                <w:szCs w:val="24"/>
              </w:rPr>
            </w:pPr>
            <w:r>
              <w:rPr>
                <w:rFonts w:hint="eastAsia" w:ascii="Times New Roman" w:hAnsi="Times New Roman" w:eastAsia="宋体" w:cs="Times New Roman"/>
                <w:b/>
                <w:color w:val="auto"/>
                <w:kern w:val="0"/>
                <w:sz w:val="24"/>
                <w:szCs w:val="24"/>
              </w:rPr>
              <w:t>（2）</w:t>
            </w:r>
            <w:r>
              <w:rPr>
                <w:rFonts w:ascii="Times New Roman" w:hAnsi="宋体" w:eastAsia="宋体" w:cs="Times New Roman"/>
                <w:b/>
                <w:color w:val="auto"/>
                <w:kern w:val="0"/>
                <w:sz w:val="24"/>
                <w:szCs w:val="24"/>
              </w:rPr>
              <w:t>地表水环境质量标准</w:t>
            </w:r>
          </w:p>
          <w:p w14:paraId="4386EB12">
            <w:pPr>
              <w:spacing w:line="360" w:lineRule="auto"/>
              <w:ind w:firstLine="480" w:firstLineChars="200"/>
              <w:rPr>
                <w:rFonts w:ascii="Times New Roman" w:hAnsi="宋体" w:eastAsia="宋体" w:cs="Times New Roman"/>
                <w:snapToGrid w:val="0"/>
                <w:color w:val="auto"/>
                <w:kern w:val="0"/>
                <w:sz w:val="24"/>
                <w:szCs w:val="24"/>
              </w:rPr>
            </w:pPr>
            <w:r>
              <w:rPr>
                <w:rFonts w:ascii="Times New Roman" w:hAnsi="宋体" w:eastAsia="宋体" w:cs="Times New Roman"/>
                <w:color w:val="auto"/>
                <w:kern w:val="0"/>
                <w:sz w:val="24"/>
                <w:szCs w:val="24"/>
              </w:rPr>
              <w:t>评价区域地表水</w:t>
            </w:r>
            <w:r>
              <w:rPr>
                <w:rFonts w:hint="eastAsia" w:ascii="Times New Roman" w:hAnsi="宋体" w:eastAsia="宋体" w:cs="Times New Roman"/>
                <w:snapToGrid w:val="0"/>
                <w:color w:val="auto"/>
                <w:kern w:val="0"/>
                <w:sz w:val="24"/>
                <w:szCs w:val="24"/>
                <w:lang w:eastAsia="zh-CN"/>
              </w:rPr>
              <w:t>泥河</w:t>
            </w:r>
            <w:r>
              <w:rPr>
                <w:rFonts w:ascii="Times New Roman" w:hAnsi="宋体" w:eastAsia="宋体" w:cs="Times New Roman"/>
                <w:snapToGrid w:val="0"/>
                <w:color w:val="auto"/>
                <w:kern w:val="0"/>
                <w:sz w:val="24"/>
                <w:szCs w:val="24"/>
              </w:rPr>
              <w:t>执行</w:t>
            </w:r>
            <w:r>
              <w:rPr>
                <w:rFonts w:ascii="Times New Roman" w:hAnsi="宋体" w:eastAsia="宋体" w:cs="Times New Roman"/>
                <w:color w:val="auto"/>
                <w:kern w:val="0"/>
                <w:sz w:val="24"/>
                <w:szCs w:val="24"/>
              </w:rPr>
              <w:t>《地表水环境质量标准》（</w:t>
            </w:r>
            <w:r>
              <w:rPr>
                <w:rFonts w:ascii="Times New Roman" w:hAnsi="Times New Roman" w:eastAsia="宋体" w:cs="Times New Roman"/>
                <w:color w:val="auto"/>
                <w:kern w:val="0"/>
                <w:sz w:val="24"/>
                <w:szCs w:val="24"/>
              </w:rPr>
              <w:t>GB3838-2002</w:t>
            </w:r>
            <w:r>
              <w:rPr>
                <w:rFonts w:ascii="Times New Roman" w:hAnsi="宋体" w:eastAsia="宋体" w:cs="Times New Roman"/>
                <w:color w:val="auto"/>
                <w:kern w:val="0"/>
                <w:sz w:val="24"/>
                <w:szCs w:val="24"/>
              </w:rPr>
              <w:t>）</w:t>
            </w:r>
            <w:r>
              <w:rPr>
                <w:rFonts w:ascii="Times New Roman" w:hAnsi="Times New Roman" w:eastAsia="宋体" w:cs="Times New Roman"/>
                <w:color w:val="auto"/>
                <w:szCs w:val="21"/>
              </w:rPr>
              <w:t>Ⅲ</w:t>
            </w:r>
            <w:r>
              <w:rPr>
                <w:rFonts w:ascii="Times New Roman" w:hAnsi="宋体" w:eastAsia="宋体" w:cs="Times New Roman"/>
                <w:snapToGrid w:val="0"/>
                <w:color w:val="auto"/>
                <w:kern w:val="0"/>
                <w:sz w:val="24"/>
                <w:szCs w:val="24"/>
              </w:rPr>
              <w:t>类标准。</w:t>
            </w:r>
          </w:p>
          <w:p w14:paraId="56C06FD9">
            <w:pPr>
              <w:pStyle w:val="95"/>
              <w:numPr>
                <w:ilvl w:val="1"/>
                <w:numId w:val="2"/>
              </w:numPr>
              <w:tabs>
                <w:tab w:val="clear" w:pos="1440"/>
              </w:tabs>
              <w:spacing w:line="240" w:lineRule="auto"/>
              <w:ind w:left="3300" w:leftChars="0" w:hanging="1400" w:firstLineChars="0"/>
              <w:jc w:val="both"/>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水环境质量标准  单位：mg/L（pH除外）</w:t>
            </w:r>
          </w:p>
          <w:tbl>
            <w:tblPr>
              <w:tblStyle w:val="25"/>
              <w:tblW w:w="81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2724"/>
              <w:gridCol w:w="780"/>
              <w:gridCol w:w="894"/>
              <w:gridCol w:w="894"/>
              <w:gridCol w:w="895"/>
              <w:gridCol w:w="1024"/>
            </w:tblGrid>
            <w:tr w14:paraId="09A14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5" w:type="pct"/>
                  <w:vAlign w:val="center"/>
                </w:tcPr>
                <w:p w14:paraId="7DA64F4B">
                  <w:pPr>
                    <w:widowControl/>
                    <w:spacing w:line="276" w:lineRule="auto"/>
                    <w:jc w:val="center"/>
                    <w:rPr>
                      <w:rFonts w:ascii="Times New Roman" w:hAnsi="Times New Roman" w:cs="Times New Roman"/>
                      <w:color w:val="auto"/>
                      <w:szCs w:val="21"/>
                    </w:rPr>
                  </w:pPr>
                  <w:r>
                    <w:rPr>
                      <w:rFonts w:ascii="Times New Roman" w:hAnsi="Times New Roman" w:cs="Times New Roman"/>
                      <w:color w:val="auto"/>
                      <w:szCs w:val="21"/>
                    </w:rPr>
                    <w:t>评价</w:t>
                  </w:r>
                </w:p>
                <w:p w14:paraId="3D4C5EF0">
                  <w:pPr>
                    <w:widowControl/>
                    <w:spacing w:line="276" w:lineRule="auto"/>
                    <w:jc w:val="center"/>
                    <w:rPr>
                      <w:rFonts w:ascii="Times New Roman" w:hAnsi="Times New Roman" w:cs="Times New Roman"/>
                      <w:color w:val="auto"/>
                      <w:szCs w:val="21"/>
                    </w:rPr>
                  </w:pPr>
                  <w:r>
                    <w:rPr>
                      <w:rFonts w:ascii="Times New Roman" w:hAnsi="Times New Roman" w:cs="Times New Roman"/>
                      <w:color w:val="auto"/>
                      <w:szCs w:val="21"/>
                    </w:rPr>
                    <w:t>水体</w:t>
                  </w:r>
                </w:p>
              </w:tc>
              <w:tc>
                <w:tcPr>
                  <w:tcW w:w="1674" w:type="pct"/>
                  <w:vAlign w:val="center"/>
                </w:tcPr>
                <w:p w14:paraId="79159AFE">
                  <w:pPr>
                    <w:widowControl/>
                    <w:spacing w:line="276" w:lineRule="auto"/>
                    <w:jc w:val="center"/>
                    <w:rPr>
                      <w:rFonts w:ascii="Times New Roman" w:hAnsi="Times New Roman" w:cs="Times New Roman"/>
                      <w:color w:val="auto"/>
                      <w:szCs w:val="21"/>
                    </w:rPr>
                  </w:pPr>
                  <w:r>
                    <w:rPr>
                      <w:rFonts w:ascii="Times New Roman" w:hAnsi="Times New Roman" w:cs="Times New Roman"/>
                      <w:color w:val="auto"/>
                      <w:szCs w:val="21"/>
                    </w:rPr>
                    <w:t>标准</w:t>
                  </w:r>
                </w:p>
              </w:tc>
              <w:tc>
                <w:tcPr>
                  <w:tcW w:w="479" w:type="pct"/>
                  <w:vAlign w:val="center"/>
                </w:tcPr>
                <w:p w14:paraId="7BFA587F">
                  <w:pPr>
                    <w:widowControl/>
                    <w:spacing w:line="276" w:lineRule="auto"/>
                    <w:jc w:val="center"/>
                    <w:rPr>
                      <w:rFonts w:ascii="Times New Roman" w:hAnsi="Times New Roman" w:cs="Times New Roman"/>
                      <w:color w:val="auto"/>
                      <w:kern w:val="0"/>
                      <w:szCs w:val="21"/>
                    </w:rPr>
                  </w:pPr>
                  <w:r>
                    <w:rPr>
                      <w:rFonts w:ascii="Times New Roman" w:hAnsi="Times New Roman" w:cs="Times New Roman"/>
                      <w:color w:val="auto"/>
                      <w:kern w:val="0"/>
                      <w:szCs w:val="21"/>
                    </w:rPr>
                    <w:t>pH</w:t>
                  </w:r>
                </w:p>
              </w:tc>
              <w:tc>
                <w:tcPr>
                  <w:tcW w:w="549" w:type="pct"/>
                  <w:vAlign w:val="center"/>
                </w:tcPr>
                <w:p w14:paraId="14C3A2B1">
                  <w:pPr>
                    <w:widowControl/>
                    <w:spacing w:line="276" w:lineRule="auto"/>
                    <w:jc w:val="center"/>
                    <w:rPr>
                      <w:rFonts w:ascii="Times New Roman" w:hAnsi="Times New Roman" w:cs="Times New Roman"/>
                      <w:color w:val="auto"/>
                      <w:kern w:val="0"/>
                      <w:szCs w:val="21"/>
                      <w:vertAlign w:val="subscript"/>
                    </w:rPr>
                  </w:pPr>
                  <w:r>
                    <w:rPr>
                      <w:rFonts w:ascii="Times New Roman" w:hAnsi="Times New Roman" w:cs="Times New Roman"/>
                      <w:color w:val="auto"/>
                      <w:kern w:val="0"/>
                      <w:szCs w:val="21"/>
                    </w:rPr>
                    <w:t>COD</w:t>
                  </w:r>
                  <w:r>
                    <w:rPr>
                      <w:rFonts w:ascii="Times New Roman" w:hAnsi="Times New Roman" w:cs="Times New Roman"/>
                      <w:color w:val="auto"/>
                      <w:kern w:val="0"/>
                      <w:szCs w:val="21"/>
                      <w:vertAlign w:val="subscript"/>
                    </w:rPr>
                    <w:t>Cr</w:t>
                  </w:r>
                </w:p>
              </w:tc>
              <w:tc>
                <w:tcPr>
                  <w:tcW w:w="549" w:type="pct"/>
                  <w:vAlign w:val="center"/>
                </w:tcPr>
                <w:p w14:paraId="416AD30E">
                  <w:pPr>
                    <w:widowControl/>
                    <w:spacing w:line="276" w:lineRule="auto"/>
                    <w:jc w:val="center"/>
                    <w:rPr>
                      <w:rFonts w:ascii="Times New Roman" w:hAnsi="Times New Roman" w:cs="Times New Roman"/>
                      <w:color w:val="auto"/>
                      <w:kern w:val="0"/>
                      <w:szCs w:val="21"/>
                    </w:rPr>
                  </w:pPr>
                  <w:r>
                    <w:rPr>
                      <w:rFonts w:ascii="Times New Roman" w:hAnsi="Times New Roman" w:cs="Times New Roman"/>
                      <w:color w:val="auto"/>
                      <w:kern w:val="0"/>
                      <w:szCs w:val="21"/>
                    </w:rPr>
                    <w:t>BOD</w:t>
                  </w:r>
                  <w:r>
                    <w:rPr>
                      <w:rFonts w:ascii="Times New Roman" w:hAnsi="Times New Roman" w:cs="Times New Roman"/>
                      <w:color w:val="auto"/>
                      <w:kern w:val="0"/>
                      <w:szCs w:val="21"/>
                      <w:vertAlign w:val="subscript"/>
                    </w:rPr>
                    <w:t>5</w:t>
                  </w:r>
                </w:p>
              </w:tc>
              <w:tc>
                <w:tcPr>
                  <w:tcW w:w="550" w:type="pct"/>
                  <w:vAlign w:val="center"/>
                </w:tcPr>
                <w:p w14:paraId="09ABCBF5">
                  <w:pPr>
                    <w:widowControl/>
                    <w:spacing w:line="276" w:lineRule="auto"/>
                    <w:jc w:val="center"/>
                    <w:rPr>
                      <w:rFonts w:ascii="Times New Roman" w:hAnsi="Times New Roman" w:cs="Times New Roman"/>
                      <w:color w:val="auto"/>
                      <w:kern w:val="0"/>
                      <w:szCs w:val="21"/>
                    </w:rPr>
                  </w:pPr>
                  <w:r>
                    <w:rPr>
                      <w:rFonts w:ascii="Times New Roman" w:hAnsi="Times New Roman" w:cs="Times New Roman"/>
                      <w:color w:val="auto"/>
                      <w:kern w:val="0"/>
                      <w:szCs w:val="21"/>
                    </w:rPr>
                    <w:t>NH</w:t>
                  </w:r>
                  <w:r>
                    <w:rPr>
                      <w:rFonts w:ascii="Times New Roman" w:hAnsi="Times New Roman" w:cs="Times New Roman"/>
                      <w:color w:val="auto"/>
                      <w:kern w:val="0"/>
                      <w:szCs w:val="21"/>
                      <w:vertAlign w:val="subscript"/>
                    </w:rPr>
                    <w:t>3</w:t>
                  </w:r>
                  <w:r>
                    <w:rPr>
                      <w:rFonts w:ascii="Times New Roman" w:hAnsi="Times New Roman" w:cs="Times New Roman"/>
                      <w:color w:val="auto"/>
                      <w:kern w:val="0"/>
                      <w:szCs w:val="21"/>
                    </w:rPr>
                    <w:t>-N</w:t>
                  </w:r>
                </w:p>
              </w:tc>
              <w:tc>
                <w:tcPr>
                  <w:tcW w:w="629" w:type="pct"/>
                  <w:vAlign w:val="center"/>
                </w:tcPr>
                <w:p w14:paraId="35AA8E63">
                  <w:pPr>
                    <w:widowControl/>
                    <w:spacing w:line="276" w:lineRule="auto"/>
                    <w:jc w:val="center"/>
                    <w:rPr>
                      <w:rFonts w:ascii="Times New Roman" w:hAnsi="Times New Roman" w:cs="Times New Roman"/>
                      <w:color w:val="auto"/>
                      <w:kern w:val="0"/>
                      <w:szCs w:val="21"/>
                    </w:rPr>
                  </w:pPr>
                  <w:r>
                    <w:rPr>
                      <w:rFonts w:ascii="Times New Roman" w:cs="Times New Roman"/>
                      <w:color w:val="auto"/>
                      <w:kern w:val="0"/>
                      <w:szCs w:val="21"/>
                    </w:rPr>
                    <w:t>石油类</w:t>
                  </w:r>
                </w:p>
              </w:tc>
            </w:tr>
            <w:tr w14:paraId="1BA27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5" w:type="pct"/>
                  <w:vAlign w:val="center"/>
                </w:tcPr>
                <w:p w14:paraId="6A89F437">
                  <w:pPr>
                    <w:widowControl/>
                    <w:spacing w:line="276" w:lineRule="auto"/>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eastAsia="zh-CN"/>
                    </w:rPr>
                    <w:t>泥河</w:t>
                  </w:r>
                </w:p>
              </w:tc>
              <w:tc>
                <w:tcPr>
                  <w:tcW w:w="1674" w:type="pct"/>
                  <w:vAlign w:val="center"/>
                </w:tcPr>
                <w:p w14:paraId="644EEF70">
                  <w:pPr>
                    <w:widowControl/>
                    <w:spacing w:line="276" w:lineRule="auto"/>
                    <w:jc w:val="center"/>
                    <w:rPr>
                      <w:rFonts w:ascii="Times New Roman" w:hAnsi="Times New Roman" w:cs="Times New Roman"/>
                      <w:color w:val="auto"/>
                      <w:szCs w:val="21"/>
                    </w:rPr>
                  </w:pPr>
                  <w:r>
                    <w:rPr>
                      <w:rFonts w:ascii="Times New Roman" w:hAnsi="Times New Roman" w:cs="Times New Roman"/>
                      <w:snapToGrid w:val="0"/>
                      <w:color w:val="auto"/>
                      <w:kern w:val="0"/>
                      <w:szCs w:val="21"/>
                    </w:rPr>
                    <w:t>《地表水环境质量标准》（GB3838-2002）</w:t>
                  </w:r>
                  <w:r>
                    <w:rPr>
                      <w:rFonts w:ascii="Times New Roman" w:hAnsi="Times New Roman" w:eastAsia="宋体" w:cs="Times New Roman"/>
                      <w:color w:val="auto"/>
                      <w:szCs w:val="21"/>
                    </w:rPr>
                    <w:t>Ⅲ</w:t>
                  </w:r>
                  <w:r>
                    <w:rPr>
                      <w:rFonts w:ascii="Times New Roman" w:hAnsi="Times New Roman" w:cs="Times New Roman"/>
                      <w:color w:val="auto"/>
                      <w:szCs w:val="21"/>
                    </w:rPr>
                    <w:t>类标准</w:t>
                  </w:r>
                </w:p>
              </w:tc>
              <w:tc>
                <w:tcPr>
                  <w:tcW w:w="479" w:type="pct"/>
                  <w:vAlign w:val="center"/>
                </w:tcPr>
                <w:p w14:paraId="22ACD1CA">
                  <w:pPr>
                    <w:widowControl/>
                    <w:spacing w:line="276" w:lineRule="auto"/>
                    <w:jc w:val="center"/>
                    <w:rPr>
                      <w:rFonts w:ascii="Times New Roman" w:hAnsi="Times New Roman" w:cs="Times New Roman"/>
                      <w:color w:val="auto"/>
                      <w:kern w:val="0"/>
                      <w:szCs w:val="21"/>
                    </w:rPr>
                  </w:pPr>
                  <w:r>
                    <w:rPr>
                      <w:rFonts w:ascii="Times New Roman" w:hAnsi="Times New Roman" w:cs="Times New Roman"/>
                      <w:color w:val="auto"/>
                      <w:kern w:val="0"/>
                      <w:szCs w:val="21"/>
                    </w:rPr>
                    <w:t>6</w:t>
                  </w:r>
                  <w:r>
                    <w:rPr>
                      <w:rFonts w:ascii="Times New Roman" w:cs="Times New Roman"/>
                      <w:color w:val="auto"/>
                      <w:kern w:val="0"/>
                      <w:szCs w:val="21"/>
                    </w:rPr>
                    <w:t>～</w:t>
                  </w:r>
                  <w:r>
                    <w:rPr>
                      <w:rFonts w:ascii="Times New Roman" w:hAnsi="Times New Roman" w:cs="Times New Roman"/>
                      <w:color w:val="auto"/>
                      <w:kern w:val="0"/>
                      <w:szCs w:val="21"/>
                    </w:rPr>
                    <w:t>9</w:t>
                  </w:r>
                </w:p>
              </w:tc>
              <w:tc>
                <w:tcPr>
                  <w:tcW w:w="549" w:type="pct"/>
                  <w:vAlign w:val="center"/>
                </w:tcPr>
                <w:p w14:paraId="30245353">
                  <w:pPr>
                    <w:spacing w:line="276" w:lineRule="auto"/>
                    <w:jc w:val="center"/>
                    <w:rPr>
                      <w:rFonts w:ascii="Times New Roman" w:hAnsi="Times New Roman" w:cs="Times New Roman"/>
                      <w:color w:val="auto"/>
                      <w:szCs w:val="21"/>
                    </w:rPr>
                  </w:pPr>
                  <w:r>
                    <w:rPr>
                      <w:rFonts w:ascii="Times New Roman" w:hAnsi="Times New Roman" w:cs="Times New Roman"/>
                      <w:color w:val="auto"/>
                      <w:kern w:val="0"/>
                      <w:szCs w:val="21"/>
                    </w:rPr>
                    <w:t>≤</w:t>
                  </w:r>
                  <w:r>
                    <w:rPr>
                      <w:rFonts w:hint="eastAsia" w:ascii="Times New Roman" w:hAnsi="Times New Roman" w:cs="Times New Roman"/>
                      <w:color w:val="auto"/>
                      <w:kern w:val="0"/>
                      <w:szCs w:val="21"/>
                    </w:rPr>
                    <w:t>20</w:t>
                  </w:r>
                </w:p>
              </w:tc>
              <w:tc>
                <w:tcPr>
                  <w:tcW w:w="549" w:type="pct"/>
                  <w:vAlign w:val="center"/>
                </w:tcPr>
                <w:p w14:paraId="594622FA">
                  <w:pPr>
                    <w:widowControl/>
                    <w:spacing w:line="276" w:lineRule="auto"/>
                    <w:jc w:val="center"/>
                    <w:rPr>
                      <w:rFonts w:ascii="Times New Roman" w:hAnsi="Times New Roman" w:cs="Times New Roman"/>
                      <w:color w:val="auto"/>
                      <w:kern w:val="0"/>
                      <w:szCs w:val="21"/>
                    </w:rPr>
                  </w:pPr>
                  <w:r>
                    <w:rPr>
                      <w:rFonts w:ascii="Times New Roman" w:hAnsi="Times New Roman" w:cs="Times New Roman"/>
                      <w:color w:val="auto"/>
                      <w:kern w:val="0"/>
                      <w:szCs w:val="21"/>
                    </w:rPr>
                    <w:t>≤</w:t>
                  </w:r>
                  <w:r>
                    <w:rPr>
                      <w:rFonts w:hint="eastAsia" w:ascii="Times New Roman" w:hAnsi="Times New Roman" w:cs="Times New Roman"/>
                      <w:color w:val="auto"/>
                      <w:kern w:val="0"/>
                      <w:szCs w:val="21"/>
                    </w:rPr>
                    <w:t>4</w:t>
                  </w:r>
                </w:p>
              </w:tc>
              <w:tc>
                <w:tcPr>
                  <w:tcW w:w="550" w:type="pct"/>
                  <w:vAlign w:val="center"/>
                </w:tcPr>
                <w:p w14:paraId="7EE03E5E">
                  <w:pPr>
                    <w:spacing w:line="276" w:lineRule="auto"/>
                    <w:jc w:val="center"/>
                    <w:rPr>
                      <w:rFonts w:ascii="Times New Roman" w:hAnsi="Times New Roman" w:cs="Times New Roman"/>
                      <w:color w:val="auto"/>
                      <w:szCs w:val="21"/>
                    </w:rPr>
                  </w:pPr>
                  <w:r>
                    <w:rPr>
                      <w:rFonts w:ascii="Times New Roman" w:hAnsi="Times New Roman" w:cs="Times New Roman"/>
                      <w:color w:val="auto"/>
                      <w:kern w:val="0"/>
                      <w:szCs w:val="21"/>
                    </w:rPr>
                    <w:t>≤</w:t>
                  </w:r>
                  <w:r>
                    <w:rPr>
                      <w:rFonts w:hint="eastAsia" w:ascii="Times New Roman" w:hAnsi="Times New Roman" w:cs="Times New Roman"/>
                      <w:color w:val="auto"/>
                      <w:szCs w:val="21"/>
                    </w:rPr>
                    <w:t>1</w:t>
                  </w:r>
                  <w:r>
                    <w:rPr>
                      <w:rFonts w:ascii="Times New Roman" w:hAnsi="Times New Roman" w:cs="Times New Roman"/>
                      <w:color w:val="auto"/>
                      <w:szCs w:val="21"/>
                    </w:rPr>
                    <w:t>.0</w:t>
                  </w:r>
                </w:p>
              </w:tc>
              <w:tc>
                <w:tcPr>
                  <w:tcW w:w="629" w:type="pct"/>
                  <w:vAlign w:val="center"/>
                </w:tcPr>
                <w:p w14:paraId="50A67A90">
                  <w:pPr>
                    <w:widowControl/>
                    <w:spacing w:line="276" w:lineRule="auto"/>
                    <w:jc w:val="center"/>
                    <w:rPr>
                      <w:rFonts w:ascii="Times New Roman" w:hAnsi="Times New Roman" w:cs="Times New Roman"/>
                      <w:color w:val="auto"/>
                      <w:kern w:val="0"/>
                      <w:szCs w:val="21"/>
                    </w:rPr>
                  </w:pPr>
                  <w:r>
                    <w:rPr>
                      <w:rFonts w:ascii="Times New Roman" w:hAnsi="Times New Roman" w:cs="Times New Roman"/>
                      <w:color w:val="auto"/>
                      <w:kern w:val="0"/>
                      <w:szCs w:val="21"/>
                    </w:rPr>
                    <w:t>≤</w:t>
                  </w:r>
                  <w:r>
                    <w:rPr>
                      <w:rFonts w:hint="eastAsia" w:ascii="Times New Roman" w:hAnsi="Times New Roman" w:cs="Times New Roman"/>
                      <w:color w:val="auto"/>
                      <w:kern w:val="0"/>
                      <w:szCs w:val="21"/>
                    </w:rPr>
                    <w:t>0.05</w:t>
                  </w:r>
                </w:p>
              </w:tc>
            </w:tr>
          </w:tbl>
          <w:p w14:paraId="47E756FA">
            <w:pPr>
              <w:spacing w:line="360" w:lineRule="auto"/>
              <w:ind w:firstLine="482" w:firstLineChars="200"/>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（3）声环境质量标准</w:t>
            </w:r>
          </w:p>
          <w:p w14:paraId="2684FAF3">
            <w:pPr>
              <w:spacing w:line="360" w:lineRule="auto"/>
              <w:ind w:firstLine="480" w:firstLineChars="200"/>
              <w:rPr>
                <w:rFonts w:ascii="Times New Roman" w:hAnsi="Times New Roman" w:eastAsia="宋体" w:cs="Times New Roman"/>
                <w:color w:val="auto"/>
                <w:kern w:val="0"/>
                <w:sz w:val="24"/>
                <w:szCs w:val="24"/>
              </w:rPr>
            </w:pPr>
            <w:r>
              <w:rPr>
                <w:rFonts w:hint="eastAsia" w:hAnsi="宋体"/>
                <w:color w:val="auto"/>
                <w:sz w:val="24"/>
                <w:szCs w:val="24"/>
              </w:rPr>
              <w:t>评价区域</w:t>
            </w:r>
            <w:r>
              <w:rPr>
                <w:rFonts w:hint="eastAsia" w:ascii="Times New Roman" w:hAnsi="Times New Roman" w:eastAsia="宋体" w:cs="Times New Roman"/>
                <w:color w:val="auto"/>
                <w:kern w:val="0"/>
                <w:sz w:val="24"/>
                <w:szCs w:val="24"/>
              </w:rPr>
              <w:t>声环境</w:t>
            </w:r>
            <w:r>
              <w:rPr>
                <w:rFonts w:hint="eastAsia" w:ascii="Times New Roman" w:hAnsi="Times New Roman" w:eastAsia="宋体" w:cs="Times New Roman"/>
                <w:color w:val="auto"/>
                <w:kern w:val="0"/>
                <w:sz w:val="24"/>
                <w:szCs w:val="24"/>
                <w:lang w:eastAsia="zh-CN"/>
              </w:rPr>
              <w:t>质量</w:t>
            </w:r>
            <w:r>
              <w:rPr>
                <w:rFonts w:hint="eastAsia" w:ascii="Times New Roman" w:hAnsi="Times New Roman" w:eastAsia="宋体" w:cs="Times New Roman"/>
                <w:color w:val="auto"/>
                <w:kern w:val="0"/>
                <w:sz w:val="24"/>
                <w:szCs w:val="24"/>
              </w:rPr>
              <w:t>执行《声环境质量标准》（GB3096-2008）</w:t>
            </w:r>
            <w:r>
              <w:rPr>
                <w:rFonts w:hint="eastAsia" w:ascii="Times New Roman" w:hAnsi="Times New Roman" w:eastAsia="宋体" w:cs="Times New Roman"/>
                <w:color w:val="auto"/>
                <w:kern w:val="0"/>
                <w:sz w:val="24"/>
                <w:szCs w:val="24"/>
                <w:lang w:val="en-US" w:eastAsia="zh-CN"/>
              </w:rPr>
              <w:t>2</w:t>
            </w:r>
            <w:r>
              <w:rPr>
                <w:rFonts w:hint="eastAsia" w:ascii="Times New Roman" w:hAnsi="Times New Roman" w:eastAsia="宋体" w:cs="Times New Roman"/>
                <w:color w:val="auto"/>
                <w:kern w:val="0"/>
                <w:sz w:val="24"/>
                <w:szCs w:val="24"/>
              </w:rPr>
              <w:t>类功能区限值。</w:t>
            </w:r>
          </w:p>
          <w:p w14:paraId="5C55DF87">
            <w:pPr>
              <w:pStyle w:val="95"/>
              <w:numPr>
                <w:ilvl w:val="1"/>
                <w:numId w:val="2"/>
              </w:numPr>
              <w:tabs>
                <w:tab w:val="clear" w:pos="1440"/>
              </w:tabs>
              <w:spacing w:line="240" w:lineRule="auto"/>
              <w:ind w:left="3300" w:leftChars="0" w:hanging="1400" w:firstLineChars="0"/>
              <w:jc w:val="both"/>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声环境质量标准  单位：dB（A）</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0"/>
              <w:gridCol w:w="2710"/>
              <w:gridCol w:w="2710"/>
            </w:tblGrid>
            <w:tr w14:paraId="5B9FE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0" w:type="auto"/>
                  <w:vAlign w:val="center"/>
                </w:tcPr>
                <w:p w14:paraId="00466EC6">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类别</w:t>
                  </w:r>
                </w:p>
              </w:tc>
              <w:tc>
                <w:tcPr>
                  <w:tcW w:w="0" w:type="auto"/>
                  <w:vAlign w:val="center"/>
                </w:tcPr>
                <w:p w14:paraId="4319E3D5">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昼间</w:t>
                  </w:r>
                </w:p>
              </w:tc>
              <w:tc>
                <w:tcPr>
                  <w:tcW w:w="0" w:type="auto"/>
                  <w:vAlign w:val="center"/>
                </w:tcPr>
                <w:p w14:paraId="19F752E1">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夜间</w:t>
                  </w:r>
                </w:p>
              </w:tc>
            </w:tr>
            <w:tr w14:paraId="29F0F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6FD9C980">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lang w:val="en-US" w:eastAsia="zh-CN"/>
                    </w:rPr>
                    <w:t>2</w:t>
                  </w:r>
                  <w:r>
                    <w:rPr>
                      <w:rFonts w:ascii="Times New Roman" w:hAnsi="Times New Roman" w:eastAsia="宋体" w:cs="Times New Roman"/>
                      <w:color w:val="auto"/>
                      <w:szCs w:val="24"/>
                    </w:rPr>
                    <w:t>类</w:t>
                  </w:r>
                </w:p>
              </w:tc>
              <w:tc>
                <w:tcPr>
                  <w:tcW w:w="0" w:type="auto"/>
                  <w:vAlign w:val="center"/>
                </w:tcPr>
                <w:p w14:paraId="20C2EFE0">
                  <w:pPr>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60</w:t>
                  </w:r>
                </w:p>
              </w:tc>
              <w:tc>
                <w:tcPr>
                  <w:tcW w:w="0" w:type="auto"/>
                  <w:vAlign w:val="center"/>
                </w:tcPr>
                <w:p w14:paraId="071507E8">
                  <w:pPr>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50</w:t>
                  </w:r>
                </w:p>
              </w:tc>
            </w:tr>
          </w:tbl>
          <w:p w14:paraId="6780B5BE">
            <w:pPr>
              <w:spacing w:line="360" w:lineRule="auto"/>
              <w:rPr>
                <w:rFonts w:ascii="Times New Roman" w:hAnsi="Times New Roman" w:eastAsia="宋体" w:cs="Times New Roman"/>
                <w:b/>
                <w:color w:val="auto"/>
                <w:kern w:val="0"/>
                <w:sz w:val="24"/>
                <w:szCs w:val="24"/>
              </w:rPr>
            </w:pPr>
            <w:r>
              <w:rPr>
                <w:rFonts w:hint="eastAsia" w:ascii="Times New Roman" w:hAnsi="宋体" w:eastAsia="宋体" w:cs="Times New Roman"/>
                <w:b/>
                <w:color w:val="auto"/>
                <w:kern w:val="0"/>
                <w:sz w:val="24"/>
                <w:szCs w:val="24"/>
              </w:rPr>
              <w:t>2</w:t>
            </w:r>
            <w:r>
              <w:rPr>
                <w:rFonts w:ascii="Times New Roman" w:hAnsi="Times New Roman" w:eastAsia="宋体" w:cs="Times New Roman"/>
                <w:b/>
                <w:color w:val="auto"/>
                <w:kern w:val="0"/>
                <w:sz w:val="24"/>
                <w:szCs w:val="24"/>
              </w:rPr>
              <w:t>、污染物排放标准</w:t>
            </w:r>
          </w:p>
          <w:p w14:paraId="73DE9FE3">
            <w:pPr>
              <w:spacing w:line="360" w:lineRule="auto"/>
              <w:ind w:firstLine="482" w:firstLineChars="200"/>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（1）废气</w:t>
            </w:r>
          </w:p>
          <w:p w14:paraId="4CCFB082">
            <w:pPr>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本项目施工期废气颗粒物执行执行</w:t>
            </w:r>
            <w:r>
              <w:rPr>
                <w:rFonts w:hint="eastAsia" w:ascii="Times New Roman" w:hAnsi="Times New Roman" w:eastAsia="宋体" w:cs="Times New Roman"/>
                <w:color w:val="auto"/>
                <w:sz w:val="24"/>
                <w:szCs w:val="24"/>
              </w:rPr>
              <w:t>安徽省《施工场地颗粒物排放标准》（</w:t>
            </w:r>
            <w:r>
              <w:rPr>
                <w:rFonts w:ascii="Times New Roman" w:hAnsi="Times New Roman" w:eastAsia="宋体" w:cs="Times New Roman"/>
                <w:color w:val="auto"/>
                <w:sz w:val="24"/>
                <w:szCs w:val="24"/>
              </w:rPr>
              <w:t>DB34/4811-2024</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pacing w:val="0"/>
                <w:sz w:val="24"/>
                <w:highlight w:val="none"/>
                <w:lang w:eastAsia="zh-CN"/>
              </w:rPr>
              <w:t>表</w:t>
            </w:r>
            <w:r>
              <w:rPr>
                <w:rFonts w:hint="eastAsia" w:ascii="Times New Roman" w:hAnsi="Times New Roman" w:eastAsia="宋体" w:cs="Times New Roman"/>
                <w:color w:val="auto"/>
                <w:spacing w:val="0"/>
                <w:sz w:val="24"/>
                <w:highlight w:val="none"/>
                <w:lang w:val="en-US" w:eastAsia="zh-CN"/>
              </w:rPr>
              <w:t>1规定的浓度</w:t>
            </w:r>
            <w:r>
              <w:rPr>
                <w:rFonts w:hint="default" w:ascii="Times New Roman" w:hAnsi="Times New Roman" w:cs="Times New Roman"/>
                <w:color w:val="auto"/>
                <w:spacing w:val="0"/>
                <w:sz w:val="24"/>
                <w:highlight w:val="none"/>
              </w:rPr>
              <w:t>限值</w:t>
            </w:r>
            <w:r>
              <w:rPr>
                <w:rFonts w:hint="eastAsia" w:ascii="Times New Roman" w:hAnsi="Times New Roman" w:cs="Times New Roman"/>
                <w:color w:val="auto"/>
                <w:spacing w:val="0"/>
                <w:sz w:val="24"/>
                <w:highlight w:val="none"/>
                <w:lang w:val="en-US" w:eastAsia="zh-CN"/>
              </w:rPr>
              <w:t>要求</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14:paraId="6D4DB98A">
            <w:pPr>
              <w:pStyle w:val="95"/>
              <w:numPr>
                <w:ilvl w:val="1"/>
                <w:numId w:val="2"/>
              </w:numPr>
              <w:tabs>
                <w:tab w:val="clear" w:pos="1440"/>
              </w:tabs>
              <w:spacing w:line="240" w:lineRule="auto"/>
              <w:ind w:left="3300" w:leftChars="0" w:hanging="1400" w:firstLineChars="0"/>
              <w:jc w:val="both"/>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安徽省《施工场地颗粒物排放标准》</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1616"/>
              <w:gridCol w:w="2298"/>
              <w:gridCol w:w="2123"/>
            </w:tblGrid>
            <w:tr w14:paraId="705D3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286" w:type="pct"/>
                  <w:vAlign w:val="center"/>
                </w:tcPr>
                <w:p w14:paraId="20179EFD">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污染物</w:t>
                  </w:r>
                </w:p>
              </w:tc>
              <w:tc>
                <w:tcPr>
                  <w:tcW w:w="2408" w:type="pct"/>
                  <w:gridSpan w:val="2"/>
                  <w:vAlign w:val="center"/>
                </w:tcPr>
                <w:p w14:paraId="688A865E">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监控点浓度限值（μg/m</w:t>
                  </w:r>
                  <w:r>
                    <w:rPr>
                      <w:rFonts w:ascii="Times New Roman" w:hAnsi="Times New Roman" w:eastAsia="宋体" w:cs="Times New Roman"/>
                      <w:b/>
                      <w:bCs/>
                      <w:color w:val="auto"/>
                      <w:szCs w:val="21"/>
                      <w:vertAlign w:val="superscript"/>
                    </w:rPr>
                    <w:t>3</w:t>
                  </w:r>
                  <w:r>
                    <w:rPr>
                      <w:rFonts w:ascii="Times New Roman" w:hAnsi="Times New Roman" w:eastAsia="宋体" w:cs="Times New Roman"/>
                      <w:b/>
                      <w:bCs/>
                      <w:color w:val="auto"/>
                      <w:szCs w:val="21"/>
                    </w:rPr>
                    <w:t>）</w:t>
                  </w:r>
                </w:p>
              </w:tc>
              <w:tc>
                <w:tcPr>
                  <w:tcW w:w="1306" w:type="pct"/>
                  <w:vAlign w:val="center"/>
                </w:tcPr>
                <w:p w14:paraId="7E41803A">
                  <w:pPr>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备注</w:t>
                  </w:r>
                </w:p>
              </w:tc>
            </w:tr>
            <w:tr w14:paraId="2EC24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286" w:type="pct"/>
                  <w:vMerge w:val="restart"/>
                  <w:vAlign w:val="center"/>
                </w:tcPr>
                <w:p w14:paraId="7BC34B7B">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颗粒物</w:t>
                  </w:r>
                </w:p>
              </w:tc>
              <w:tc>
                <w:tcPr>
                  <w:tcW w:w="994" w:type="pct"/>
                  <w:vAlign w:val="center"/>
                </w:tcPr>
                <w:p w14:paraId="181DD030">
                  <w:pPr>
                    <w:spacing w:line="400" w:lineRule="exact"/>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1000</w:t>
                  </w:r>
                </w:p>
              </w:tc>
              <w:tc>
                <w:tcPr>
                  <w:tcW w:w="1414" w:type="pct"/>
                  <w:vAlign w:val="center"/>
                </w:tcPr>
                <w:p w14:paraId="11126233">
                  <w:pPr>
                    <w:spacing w:line="400" w:lineRule="exact"/>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超标次数≤1次/日</w:t>
                  </w:r>
                </w:p>
              </w:tc>
              <w:tc>
                <w:tcPr>
                  <w:tcW w:w="1306" w:type="pct"/>
                  <w:vMerge w:val="restart"/>
                  <w:vAlign w:val="center"/>
                </w:tcPr>
                <w:p w14:paraId="6DDEDA1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安徽省《施工场地颗粒物排放标准》（</w:t>
                  </w:r>
                  <w:r>
                    <w:rPr>
                      <w:rFonts w:ascii="Times New Roman" w:hAnsi="Times New Roman" w:eastAsia="宋体" w:cs="Times New Roman"/>
                      <w:color w:val="auto"/>
                      <w:szCs w:val="21"/>
                    </w:rPr>
                    <w:t>DB34/4811-2024</w:t>
                  </w:r>
                  <w:r>
                    <w:rPr>
                      <w:rFonts w:hint="eastAsia" w:ascii="Times New Roman" w:hAnsi="Times New Roman" w:eastAsia="宋体" w:cs="Times New Roman"/>
                      <w:color w:val="auto"/>
                      <w:szCs w:val="21"/>
                    </w:rPr>
                    <w:t>）</w:t>
                  </w:r>
                </w:p>
              </w:tc>
            </w:tr>
            <w:tr w14:paraId="24627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86" w:type="pct"/>
                  <w:vMerge w:val="continue"/>
                  <w:vAlign w:val="center"/>
                </w:tcPr>
                <w:p w14:paraId="48838CA9">
                  <w:pPr>
                    <w:spacing w:line="400" w:lineRule="exact"/>
                    <w:jc w:val="center"/>
                    <w:rPr>
                      <w:rFonts w:ascii="Times New Roman" w:hAnsi="Times New Roman" w:eastAsia="宋体" w:cs="Times New Roman"/>
                      <w:color w:val="auto"/>
                      <w:szCs w:val="21"/>
                      <w:highlight w:val="yellow"/>
                    </w:rPr>
                  </w:pPr>
                </w:p>
              </w:tc>
              <w:tc>
                <w:tcPr>
                  <w:tcW w:w="994" w:type="pct"/>
                  <w:vAlign w:val="center"/>
                </w:tcPr>
                <w:p w14:paraId="7384144C">
                  <w:pPr>
                    <w:spacing w:line="400" w:lineRule="exact"/>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500</w:t>
                  </w:r>
                </w:p>
              </w:tc>
              <w:tc>
                <w:tcPr>
                  <w:tcW w:w="1414" w:type="pct"/>
                  <w:vAlign w:val="center"/>
                </w:tcPr>
                <w:p w14:paraId="110D556B">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超标次数≤6次/日</w:t>
                  </w:r>
                </w:p>
              </w:tc>
              <w:tc>
                <w:tcPr>
                  <w:tcW w:w="1306" w:type="pct"/>
                  <w:vMerge w:val="continue"/>
                  <w:vAlign w:val="center"/>
                </w:tcPr>
                <w:p w14:paraId="51498258">
                  <w:pPr>
                    <w:jc w:val="center"/>
                    <w:rPr>
                      <w:rFonts w:ascii="Times New Roman" w:hAnsi="Times New Roman" w:eastAsia="宋体" w:cs="Times New Roman"/>
                      <w:color w:val="auto"/>
                      <w:szCs w:val="21"/>
                    </w:rPr>
                  </w:pPr>
                </w:p>
              </w:tc>
            </w:tr>
          </w:tbl>
          <w:p w14:paraId="5140785A">
            <w:pPr>
              <w:spacing w:line="360" w:lineRule="auto"/>
              <w:ind w:firstLine="482" w:firstLineChars="200"/>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（2）废水</w:t>
            </w:r>
          </w:p>
          <w:p w14:paraId="7A125A91">
            <w:pPr>
              <w:spacing w:line="360" w:lineRule="auto"/>
              <w:ind w:firstLine="480" w:firstLineChars="200"/>
              <w:rPr>
                <w:rFonts w:ascii="Times New Roman" w:hAnsi="Times New Roman" w:eastAsia="宋体" w:cs="Times New Roman"/>
                <w:color w:val="auto"/>
                <w:sz w:val="24"/>
                <w:szCs w:val="24"/>
                <w:highlight w:val="yellow"/>
              </w:rPr>
            </w:pPr>
            <w:r>
              <w:rPr>
                <w:rFonts w:hint="eastAsia" w:ascii="Times New Roman" w:hAnsi="Times New Roman" w:eastAsia="宋体" w:cs="Times New Roman"/>
                <w:color w:val="auto"/>
                <w:sz w:val="24"/>
                <w:szCs w:val="24"/>
                <w:highlight w:val="none"/>
              </w:rPr>
              <w:t>本项目废水主要生活污水</w:t>
            </w:r>
            <w:r>
              <w:rPr>
                <w:rFonts w:hint="eastAsia" w:ascii="Times New Roman" w:hAnsi="Times New Roman" w:eastAsia="宋体" w:cs="Times New Roman"/>
                <w:color w:val="auto"/>
                <w:sz w:val="24"/>
                <w:szCs w:val="24"/>
                <w:highlight w:val="none"/>
                <w:lang w:eastAsia="zh-CN"/>
              </w:rPr>
              <w:t>、气液分离器废水收集后进入潘一选煤厂</w:t>
            </w:r>
            <w:r>
              <w:rPr>
                <w:rFonts w:hint="eastAsia" w:ascii="Times New Roman" w:hAnsi="Times New Roman" w:eastAsia="宋体" w:cs="Times New Roman"/>
                <w:color w:val="auto"/>
                <w:sz w:val="24"/>
                <w:szCs w:val="24"/>
                <w:highlight w:val="none"/>
              </w:rPr>
              <w:t>生活污水</w:t>
            </w:r>
            <w:r>
              <w:rPr>
                <w:rFonts w:hint="eastAsia" w:ascii="Times New Roman" w:hAnsi="Times New Roman" w:eastAsia="宋体" w:cs="Times New Roman"/>
                <w:color w:val="auto"/>
                <w:sz w:val="24"/>
                <w:szCs w:val="24"/>
                <w:highlight w:val="none"/>
                <w:lang w:eastAsia="zh-CN"/>
              </w:rPr>
              <w:t>处理站处理后回用于选煤厂生产</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项目废水</w:t>
            </w:r>
            <w:r>
              <w:rPr>
                <w:rFonts w:hint="eastAsia" w:ascii="Times New Roman" w:hAnsi="Times New Roman" w:eastAsia="宋体" w:cs="Times New Roman"/>
                <w:color w:val="auto"/>
                <w:sz w:val="24"/>
                <w:szCs w:val="24"/>
                <w:highlight w:val="none"/>
              </w:rPr>
              <w:t>不外排。</w:t>
            </w:r>
          </w:p>
          <w:p w14:paraId="76B1F070">
            <w:pPr>
              <w:spacing w:line="360" w:lineRule="auto"/>
              <w:ind w:firstLine="482" w:firstLineChars="200"/>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（3）噪声</w:t>
            </w:r>
          </w:p>
          <w:p w14:paraId="647A7A96">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施工期噪声执行《建筑施工场界环境噪声排放标准》（GB12523‐2011）中标准限值，具体标准见下表：</w:t>
            </w:r>
          </w:p>
          <w:p w14:paraId="403395AD">
            <w:pPr>
              <w:pStyle w:val="95"/>
              <w:numPr>
                <w:ilvl w:val="1"/>
                <w:numId w:val="2"/>
              </w:numPr>
              <w:tabs>
                <w:tab w:val="left" w:pos="2100"/>
                <w:tab w:val="clear" w:pos="1440"/>
              </w:tabs>
              <w:spacing w:line="240" w:lineRule="auto"/>
              <w:ind w:left="3300" w:leftChars="0" w:hanging="162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施工期厂界噪声排放标准  单位：dB(A)</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84"/>
              <w:gridCol w:w="1515"/>
              <w:gridCol w:w="1631"/>
            </w:tblGrid>
            <w:tr w14:paraId="43176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065" w:type="pct"/>
                  <w:vAlign w:val="center"/>
                </w:tcPr>
                <w:p w14:paraId="0DA1EB7F">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标准类别</w:t>
                  </w:r>
                </w:p>
              </w:tc>
              <w:tc>
                <w:tcPr>
                  <w:tcW w:w="932" w:type="pct"/>
                  <w:vAlign w:val="center"/>
                </w:tcPr>
                <w:p w14:paraId="100DF39C">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昼间</w:t>
                  </w:r>
                </w:p>
              </w:tc>
              <w:tc>
                <w:tcPr>
                  <w:tcW w:w="1003" w:type="pct"/>
                  <w:vAlign w:val="center"/>
                </w:tcPr>
                <w:p w14:paraId="5351BD31">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夜间</w:t>
                  </w:r>
                </w:p>
              </w:tc>
            </w:tr>
            <w:tr w14:paraId="1B7F6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5" w:type="pct"/>
                  <w:vAlign w:val="center"/>
                </w:tcPr>
                <w:p w14:paraId="74A5976F">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《建筑施工场界环境噪声排放标准》（GB12523‐2011）</w:t>
                  </w:r>
                </w:p>
              </w:tc>
              <w:tc>
                <w:tcPr>
                  <w:tcW w:w="932" w:type="pct"/>
                  <w:vAlign w:val="center"/>
                </w:tcPr>
                <w:p w14:paraId="7A304915">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70</w:t>
                  </w:r>
                </w:p>
              </w:tc>
              <w:tc>
                <w:tcPr>
                  <w:tcW w:w="1003" w:type="pct"/>
                  <w:vAlign w:val="center"/>
                </w:tcPr>
                <w:p w14:paraId="79D61BCB">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55</w:t>
                  </w:r>
                </w:p>
              </w:tc>
            </w:tr>
          </w:tbl>
          <w:p w14:paraId="32BB4F31">
            <w:pPr>
              <w:spacing w:line="360" w:lineRule="auto"/>
              <w:ind w:firstLine="482" w:firstLineChars="200"/>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（4）固体废物</w:t>
            </w:r>
          </w:p>
          <w:p w14:paraId="71435AE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rPr>
              <w:t>本项目固体废物</w:t>
            </w:r>
            <w:r>
              <w:rPr>
                <w:rFonts w:ascii="Times New Roman" w:hAnsi="Times New Roman" w:eastAsia="宋体" w:cs="Times New Roman"/>
                <w:color w:val="auto"/>
                <w:kern w:val="0"/>
                <w:sz w:val="24"/>
                <w:szCs w:val="24"/>
              </w:rPr>
              <w:t>贮存、处置</w:t>
            </w:r>
            <w:r>
              <w:rPr>
                <w:rFonts w:hint="eastAsia" w:ascii="Times New Roman" w:hAnsi="Times New Roman" w:eastAsia="宋体" w:cs="Times New Roman"/>
                <w:color w:val="auto"/>
                <w:kern w:val="0"/>
                <w:sz w:val="24"/>
                <w:szCs w:val="24"/>
              </w:rPr>
              <w:t>应严格按照</w:t>
            </w:r>
            <w:r>
              <w:rPr>
                <w:rFonts w:ascii="Times New Roman" w:cs="Times New Roman"/>
                <w:color w:val="auto"/>
                <w:kern w:val="0"/>
                <w:sz w:val="24"/>
                <w:szCs w:val="24"/>
              </w:rPr>
              <w:t>《</w:t>
            </w:r>
            <w:r>
              <w:rPr>
                <w:rFonts w:hint="eastAsia" w:ascii="Times New Roman" w:cs="Times New Roman"/>
                <w:color w:val="auto"/>
                <w:kern w:val="0"/>
                <w:sz w:val="24"/>
                <w:szCs w:val="24"/>
              </w:rPr>
              <w:t>中华人民共和国固体废物污染环境防治法</w:t>
            </w:r>
            <w:r>
              <w:rPr>
                <w:rFonts w:ascii="Times New Roman" w:cs="Times New Roman"/>
                <w:color w:val="auto"/>
                <w:kern w:val="0"/>
                <w:sz w:val="24"/>
                <w:szCs w:val="24"/>
              </w:rPr>
              <w:t>》</w:t>
            </w:r>
            <w:r>
              <w:rPr>
                <w:rFonts w:hint="eastAsia" w:ascii="Times New Roman" w:cs="Times New Roman"/>
                <w:color w:val="auto"/>
                <w:kern w:val="0"/>
                <w:sz w:val="24"/>
                <w:szCs w:val="24"/>
              </w:rPr>
              <w:t>（中华人民共和国主席令第三十一号）</w:t>
            </w:r>
            <w:r>
              <w:rPr>
                <w:rFonts w:hint="eastAsia" w:ascii="Times New Roman" w:hAnsi="Times New Roman" w:eastAsia="宋体" w:cs="Times New Roman"/>
                <w:color w:val="auto"/>
                <w:kern w:val="0"/>
                <w:sz w:val="24"/>
                <w:szCs w:val="24"/>
              </w:rPr>
              <w:t>要求</w:t>
            </w:r>
            <w:r>
              <w:rPr>
                <w:rFonts w:hint="eastAsia" w:ascii="Times New Roman" w:cs="Times New Roman"/>
                <w:color w:val="auto"/>
                <w:kern w:val="0"/>
                <w:sz w:val="24"/>
                <w:szCs w:val="24"/>
              </w:rPr>
              <w:t>执行。一般工业固体废物</w:t>
            </w:r>
            <w:r>
              <w:rPr>
                <w:rFonts w:ascii="Times New Roman" w:hAnsi="Times New Roman" w:eastAsia="宋体" w:cs="Times New Roman"/>
                <w:color w:val="auto"/>
                <w:kern w:val="0"/>
                <w:sz w:val="24"/>
                <w:szCs w:val="24"/>
              </w:rPr>
              <w:t>参照执行《一般工业固体废物贮存和填埋污染控制标准》（GB 18599-2020），</w:t>
            </w:r>
            <w:r>
              <w:rPr>
                <w:rFonts w:ascii="Times New Roman" w:cs="Times New Roman"/>
                <w:color w:val="auto"/>
                <w:kern w:val="0"/>
                <w:sz w:val="24"/>
                <w:szCs w:val="24"/>
              </w:rPr>
              <w:t>危险废物贮存</w:t>
            </w:r>
            <w:r>
              <w:rPr>
                <w:rFonts w:hint="eastAsia" w:ascii="Times New Roman" w:cs="Times New Roman"/>
                <w:color w:val="auto"/>
                <w:kern w:val="0"/>
                <w:sz w:val="24"/>
                <w:szCs w:val="24"/>
              </w:rPr>
              <w:t>、处置</w:t>
            </w:r>
            <w:r>
              <w:rPr>
                <w:rFonts w:ascii="Times New Roman" w:cs="Times New Roman"/>
                <w:color w:val="auto"/>
                <w:kern w:val="0"/>
                <w:sz w:val="24"/>
                <w:szCs w:val="24"/>
              </w:rPr>
              <w:t>执行《危险废物贮存污染控制标准》（</w:t>
            </w:r>
            <w:r>
              <w:rPr>
                <w:rFonts w:ascii="Times New Roman" w:hAnsi="Times New Roman" w:cs="Times New Roman"/>
                <w:color w:val="auto"/>
                <w:kern w:val="0"/>
                <w:sz w:val="24"/>
                <w:szCs w:val="24"/>
              </w:rPr>
              <w:t>GB18597-2023</w:t>
            </w:r>
            <w:r>
              <w:rPr>
                <w:rFonts w:ascii="Times New Roman" w:cs="Times New Roman"/>
                <w:color w:val="auto"/>
                <w:kern w:val="0"/>
                <w:sz w:val="24"/>
                <w:szCs w:val="24"/>
              </w:rPr>
              <w:t>）</w:t>
            </w:r>
            <w:r>
              <w:rPr>
                <w:rFonts w:ascii="Times New Roman" w:hAnsi="Times New Roman" w:eastAsia="宋体" w:cs="Times New Roman"/>
                <w:color w:val="auto"/>
                <w:sz w:val="24"/>
                <w:szCs w:val="24"/>
              </w:rPr>
              <w:t>。</w:t>
            </w:r>
          </w:p>
        </w:tc>
      </w:tr>
      <w:tr w14:paraId="700F9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904" w:type="dxa"/>
            <w:vAlign w:val="center"/>
          </w:tcPr>
          <w:p w14:paraId="544811CE">
            <w:pPr>
              <w:adjustRightInd w:val="0"/>
              <w:snapToGrid w:val="0"/>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其他</w:t>
            </w:r>
          </w:p>
        </w:tc>
        <w:tc>
          <w:tcPr>
            <w:tcW w:w="8253" w:type="dxa"/>
            <w:vAlign w:val="center"/>
          </w:tcPr>
          <w:p w14:paraId="721F4817">
            <w:pPr>
              <w:spacing w:line="360" w:lineRule="auto"/>
              <w:ind w:firstLine="480" w:firstLineChars="200"/>
              <w:rPr>
                <w:rFonts w:ascii="宋体" w:hAnsi="宋体" w:eastAsia="宋体" w:cs="宋体"/>
                <w:color w:val="auto"/>
                <w:kern w:val="0"/>
                <w:szCs w:val="21"/>
              </w:rPr>
            </w:pPr>
            <w:r>
              <w:rPr>
                <w:rFonts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eastAsia="zh-CN"/>
              </w:rPr>
              <w:t>运营期无废水、废气排放</w:t>
            </w:r>
            <w:r>
              <w:rPr>
                <w:rFonts w:ascii="Times New Roman" w:hAnsi="Times New Roman" w:eastAsia="宋体" w:cs="Times New Roman"/>
                <w:color w:val="auto"/>
                <w:sz w:val="24"/>
                <w:szCs w:val="24"/>
              </w:rPr>
              <w:t>，无需申请总量控制指标。</w:t>
            </w:r>
          </w:p>
        </w:tc>
      </w:tr>
    </w:tbl>
    <w:p w14:paraId="267FED72">
      <w:pPr>
        <w:widowControl/>
        <w:spacing w:before="100" w:beforeAutospacing="1" w:after="100" w:afterAutospacing="1"/>
        <w:jc w:val="center"/>
        <w:outlineLvl w:val="0"/>
        <w:rPr>
          <w:rFonts w:ascii="黑体" w:hAnsi="黑体" w:eastAsia="黑体" w:cs="Times New Roman"/>
          <w:snapToGrid w:val="0"/>
          <w:color w:val="FF0000"/>
          <w:kern w:val="0"/>
          <w:sz w:val="30"/>
          <w:szCs w:val="30"/>
        </w:rPr>
        <w:sectPr>
          <w:pgSz w:w="11906" w:h="16838"/>
          <w:pgMar w:top="1440" w:right="1797" w:bottom="1440" w:left="1797" w:header="851" w:footer="1077" w:gutter="0"/>
          <w:cols w:space="425" w:num="1"/>
          <w:docGrid w:type="lines" w:linePitch="312" w:charSpace="0"/>
        </w:sectPr>
      </w:pPr>
    </w:p>
    <w:p w14:paraId="6A563748">
      <w:pPr>
        <w:widowControl/>
        <w:spacing w:before="100" w:beforeAutospacing="1" w:after="100" w:afterAutospacing="1"/>
        <w:jc w:val="center"/>
        <w:outlineLvl w:val="0"/>
        <w:rPr>
          <w:rFonts w:ascii="黑体" w:hAnsi="黑体" w:eastAsia="黑体" w:cs="Times New Roman"/>
          <w:snapToGrid w:val="0"/>
          <w:color w:val="000000" w:themeColor="text1"/>
          <w:kern w:val="0"/>
          <w:sz w:val="30"/>
          <w:szCs w:val="30"/>
          <w14:textFill>
            <w14:solidFill>
              <w14:schemeClr w14:val="tx1"/>
            </w14:solidFill>
          </w14:textFill>
        </w:rPr>
      </w:pPr>
      <w:r>
        <w:rPr>
          <w:rFonts w:hint="eastAsia" w:ascii="黑体" w:hAnsi="黑体" w:eastAsia="黑体" w:cs="Times New Roman"/>
          <w:snapToGrid w:val="0"/>
          <w:color w:val="000000" w:themeColor="text1"/>
          <w:kern w:val="0"/>
          <w:sz w:val="30"/>
          <w:szCs w:val="30"/>
          <w14:textFill>
            <w14:solidFill>
              <w14:schemeClr w14:val="tx1"/>
            </w14:solidFill>
          </w14:textFill>
        </w:rPr>
        <w:t>四、生态环境影响分析</w:t>
      </w:r>
    </w:p>
    <w:tbl>
      <w:tblPr>
        <w:tblStyle w:val="25"/>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363"/>
      </w:tblGrid>
      <w:tr w14:paraId="3F1EF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9" w:hRule="atLeast"/>
          <w:jc w:val="center"/>
        </w:trPr>
        <w:tc>
          <w:tcPr>
            <w:tcW w:w="879" w:type="dxa"/>
            <w:tcMar>
              <w:left w:w="28" w:type="dxa"/>
              <w:right w:w="28" w:type="dxa"/>
            </w:tcMar>
            <w:vAlign w:val="center"/>
          </w:tcPr>
          <w:p w14:paraId="0D96CAE6">
            <w:pPr>
              <w:adjustRightInd w:val="0"/>
              <w:snapToGrid w:val="0"/>
              <w:jc w:val="center"/>
              <w:rPr>
                <w:rFonts w:ascii="Times New Roman" w:hAnsi="Times New Roman" w:eastAsia="宋体" w:cs="宋体"/>
                <w:bCs/>
                <w:color w:val="auto"/>
                <w:szCs w:val="21"/>
              </w:rPr>
            </w:pPr>
            <w:bookmarkStart w:id="83" w:name="_Hlk49796138"/>
            <w:r>
              <w:rPr>
                <w:rFonts w:hint="eastAsia" w:ascii="宋体" w:hAnsi="宋体" w:eastAsia="宋体" w:cs="宋体"/>
                <w:color w:val="auto"/>
                <w:kern w:val="0"/>
                <w:sz w:val="24"/>
                <w:szCs w:val="24"/>
              </w:rPr>
              <w:t>施工期生态环境影响分析</w:t>
            </w:r>
            <w:bookmarkEnd w:id="83"/>
          </w:p>
        </w:tc>
        <w:tc>
          <w:tcPr>
            <w:tcW w:w="8363" w:type="dxa"/>
          </w:tcPr>
          <w:p w14:paraId="42315AF8">
            <w:pPr>
              <w:pStyle w:val="24"/>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1、生态影响分析</w:t>
            </w:r>
          </w:p>
          <w:p w14:paraId="45090301">
            <w:pPr>
              <w:numPr>
                <w:ilvl w:val="0"/>
                <w:numId w:val="0"/>
              </w:numPr>
              <w:spacing w:line="360" w:lineRule="auto"/>
              <w:ind w:firstLine="480" w:firstLineChars="20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本项目施工时临时占用部分土地资源，对当地土地利用格局、植被、野生动物、土壤环境、水土流失及景观造成轻微影响，但影响时间很短，随着项目施工结束而结束，不会改变当地的生态环境质量，环境影响较小。</w:t>
            </w:r>
          </w:p>
          <w:p w14:paraId="47F31499">
            <w:pPr>
              <w:numPr>
                <w:ilvl w:val="0"/>
                <w:numId w:val="0"/>
              </w:numPr>
              <w:spacing w:line="360" w:lineRule="auto"/>
              <w:ind w:firstLine="480" w:firstLineChars="200"/>
              <w:rPr>
                <w:rFonts w:hint="eastAsia"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①</w:t>
            </w:r>
            <w:r>
              <w:rPr>
                <w:rFonts w:hint="eastAsia" w:ascii="Times New Roman" w:hAnsi="Times New Roman" w:eastAsia="宋体" w:cs="Times New Roman"/>
                <w:bCs/>
                <w:color w:val="auto"/>
                <w:kern w:val="2"/>
                <w:sz w:val="24"/>
                <w:szCs w:val="24"/>
                <w:lang w:val="en-US" w:eastAsia="zh-CN" w:bidi="ar-SA"/>
              </w:rPr>
              <w:t>项目占地对土地利用的影响分析</w:t>
            </w:r>
          </w:p>
          <w:p w14:paraId="3D12A37D">
            <w:pPr>
              <w:numPr>
                <w:ilvl w:val="0"/>
                <w:numId w:val="0"/>
              </w:numPr>
              <w:spacing w:line="360" w:lineRule="auto"/>
              <w:ind w:firstLine="480" w:firstLineChars="200"/>
              <w:rPr>
                <w:bCs/>
                <w:color w:val="auto"/>
                <w:sz w:val="24"/>
              </w:rPr>
            </w:pPr>
            <w:r>
              <w:rPr>
                <w:rFonts w:hint="eastAsia" w:ascii="Times New Roman" w:hAnsi="Times New Roman" w:eastAsia="宋体" w:cs="Times New Roman"/>
                <w:bCs/>
                <w:color w:val="auto"/>
                <w:kern w:val="2"/>
                <w:sz w:val="24"/>
                <w:szCs w:val="24"/>
                <w:lang w:val="en-US" w:eastAsia="zh-CN" w:bidi="ar-SA"/>
              </w:rPr>
              <w:t>本项目</w:t>
            </w:r>
            <w:r>
              <w:rPr>
                <w:rFonts w:hint="eastAsia"/>
                <w:b w:val="0"/>
                <w:color w:val="auto"/>
                <w:sz w:val="24"/>
                <w:lang w:val="en-US" w:eastAsia="zh-CN"/>
              </w:rPr>
              <w:t>建设对生态环境的影响主要表现为项目占地使土地功能临时发生改变，对</w:t>
            </w:r>
            <w:r>
              <w:rPr>
                <w:rFonts w:ascii="Times New Roman" w:hAnsi="Times New Roman" w:eastAsia="宋体" w:cs="Times New Roman"/>
                <w:bCs/>
                <w:color w:val="auto"/>
                <w:sz w:val="24"/>
                <w:szCs w:val="24"/>
              </w:rPr>
              <w:t>土地利用格局造成轻微影响</w:t>
            </w:r>
            <w:r>
              <w:rPr>
                <w:rFonts w:hint="eastAsia" w:ascii="Times New Roman" w:hAnsi="Times New Roman" w:eastAsia="宋体" w:cs="Times New Roman"/>
                <w:bCs/>
                <w:color w:val="auto"/>
                <w:sz w:val="24"/>
                <w:szCs w:val="24"/>
                <w:lang w:eastAsia="zh-CN"/>
              </w:rPr>
              <w:t>。</w:t>
            </w:r>
            <w:r>
              <w:rPr>
                <w:rFonts w:hint="eastAsia"/>
                <w:b w:val="0"/>
                <w:color w:val="auto"/>
                <w:sz w:val="24"/>
                <w:lang w:val="en-US" w:eastAsia="zh-CN"/>
              </w:rPr>
              <w:t>本项目施工占地面积总计</w:t>
            </w:r>
            <w:r>
              <w:rPr>
                <w:rFonts w:hint="eastAsia"/>
                <w:b w:val="0"/>
                <w:color w:val="auto"/>
                <w:sz w:val="24"/>
                <w:highlight w:val="none"/>
                <w:lang w:val="en-US" w:eastAsia="zh-CN"/>
              </w:rPr>
              <w:t>为</w:t>
            </w:r>
            <w:r>
              <w:rPr>
                <w:rFonts w:hint="eastAsia" w:ascii="Times New Roman" w:hAnsi="宋体" w:eastAsia="宋体" w:cs="Times New Roman"/>
                <w:color w:val="000000" w:themeColor="text1"/>
                <w:sz w:val="24"/>
                <w:szCs w:val="24"/>
                <w:highlight w:val="none"/>
                <w:lang w:val="en-US" w:eastAsia="zh-CN"/>
                <w14:textFill>
                  <w14:solidFill>
                    <w14:schemeClr w14:val="tx1"/>
                  </w14:solidFill>
                </w14:textFill>
              </w:rPr>
              <w:t>8265平方</w:t>
            </w:r>
            <w:r>
              <w:rPr>
                <w:rFonts w:hint="eastAsia"/>
                <w:b w:val="0"/>
                <w:color w:val="auto"/>
                <w:sz w:val="24"/>
                <w:highlight w:val="none"/>
                <w:lang w:val="en-US" w:eastAsia="zh-CN"/>
              </w:rPr>
              <w:t>，占</w:t>
            </w:r>
            <w:r>
              <w:rPr>
                <w:rFonts w:hint="eastAsia"/>
                <w:b w:val="0"/>
                <w:color w:val="auto"/>
                <w:sz w:val="24"/>
                <w:lang w:val="en-US" w:eastAsia="zh-CN"/>
              </w:rPr>
              <w:t>地</w:t>
            </w:r>
            <w:r>
              <w:rPr>
                <w:rFonts w:hint="eastAsia" w:ascii="Times New Roman" w:hAnsi="Times New Roman" w:eastAsia="宋体" w:cs="Times New Roman"/>
                <w:b w:val="0"/>
                <w:color w:val="auto"/>
                <w:sz w:val="24"/>
                <w:lang w:val="en-US" w:eastAsia="zh-CN"/>
              </w:rPr>
              <w:t>类型为农用地，</w:t>
            </w:r>
            <w:r>
              <w:rPr>
                <w:rFonts w:ascii="Times New Roman" w:hAnsi="Times New Roman" w:eastAsia="宋体" w:cs="Times New Roman"/>
                <w:bCs/>
                <w:color w:val="auto"/>
                <w:sz w:val="24"/>
                <w:szCs w:val="24"/>
              </w:rPr>
              <w:t>因临时占用农用地而造成</w:t>
            </w:r>
            <w:r>
              <w:rPr>
                <w:rFonts w:hint="eastAsia" w:ascii="Times New Roman" w:hAnsi="Times New Roman" w:eastAsia="宋体" w:cs="Times New Roman"/>
                <w:bCs/>
                <w:color w:val="auto"/>
                <w:sz w:val="24"/>
                <w:szCs w:val="24"/>
                <w:lang w:eastAsia="zh-CN"/>
              </w:rPr>
              <w:t>短时间内</w:t>
            </w:r>
            <w:r>
              <w:rPr>
                <w:rFonts w:ascii="Times New Roman" w:hAnsi="Times New Roman" w:eastAsia="宋体" w:cs="Times New Roman"/>
                <w:bCs/>
                <w:color w:val="auto"/>
                <w:sz w:val="24"/>
                <w:szCs w:val="24"/>
              </w:rPr>
              <w:t>经济作物减产</w:t>
            </w:r>
            <w:r>
              <w:rPr>
                <w:rFonts w:hint="eastAsia"/>
                <w:b w:val="0"/>
                <w:color w:val="auto"/>
                <w:sz w:val="24"/>
                <w:lang w:val="en-US" w:eastAsia="zh-CN"/>
              </w:rPr>
              <w:t>。本项目</w:t>
            </w:r>
            <w:r>
              <w:rPr>
                <w:bCs/>
                <w:color w:val="auto"/>
                <w:sz w:val="24"/>
              </w:rPr>
              <w:t>所有施工活动均在施工权证范围内进行</w:t>
            </w:r>
            <w:r>
              <w:rPr>
                <w:rFonts w:hint="eastAsia"/>
                <w:bCs/>
                <w:color w:val="auto"/>
                <w:sz w:val="24"/>
                <w:lang w:eastAsia="zh-CN"/>
              </w:rPr>
              <w:t>，</w:t>
            </w:r>
            <w:r>
              <w:rPr>
                <w:rFonts w:hint="eastAsia" w:ascii="Times New Roman" w:hAnsi="Times New Roman" w:eastAsia="宋体" w:cs="Times New Roman"/>
                <w:b w:val="0"/>
                <w:color w:val="auto"/>
                <w:sz w:val="24"/>
                <w:lang w:val="en-US" w:eastAsia="zh-CN"/>
              </w:rPr>
              <w:t>临时占地结束后将</w:t>
            </w:r>
            <w:r>
              <w:rPr>
                <w:rFonts w:ascii="Times New Roman" w:hAnsi="Times New Roman" w:eastAsia="宋体" w:cs="Times New Roman"/>
                <w:bCs/>
                <w:color w:val="auto"/>
                <w:sz w:val="24"/>
                <w:szCs w:val="24"/>
              </w:rPr>
              <w:t>按照土地复垦方案对临时占地进行复垦，进行必要的土壤抚育，恢复临时占用耕地的生产力</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 w:val="0"/>
                <w:color w:val="auto"/>
                <w:sz w:val="24"/>
                <w:lang w:val="en-US" w:eastAsia="zh-CN"/>
              </w:rPr>
              <w:t>恢复土地原貌，因此</w:t>
            </w:r>
            <w:r>
              <w:rPr>
                <w:rFonts w:hint="eastAsia"/>
                <w:bCs/>
                <w:color w:val="auto"/>
                <w:sz w:val="24"/>
                <w:lang w:eastAsia="zh-CN"/>
              </w:rPr>
              <w:t>项目建设</w:t>
            </w:r>
            <w:r>
              <w:rPr>
                <w:bCs/>
                <w:color w:val="auto"/>
                <w:sz w:val="24"/>
              </w:rPr>
              <w:t>对</w:t>
            </w:r>
            <w:r>
              <w:rPr>
                <w:rFonts w:hint="eastAsia"/>
                <w:bCs/>
                <w:color w:val="auto"/>
                <w:sz w:val="24"/>
                <w:lang w:eastAsia="zh-CN"/>
              </w:rPr>
              <w:t>占地的</w:t>
            </w:r>
            <w:r>
              <w:rPr>
                <w:bCs/>
                <w:color w:val="auto"/>
                <w:sz w:val="24"/>
              </w:rPr>
              <w:t>影响较小。</w:t>
            </w:r>
          </w:p>
          <w:p w14:paraId="020E523D">
            <w:pPr>
              <w:numPr>
                <w:ilvl w:val="0"/>
                <w:numId w:val="0"/>
              </w:numPr>
              <w:spacing w:line="360" w:lineRule="auto"/>
              <w:ind w:firstLine="480" w:firstLineChars="200"/>
              <w:rPr>
                <w:rFonts w:hint="eastAsia"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②</w:t>
            </w:r>
            <w:r>
              <w:rPr>
                <w:rFonts w:hint="eastAsia" w:ascii="Times New Roman" w:hAnsi="Times New Roman" w:eastAsia="宋体" w:cs="Times New Roman"/>
                <w:bCs/>
                <w:color w:val="auto"/>
                <w:kern w:val="2"/>
                <w:sz w:val="24"/>
                <w:szCs w:val="24"/>
                <w:lang w:val="en-US" w:eastAsia="zh-CN" w:bidi="ar-SA"/>
              </w:rPr>
              <w:t>对植被的影响分析</w:t>
            </w:r>
          </w:p>
          <w:p w14:paraId="4A58696E">
            <w:pPr>
              <w:spacing w:line="360" w:lineRule="auto"/>
              <w:ind w:firstLine="480" w:firstLineChars="200"/>
              <w:rPr>
                <w:color w:val="auto"/>
                <w:kern w:val="0"/>
                <w:sz w:val="24"/>
                <w:lang w:bidi="ar"/>
              </w:rPr>
            </w:pPr>
            <w:r>
              <w:rPr>
                <w:color w:val="auto"/>
                <w:kern w:val="0"/>
                <w:sz w:val="24"/>
                <w:lang w:bidi="ar"/>
              </w:rPr>
              <w:t>工程施工不可避免的对地表产生扰动，进而对地表植物资源产生影响。本工程</w:t>
            </w:r>
            <w:r>
              <w:rPr>
                <w:rFonts w:hint="eastAsia"/>
                <w:color w:val="auto"/>
                <w:kern w:val="0"/>
                <w:sz w:val="24"/>
                <w:lang w:eastAsia="zh-CN" w:bidi="ar"/>
              </w:rPr>
              <w:t>施工临时占用</w:t>
            </w:r>
            <w:r>
              <w:rPr>
                <w:rFonts w:ascii="Times New Roman" w:hAnsi="Times New Roman" w:eastAsia="宋体" w:cs="Times New Roman"/>
                <w:bCs/>
                <w:color w:val="auto"/>
                <w:sz w:val="24"/>
                <w:szCs w:val="24"/>
              </w:rPr>
              <w:t>农用地</w:t>
            </w:r>
            <w:r>
              <w:rPr>
                <w:color w:val="auto"/>
                <w:kern w:val="0"/>
                <w:sz w:val="24"/>
                <w:lang w:bidi="ar"/>
              </w:rPr>
              <w:t>，在一定程度上将导致施工迹地表面裸露，使区域环境中绿地的数量较施工前相对减少，植被局部空间分布有所改变；施工噪声、汽车尾气和扬尘造成</w:t>
            </w:r>
            <w:r>
              <w:rPr>
                <w:rFonts w:hint="eastAsia"/>
                <w:color w:val="auto"/>
                <w:kern w:val="0"/>
                <w:sz w:val="24"/>
                <w:lang w:eastAsia="zh-CN" w:bidi="ar"/>
              </w:rPr>
              <w:t>植被</w:t>
            </w:r>
            <w:r>
              <w:rPr>
                <w:color w:val="auto"/>
                <w:kern w:val="0"/>
                <w:sz w:val="24"/>
                <w:lang w:bidi="ar"/>
              </w:rPr>
              <w:t>蒙尘，影响开花、受粉、结实，对作物生长、发育及繁殖带来不利影响。</w:t>
            </w:r>
          </w:p>
          <w:p w14:paraId="08C2F753">
            <w:pPr>
              <w:spacing w:line="360" w:lineRule="auto"/>
              <w:ind w:firstLine="480" w:firstLineChars="200"/>
              <w:rPr>
                <w:color w:val="auto"/>
              </w:rPr>
            </w:pPr>
            <w:r>
              <w:rPr>
                <w:color w:val="auto"/>
                <w:kern w:val="0"/>
                <w:sz w:val="24"/>
                <w:lang w:bidi="ar"/>
              </w:rPr>
              <w:t>本工程要求对所占</w:t>
            </w:r>
            <w:r>
              <w:rPr>
                <w:rFonts w:hint="eastAsia"/>
                <w:color w:val="auto"/>
                <w:kern w:val="0"/>
                <w:sz w:val="24"/>
                <w:lang w:eastAsia="zh-CN" w:bidi="ar"/>
              </w:rPr>
              <w:t>农用地</w:t>
            </w:r>
            <w:r>
              <w:rPr>
                <w:color w:val="auto"/>
                <w:kern w:val="0"/>
                <w:sz w:val="24"/>
                <w:lang w:bidi="ar"/>
              </w:rPr>
              <w:t>耕作层土壤剥离集中堆放加以保留，待施工结束后用于所占土地的复垦，这将在一定程度上减小对区域土壤生产力的影响。施工期加强管理，严格控制施工面积，采取降低施工噪声、定期洒水以降低扬尘量等措施，基本可以使施工作业对植物的影响控制在较小范围内</w:t>
            </w:r>
            <w:r>
              <w:rPr>
                <w:rFonts w:hint="eastAsia"/>
                <w:color w:val="auto"/>
                <w:kern w:val="0"/>
                <w:sz w:val="24"/>
                <w:lang w:eastAsia="zh-CN" w:bidi="ar"/>
              </w:rPr>
              <w:t>，</w:t>
            </w:r>
            <w:r>
              <w:rPr>
                <w:color w:val="auto"/>
                <w:kern w:val="0"/>
                <w:sz w:val="24"/>
                <w:lang w:bidi="ar"/>
              </w:rPr>
              <w:t>工程</w:t>
            </w:r>
            <w:r>
              <w:rPr>
                <w:rFonts w:hint="eastAsia"/>
                <w:color w:val="auto"/>
                <w:kern w:val="0"/>
                <w:sz w:val="24"/>
                <w:lang w:eastAsia="zh-CN" w:bidi="ar"/>
              </w:rPr>
              <w:t>施工</w:t>
            </w:r>
            <w:r>
              <w:rPr>
                <w:color w:val="auto"/>
                <w:kern w:val="0"/>
                <w:sz w:val="24"/>
                <w:lang w:bidi="ar"/>
              </w:rPr>
              <w:t>对</w:t>
            </w:r>
            <w:r>
              <w:rPr>
                <w:rFonts w:hint="eastAsia"/>
                <w:color w:val="auto"/>
                <w:kern w:val="0"/>
                <w:sz w:val="24"/>
                <w:lang w:eastAsia="zh-CN" w:bidi="ar"/>
              </w:rPr>
              <w:t>区域内植被</w:t>
            </w:r>
            <w:r>
              <w:rPr>
                <w:color w:val="auto"/>
                <w:kern w:val="0"/>
                <w:sz w:val="24"/>
                <w:lang w:bidi="ar"/>
              </w:rPr>
              <w:t>影响不大。</w:t>
            </w:r>
          </w:p>
          <w:p w14:paraId="126A5207">
            <w:pPr>
              <w:numPr>
                <w:ilvl w:val="0"/>
                <w:numId w:val="0"/>
              </w:numPr>
              <w:spacing w:line="360" w:lineRule="auto"/>
              <w:ind w:firstLine="480" w:firstLineChars="200"/>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③</w:t>
            </w:r>
            <w:r>
              <w:rPr>
                <w:rFonts w:hint="eastAsia" w:ascii="Times New Roman" w:hAnsi="Times New Roman" w:eastAsia="宋体" w:cs="Times New Roman"/>
                <w:bCs/>
                <w:color w:val="auto"/>
                <w:kern w:val="2"/>
                <w:sz w:val="24"/>
                <w:szCs w:val="24"/>
                <w:lang w:val="en-US" w:eastAsia="zh-CN" w:bidi="ar-SA"/>
              </w:rPr>
              <w:t xml:space="preserve"> 对野生动物影响分析</w:t>
            </w:r>
          </w:p>
          <w:p w14:paraId="28BE487F">
            <w:pPr>
              <w:spacing w:line="360" w:lineRule="auto"/>
              <w:ind w:firstLine="484" w:firstLineChars="202"/>
              <w:rPr>
                <w:bCs/>
                <w:color w:val="auto"/>
                <w:sz w:val="24"/>
              </w:rPr>
            </w:pPr>
            <w:r>
              <w:rPr>
                <w:bCs/>
                <w:color w:val="auto"/>
                <w:sz w:val="24"/>
              </w:rPr>
              <w:t>拟建项目在施工过程中对野生动物的影响主要表现为工作人员的施工活动对动物栖息地生境的干扰和破坏；施工机械噪声对动物的干扰</w:t>
            </w:r>
            <w:r>
              <w:rPr>
                <w:rFonts w:hint="eastAsia"/>
                <w:bCs/>
                <w:color w:val="auto"/>
                <w:sz w:val="24"/>
                <w:lang w:eastAsia="zh-CN"/>
              </w:rPr>
              <w:t>，</w:t>
            </w:r>
            <w:r>
              <w:rPr>
                <w:bCs/>
                <w:color w:val="auto"/>
                <w:sz w:val="24"/>
              </w:rPr>
              <w:t>会惊吓干扰植被中生活的某些野生动物。由于上述原因的影响，大部分两栖类和兽类迁移它处，远离项目区范围</w:t>
            </w:r>
            <w:r>
              <w:rPr>
                <w:rFonts w:hint="eastAsia"/>
                <w:bCs/>
                <w:color w:val="auto"/>
                <w:sz w:val="24"/>
                <w:lang w:eastAsia="zh-CN"/>
              </w:rPr>
              <w:t>，</w:t>
            </w:r>
            <w:r>
              <w:rPr>
                <w:bCs/>
                <w:color w:val="auto"/>
                <w:sz w:val="24"/>
              </w:rPr>
              <w:t>一部分鸟类和爬行类动物会通过迁移和飞翔来避免项目采掘面下方结构层施工所造成的影响，导致项目区周围环境的动物数量有所减少，但是距离项目区较远的区域中被影响驱赶的动物会相对集中而重新分布，因此本项目对动物种类多样性和种群数量不会产生大的影响，更不会导致动物多样性降低。在工程完工后项目区施工噪声等影响减弱后又会回到原来比较适宜生存和活动的地域。总体上本项目对周围的野生动物有一定的干扰，但是对其生存及种群数量、种类影响很小。</w:t>
            </w:r>
          </w:p>
          <w:p w14:paraId="3CF28E2B">
            <w:pPr>
              <w:numPr>
                <w:ilvl w:val="0"/>
                <w:numId w:val="0"/>
              </w:numPr>
              <w:spacing w:line="360" w:lineRule="auto"/>
              <w:ind w:firstLine="480" w:firstLineChars="20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④对水土流失影响分析</w:t>
            </w:r>
          </w:p>
          <w:p w14:paraId="3FD06F9F">
            <w:pPr>
              <w:spacing w:line="360" w:lineRule="auto"/>
              <w:ind w:firstLine="484" w:firstLineChars="202"/>
              <w:rPr>
                <w:bCs/>
                <w:color w:val="auto"/>
                <w:sz w:val="24"/>
              </w:rPr>
            </w:pPr>
            <w:r>
              <w:rPr>
                <w:bCs/>
                <w:color w:val="auto"/>
                <w:sz w:val="24"/>
              </w:rPr>
              <w:t>项目区土壤疏松，土壤侵蚀特征为：以风力侵蚀为主，兼有季节性水力侵蚀。施工活动对地形地貌、地表组成物质和植被产生扰动、破坏或再塑，使其失去原有的固土防冲能力，造成新的水土流失。</w:t>
            </w:r>
          </w:p>
          <w:p w14:paraId="213EF7CE">
            <w:pPr>
              <w:spacing w:line="360" w:lineRule="auto"/>
              <w:ind w:firstLine="484" w:firstLineChars="202"/>
              <w:rPr>
                <w:bCs/>
                <w:color w:val="auto"/>
                <w:sz w:val="24"/>
              </w:rPr>
            </w:pPr>
            <w:r>
              <w:rPr>
                <w:bCs/>
                <w:color w:val="auto"/>
                <w:sz w:val="24"/>
                <w:lang w:bidi="en-US"/>
              </w:rPr>
              <w:t>因本项目</w:t>
            </w:r>
            <w:r>
              <w:rPr>
                <w:bCs/>
                <w:color w:val="auto"/>
                <w:sz w:val="24"/>
              </w:rPr>
              <w:t>属于施工阶段，占地面积较小，且</w:t>
            </w:r>
            <w:r>
              <w:rPr>
                <w:bCs/>
                <w:color w:val="auto"/>
                <w:sz w:val="24"/>
                <w:lang w:bidi="en-US"/>
              </w:rPr>
              <w:t>通过加强施工管理，认真做好施工</w:t>
            </w:r>
            <w:r>
              <w:rPr>
                <w:rFonts w:hint="eastAsia"/>
                <w:bCs/>
                <w:color w:val="auto"/>
                <w:sz w:val="24"/>
                <w:lang w:eastAsia="zh-CN" w:bidi="en-US"/>
              </w:rPr>
              <w:t>期的水土保持和</w:t>
            </w:r>
            <w:r>
              <w:rPr>
                <w:bCs/>
                <w:color w:val="auto"/>
                <w:sz w:val="24"/>
                <w:lang w:bidi="en-US"/>
              </w:rPr>
              <w:t>结束后的场地恢复工作，</w:t>
            </w:r>
            <w:r>
              <w:rPr>
                <w:rFonts w:hint="eastAsia"/>
                <w:bCs/>
                <w:color w:val="auto"/>
                <w:sz w:val="24"/>
                <w:lang w:eastAsia="zh-CN" w:bidi="en-US"/>
              </w:rPr>
              <w:t>可以</w:t>
            </w:r>
            <w:r>
              <w:rPr>
                <w:bCs/>
                <w:color w:val="auto"/>
                <w:sz w:val="24"/>
                <w:lang w:bidi="en-US"/>
              </w:rPr>
              <w:t>最大程度减轻水土流失</w:t>
            </w:r>
            <w:r>
              <w:rPr>
                <w:rFonts w:hint="eastAsia"/>
                <w:bCs/>
                <w:color w:val="auto"/>
                <w:sz w:val="24"/>
                <w:lang w:eastAsia="zh-CN" w:bidi="en-US"/>
              </w:rPr>
              <w:t>的影响</w:t>
            </w:r>
            <w:r>
              <w:rPr>
                <w:bCs/>
                <w:color w:val="auto"/>
                <w:sz w:val="24"/>
                <w:lang w:bidi="en-US"/>
              </w:rPr>
              <w:t>。</w:t>
            </w:r>
          </w:p>
          <w:p w14:paraId="55E51D6D">
            <w:pPr>
              <w:numPr>
                <w:ilvl w:val="0"/>
                <w:numId w:val="0"/>
              </w:numPr>
              <w:spacing w:line="360" w:lineRule="auto"/>
              <w:ind w:firstLine="480" w:firstLineChars="20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⑤对土壤环境的影响分析</w:t>
            </w:r>
          </w:p>
          <w:p w14:paraId="5DEA6EB5">
            <w:pPr>
              <w:spacing w:line="360" w:lineRule="auto"/>
              <w:ind w:firstLine="484" w:firstLineChars="202"/>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项目施工过程中对土壤的影响主要为工程建设期的开挖对土壤结构的破坏。施工时场地平整产生的剥离表层土应独立集中临时堆放，钻井结束后用于场地复垦回填用土。表层土堆放区应设置截、排水沟等严格的水保措施防止水土流失。通过对井场内各池体采取防腐防渗处理，钻井泥浆对土壤影响很小。项目施工结束后，建设单位负责恢复土壤肥力，在恢复期对土壤进行熟化和培肥，直至恢复到原来的生产力水平。通过上述措施，项目建设对当地土壤环境影响在可接受范围内。</w:t>
            </w:r>
          </w:p>
          <w:p w14:paraId="61062F48">
            <w:pPr>
              <w:numPr>
                <w:ilvl w:val="0"/>
                <w:numId w:val="0"/>
              </w:numPr>
              <w:spacing w:line="360" w:lineRule="auto"/>
              <w:ind w:firstLine="480" w:firstLineChars="20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⑥景观影响分析</w:t>
            </w:r>
          </w:p>
          <w:p w14:paraId="50B96AF8">
            <w:pPr>
              <w:spacing w:line="360" w:lineRule="auto"/>
              <w:ind w:firstLine="484" w:firstLineChars="202"/>
              <w:rPr>
                <w:bCs/>
                <w:color w:val="auto"/>
                <w:sz w:val="24"/>
              </w:rPr>
            </w:pPr>
            <w:r>
              <w:rPr>
                <w:rFonts w:hint="eastAsia"/>
                <w:bCs/>
                <w:color w:val="auto"/>
                <w:sz w:val="24"/>
                <w:lang w:eastAsia="zh-CN"/>
              </w:rPr>
              <w:t>项目</w:t>
            </w:r>
            <w:r>
              <w:rPr>
                <w:bCs/>
                <w:color w:val="auto"/>
                <w:sz w:val="24"/>
              </w:rPr>
              <w:t>施工期各种车辆行驶</w:t>
            </w:r>
            <w:r>
              <w:rPr>
                <w:rFonts w:hint="eastAsia"/>
                <w:bCs/>
                <w:color w:val="auto"/>
                <w:sz w:val="24"/>
                <w:lang w:val="en-US" w:eastAsia="zh-CN"/>
              </w:rPr>
              <w:t>及井场设备搭建</w:t>
            </w:r>
            <w:r>
              <w:rPr>
                <w:bCs/>
                <w:color w:val="auto"/>
                <w:sz w:val="24"/>
              </w:rPr>
              <w:t>，使景观的基本构成要素廊道的数量增加，影响生态系统中的能流、物流的流动，对植物物种传播和动物的迁徙有一定的影响。</w:t>
            </w:r>
            <w:r>
              <w:rPr>
                <w:rFonts w:hint="eastAsia" w:ascii="Times New Roman" w:hAnsi="Times New Roman" w:eastAsia="宋体" w:cs="Times New Roman"/>
                <w:bCs/>
                <w:color w:val="auto"/>
                <w:sz w:val="24"/>
                <w:szCs w:val="24"/>
              </w:rPr>
              <w:t>施工</w:t>
            </w:r>
            <w:r>
              <w:rPr>
                <w:rFonts w:ascii="Times New Roman" w:hAnsi="Times New Roman" w:eastAsia="宋体" w:cs="Times New Roman"/>
                <w:bCs/>
                <w:color w:val="auto"/>
                <w:sz w:val="24"/>
                <w:szCs w:val="24"/>
              </w:rPr>
              <w:t>活动会形成新的堆土、钻探场等人工建筑景观、改变原有的景观，造成视觉干扰。但这一影响随施工作业的完成而结束。针对本项目，从环境保护角度来讲，施工工程对整个景观的影响</w:t>
            </w:r>
            <w:r>
              <w:rPr>
                <w:rFonts w:hint="eastAsia" w:cs="Times New Roman"/>
                <w:bCs/>
                <w:color w:val="auto"/>
                <w:sz w:val="24"/>
                <w:szCs w:val="24"/>
                <w:lang w:eastAsia="zh-CN"/>
              </w:rPr>
              <w:t>是</w:t>
            </w:r>
            <w:r>
              <w:rPr>
                <w:rFonts w:hint="eastAsia" w:ascii="Times New Roman" w:hAnsi="Times New Roman" w:eastAsia="宋体" w:cs="Times New Roman"/>
                <w:bCs/>
                <w:color w:val="auto"/>
                <w:sz w:val="24"/>
                <w:szCs w:val="24"/>
              </w:rPr>
              <w:t>可接受</w:t>
            </w:r>
            <w:r>
              <w:rPr>
                <w:rFonts w:ascii="Times New Roman" w:hAnsi="Times New Roman" w:eastAsia="宋体" w:cs="Times New Roman"/>
                <w:bCs/>
                <w:color w:val="auto"/>
                <w:sz w:val="24"/>
                <w:szCs w:val="24"/>
              </w:rPr>
              <w:t>。</w:t>
            </w:r>
          </w:p>
          <w:p w14:paraId="7D7D639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kern w:val="0"/>
                <w:sz w:val="24"/>
                <w:szCs w:val="24"/>
                <w:highlight w:val="none"/>
                <w:lang w:bidi="ar"/>
              </w:rPr>
            </w:pPr>
          </w:p>
          <w:p w14:paraId="16EBDFB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kern w:val="0"/>
                <w:sz w:val="24"/>
                <w:szCs w:val="24"/>
                <w:highlight w:val="none"/>
                <w:lang w:bidi="ar"/>
              </w:rPr>
            </w:pPr>
          </w:p>
          <w:p w14:paraId="282E4BEF">
            <w:pPr>
              <w:pStyle w:val="24"/>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2、其他环境要素影响分析</w:t>
            </w:r>
          </w:p>
          <w:p w14:paraId="59457E5E">
            <w:pPr>
              <w:widowControl/>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本项目拟</w:t>
            </w:r>
            <w:r>
              <w:rPr>
                <w:rFonts w:hint="eastAsia" w:ascii="Times New Roman" w:hAnsi="Times New Roman" w:eastAsia="宋体" w:cs="Times New Roman"/>
                <w:bCs/>
                <w:color w:val="auto"/>
                <w:sz w:val="24"/>
                <w:szCs w:val="24"/>
                <w:lang w:eastAsia="zh-CN"/>
              </w:rPr>
              <w:t>施工</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color w:val="auto"/>
                <w:sz w:val="24"/>
                <w:szCs w:val="24"/>
                <w:lang w:eastAsia="zh-CN"/>
              </w:rPr>
              <w:t>口</w:t>
            </w:r>
            <w:r>
              <w:rPr>
                <w:rFonts w:hint="default" w:ascii="Times New Roman" w:hAnsi="Times New Roman" w:eastAsia="宋体" w:cs="Times New Roman"/>
                <w:color w:val="auto"/>
                <w:sz w:val="24"/>
                <w:szCs w:val="24"/>
              </w:rPr>
              <w:t>钻</w:t>
            </w:r>
            <w:r>
              <w:rPr>
                <w:rFonts w:hint="default" w:ascii="Times New Roman" w:hAnsi="Times New Roman" w:eastAsia="宋体" w:cs="Times New Roman"/>
                <w:color w:val="auto"/>
                <w:sz w:val="24"/>
                <w:szCs w:val="24"/>
                <w:lang w:eastAsia="zh-CN"/>
              </w:rPr>
              <w:t>井</w:t>
            </w:r>
            <w:r>
              <w:rPr>
                <w:rFonts w:hint="default" w:ascii="Times New Roman" w:hAnsi="Times New Roman" w:eastAsia="宋体" w:cs="Times New Roman"/>
                <w:color w:val="auto"/>
                <w:sz w:val="24"/>
                <w:szCs w:val="24"/>
              </w:rPr>
              <w:t>，</w:t>
            </w:r>
            <w:r>
              <w:rPr>
                <w:rFonts w:hint="default" w:ascii="Times New Roman" w:hAnsi="Times New Roman" w:cs="Times New Roman" w:eastAsiaTheme="minorEastAsia"/>
                <w:color w:val="auto"/>
                <w:kern w:val="2"/>
                <w:sz w:val="24"/>
                <w:szCs w:val="24"/>
                <w:lang w:val="en-US" w:eastAsia="zh-CN" w:bidi="ar-SA"/>
              </w:rPr>
              <w:t>钻井施工工期约80天</w:t>
            </w:r>
            <w:r>
              <w:rPr>
                <w:rFonts w:hint="default" w:ascii="Times New Roman" w:hAnsi="Times New Roman" w:eastAsia="宋体" w:cs="Times New Roman"/>
                <w:color w:val="auto"/>
                <w:sz w:val="24"/>
                <w:szCs w:val="24"/>
              </w:rPr>
              <w:t>，</w:t>
            </w:r>
            <w:r>
              <w:rPr>
                <w:rFonts w:hint="default" w:ascii="Times New Roman" w:hAnsi="Times New Roman" w:cs="Times New Roman" w:eastAsiaTheme="minorEastAsia"/>
                <w:color w:val="auto"/>
                <w:kern w:val="2"/>
                <w:sz w:val="24"/>
                <w:szCs w:val="24"/>
                <w:lang w:val="en-US" w:eastAsia="zh-CN" w:bidi="ar-SA"/>
              </w:rPr>
              <w:t>钻井完井后整体压裂，压裂工期约15天</w:t>
            </w:r>
            <w:r>
              <w:rPr>
                <w:rFonts w:hint="default" w:ascii="Times New Roman" w:hAnsi="Times New Roman" w:cs="Times New Roman"/>
                <w:color w:val="auto"/>
                <w:kern w:val="2"/>
                <w:sz w:val="24"/>
                <w:szCs w:val="24"/>
                <w:lang w:val="en-US" w:eastAsia="zh-CN" w:bidi="ar-SA"/>
              </w:rPr>
              <w:t>，</w:t>
            </w:r>
            <w:r>
              <w:rPr>
                <w:rFonts w:hint="default" w:ascii="Times New Roman" w:hAnsi="Times New Roman" w:cs="Times New Roman" w:eastAsiaTheme="minorEastAsia"/>
                <w:color w:val="auto"/>
                <w:kern w:val="2"/>
                <w:sz w:val="24"/>
                <w:szCs w:val="24"/>
                <w:lang w:val="en-US" w:eastAsia="zh-CN" w:bidi="ar-SA"/>
              </w:rPr>
              <w:t>排采工期约24个月。</w:t>
            </w:r>
            <w:r>
              <w:rPr>
                <w:rFonts w:hint="default" w:ascii="Times New Roman" w:hAnsi="Times New Roman" w:eastAsia="宋体" w:cs="Times New Roman"/>
                <w:color w:val="auto"/>
                <w:sz w:val="24"/>
                <w:szCs w:val="24"/>
                <w:lang w:val="en-US" w:eastAsia="zh-CN"/>
              </w:rPr>
              <w:t>场地施工总人数约10人，场地</w:t>
            </w:r>
            <w:r>
              <w:rPr>
                <w:rFonts w:hint="default" w:ascii="Times New Roman" w:hAnsi="Times New Roman" w:eastAsia="宋体" w:cs="Times New Roman"/>
                <w:bCs/>
                <w:color w:val="auto"/>
                <w:sz w:val="24"/>
                <w:szCs w:val="24"/>
              </w:rPr>
              <w:t>不设置施工营地，施工区不提供食宿。施工活动的</w:t>
            </w:r>
            <w:r>
              <w:rPr>
                <w:rFonts w:ascii="Times New Roman" w:hAnsi="Times New Roman" w:eastAsia="宋体" w:cs="Times New Roman"/>
                <w:bCs/>
                <w:color w:val="auto"/>
                <w:sz w:val="24"/>
                <w:szCs w:val="24"/>
              </w:rPr>
              <w:t>主要环境影响为废气、废水、噪声以及固体废物。</w:t>
            </w:r>
          </w:p>
          <w:p w14:paraId="115E4926">
            <w:pPr>
              <w:widowControl/>
              <w:spacing w:line="360" w:lineRule="auto"/>
              <w:ind w:firstLine="480" w:firstLineChars="200"/>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1</w:t>
            </w:r>
            <w:r>
              <w:rPr>
                <w:rFonts w:hint="eastAsia" w:ascii="Times New Roman" w:hAnsi="Times New Roman" w:eastAsia="宋体" w:cs="Times New Roman"/>
                <w:bCs/>
                <w:color w:val="auto"/>
                <w:sz w:val="24"/>
                <w:szCs w:val="24"/>
                <w:lang w:eastAsia="zh-CN"/>
              </w:rPr>
              <w:t>）大气环境影响分析</w:t>
            </w:r>
          </w:p>
          <w:p w14:paraId="06511CAB">
            <w:pPr>
              <w:widowControl/>
              <w:spacing w:line="360" w:lineRule="auto"/>
              <w:ind w:firstLine="480" w:firstLineChars="200"/>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本项目大气环境影响主要来源于项目钻井施工过程中产生的施工扬尘和施工车辆废气以及管道施工过程中焊接或者热熔产生的废气。</w:t>
            </w:r>
          </w:p>
          <w:p w14:paraId="0BA87BD2">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①施工扬尘</w:t>
            </w:r>
          </w:p>
          <w:p w14:paraId="38341D90">
            <w:pPr>
              <w:widowControl/>
              <w:numPr>
                <w:ilvl w:val="0"/>
                <w:numId w:val="0"/>
              </w:numPr>
              <w:spacing w:line="360" w:lineRule="auto"/>
              <w:ind w:firstLine="480" w:firstLineChars="20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扬尘主要来自施工现场堆场、运输车辆、施工机械作业过程中扬起的灰尘。根据经验数据，在风速为 1.2m/s～2.4m/s 情况下，土方和灰土的堆放、装卸、运输、施工时距离50～150m 处下风方向粉尘浓度为 0.5～1.5mg/m</w:t>
            </w:r>
            <w:r>
              <w:rPr>
                <w:rFonts w:hint="eastAsia" w:ascii="Times New Roman" w:hAnsi="Times New Roman" w:eastAsia="宋体" w:cs="Times New Roman"/>
                <w:bCs/>
                <w:color w:val="auto"/>
                <w:sz w:val="24"/>
                <w:szCs w:val="24"/>
                <w:vertAlign w:val="superscript"/>
                <w:lang w:val="en-US" w:eastAsia="zh-CN"/>
              </w:rPr>
              <w:t>3</w:t>
            </w:r>
            <w:r>
              <w:rPr>
                <w:rFonts w:hint="eastAsia" w:ascii="Times New Roman" w:hAnsi="Times New Roman" w:eastAsia="宋体" w:cs="Times New Roman"/>
                <w:bCs/>
                <w:color w:val="auto"/>
                <w:sz w:val="24"/>
                <w:szCs w:val="24"/>
                <w:lang w:val="en-US" w:eastAsia="zh-CN"/>
              </w:rPr>
              <w:t>，通常情况下，影响范围在100m以内。项目所在区域的年平均风速为2.3m/s，风速小，产生的扬尘量小，同时在易产尘施工点采取湿式作业、堆场采取篷布遮盖或表面洒水抑尘等抑尘措施、施工道路采取定点洒水等措施，每天洒水2～3次进行抑尘，可有效降低扬尘产生量，并可将颗粒物污染距离缩小到 20～50m 范围。本项目钻井施工完成后影响即可消失，无长期影响，扬尘对区域环境影响小。</w:t>
            </w:r>
          </w:p>
          <w:p w14:paraId="7702E1F2">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②施工车辆废气</w:t>
            </w:r>
          </w:p>
          <w:p w14:paraId="3E12E4EB">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施工车辆废气污染物主要是氮氧化物、一氧化碳，本项目施工过程中钻机、泥浆泵等施工机械设备以电作为动力来源，仅少量移动车辆在转运设备和物料过程中排放少量污染物，排放量较小、持续时间短，车辆排放的尾气对环境影响很小。</w:t>
            </w:r>
          </w:p>
          <w:p w14:paraId="43373253">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③管道连接废气</w:t>
            </w:r>
          </w:p>
          <w:p w14:paraId="23FC84AF">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井场内输气管路采用无缝钢管，管路连接以焊接方式进行，焊接方法为电弧焊，焊材为焊条，主要污染物为颗粒物、MnO2、Fe203及Si02等，本项目井场内管线长120米，管线焊接工程量很小，焊接工序随着管道的铺设分段进行，焊接烟尘属于流动源且为间歇式排放，项目在施工时选择正规厂家生产的合格焊条进行施工，焊接烟尘对周边空气环境影响很小。</w:t>
            </w:r>
          </w:p>
          <w:p w14:paraId="7417229F">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本项目井场外输气管路使用PE管，管线热熔对接时会产生一定量的非甲烷总烃，本项目PE管线总长800米，管线热熔连接工程量小，且随着管线铺设分段、间歇排放，热熔废气对周边环境影响很小。</w:t>
            </w:r>
          </w:p>
          <w:p w14:paraId="1C3E24AA">
            <w:pPr>
              <w:widowControl/>
              <w:spacing w:line="360" w:lineRule="auto"/>
              <w:ind w:firstLine="480" w:firstLineChars="200"/>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2</w:t>
            </w:r>
            <w:r>
              <w:rPr>
                <w:rFonts w:hint="eastAsia" w:ascii="Times New Roman" w:hAnsi="Times New Roman" w:eastAsia="宋体" w:cs="Times New Roman"/>
                <w:bCs/>
                <w:color w:val="auto"/>
                <w:sz w:val="24"/>
                <w:szCs w:val="24"/>
                <w:lang w:eastAsia="zh-CN"/>
              </w:rPr>
              <w:t>）水环境影响分析</w:t>
            </w:r>
          </w:p>
          <w:p w14:paraId="2127AA80">
            <w:pPr>
              <w:spacing w:line="360" w:lineRule="auto"/>
              <w:ind w:firstLine="480" w:firstLineChars="200"/>
              <w:rPr>
                <w:rFonts w:hint="eastAsia"/>
                <w:color w:val="auto"/>
                <w:sz w:val="24"/>
                <w:szCs w:val="24"/>
                <w:highlight w:val="none"/>
              </w:rPr>
            </w:pPr>
            <w:r>
              <w:rPr>
                <w:rFonts w:hint="eastAsia" w:ascii="宋体" w:hAnsi="宋体" w:eastAsia="宋体" w:cs="宋体"/>
                <w:color w:val="000000"/>
                <w:kern w:val="0"/>
                <w:sz w:val="24"/>
                <w:szCs w:val="24"/>
                <w:lang w:val="en-US" w:eastAsia="zh-CN" w:bidi="ar"/>
              </w:rPr>
              <w:t>项目</w:t>
            </w:r>
            <w:r>
              <w:rPr>
                <w:rFonts w:hint="eastAsia"/>
                <w:color w:val="auto"/>
                <w:sz w:val="24"/>
                <w:szCs w:val="24"/>
                <w:highlight w:val="none"/>
                <w:vertAlign w:val="baseline"/>
                <w:lang w:eastAsia="zh-CN"/>
              </w:rPr>
              <w:t>钻井时会产生泥浆水，</w:t>
            </w:r>
            <w:r>
              <w:rPr>
                <w:rFonts w:hint="eastAsia" w:ascii="Times New Roman" w:hAnsi="Times New Roman" w:eastAsia="宋体" w:cs="Times New Roman"/>
                <w:color w:val="auto"/>
                <w:kern w:val="2"/>
                <w:sz w:val="24"/>
                <w:szCs w:val="24"/>
                <w:highlight w:val="none"/>
                <w:lang w:val="en-US" w:eastAsia="zh-CN" w:bidi="ar-SA"/>
              </w:rPr>
              <w:t>从井口处返出的泥浆水中固相含量比较高（泥浆中携带的</w:t>
            </w:r>
            <w:r>
              <w:rPr>
                <w:rFonts w:hint="eastAsia"/>
                <w:color w:val="auto"/>
                <w:sz w:val="24"/>
                <w:lang w:eastAsia="zh-CN"/>
              </w:rPr>
              <w:t>岩屑</w:t>
            </w:r>
            <w:r>
              <w:rPr>
                <w:rFonts w:hint="eastAsia" w:ascii="Times New Roman" w:hAnsi="Times New Roman" w:eastAsia="宋体" w:cs="Times New Roman"/>
                <w:color w:val="auto"/>
                <w:kern w:val="2"/>
                <w:sz w:val="24"/>
                <w:szCs w:val="24"/>
                <w:highlight w:val="none"/>
                <w:lang w:val="en-US" w:eastAsia="zh-CN" w:bidi="ar-SA"/>
              </w:rPr>
              <w:t>），为了降低其中的固相含量需要使用固控系统对泥浆水进行净化处理。</w:t>
            </w:r>
            <w:r>
              <w:rPr>
                <w:rFonts w:hint="eastAsia" w:eastAsia="宋体"/>
                <w:color w:val="auto"/>
                <w:sz w:val="24"/>
                <w:szCs w:val="24"/>
                <w:highlight w:val="none"/>
                <w:lang w:eastAsia="zh-CN"/>
              </w:rPr>
              <w:t>经固控系统</w:t>
            </w:r>
            <w:r>
              <w:rPr>
                <w:rFonts w:hint="eastAsia"/>
                <w:color w:val="auto"/>
                <w:sz w:val="24"/>
                <w:szCs w:val="24"/>
                <w:highlight w:val="none"/>
              </w:rPr>
              <w:t>净化处理后</w:t>
            </w:r>
            <w:r>
              <w:rPr>
                <w:rFonts w:hint="eastAsia"/>
                <w:color w:val="auto"/>
                <w:sz w:val="24"/>
                <w:szCs w:val="24"/>
                <w:highlight w:val="none"/>
                <w:lang w:eastAsia="zh-CN"/>
              </w:rPr>
              <w:t>的</w:t>
            </w:r>
            <w:r>
              <w:rPr>
                <w:rFonts w:hint="eastAsia"/>
                <w:color w:val="auto"/>
                <w:sz w:val="24"/>
                <w:szCs w:val="24"/>
                <w:highlight w:val="none"/>
              </w:rPr>
              <w:t>泥浆中固相含量明显下降，使泥浆能够实现循环利用</w:t>
            </w:r>
            <w:r>
              <w:rPr>
                <w:rFonts w:hint="eastAsia"/>
                <w:color w:val="auto"/>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bidi="ar-SA"/>
              </w:rPr>
              <w:t>无泥浆废水产生</w:t>
            </w:r>
            <w:r>
              <w:rPr>
                <w:rFonts w:hint="eastAsia"/>
                <w:color w:val="auto"/>
                <w:sz w:val="24"/>
                <w:szCs w:val="24"/>
                <w:highlight w:val="none"/>
                <w:lang w:eastAsia="zh-CN"/>
              </w:rPr>
              <w:t>。处理后的泥浆通过</w:t>
            </w:r>
            <w:r>
              <w:rPr>
                <w:rFonts w:hint="eastAsia"/>
                <w:color w:val="auto"/>
                <w:sz w:val="24"/>
                <w:szCs w:val="24"/>
                <w:highlight w:val="none"/>
              </w:rPr>
              <w:t>泥浆泵</w:t>
            </w:r>
            <w:r>
              <w:rPr>
                <w:rFonts w:hint="eastAsia"/>
                <w:color w:val="auto"/>
                <w:sz w:val="24"/>
                <w:szCs w:val="24"/>
                <w:highlight w:val="none"/>
                <w:lang w:eastAsia="zh-CN"/>
              </w:rPr>
              <w:t>继续用于</w:t>
            </w:r>
            <w:r>
              <w:rPr>
                <w:rFonts w:hint="eastAsia"/>
                <w:color w:val="auto"/>
                <w:sz w:val="24"/>
                <w:szCs w:val="24"/>
                <w:highlight w:val="none"/>
              </w:rPr>
              <w:t>钻井施工。</w:t>
            </w:r>
          </w:p>
          <w:p w14:paraId="5191F86C">
            <w:pPr>
              <w:spacing w:line="360" w:lineRule="auto"/>
              <w:ind w:firstLine="480" w:firstLineChars="200"/>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压裂施工用水直接进入地层，无压裂废水产生；</w:t>
            </w:r>
          </w:p>
          <w:p w14:paraId="7CE5673D">
            <w:pPr>
              <w:spacing w:line="360" w:lineRule="auto"/>
              <w:ind w:firstLine="480" w:firstLineChars="200"/>
              <w:rPr>
                <w:rFonts w:hint="default" w:ascii="Times New Roman" w:hAnsi="Times New Roman" w:cs="Times New Roman"/>
                <w:color w:val="auto"/>
                <w:sz w:val="24"/>
                <w:szCs w:val="24"/>
                <w:highlight w:val="none"/>
                <w:vertAlign w:val="baseline"/>
                <w:lang w:eastAsia="zh-CN"/>
              </w:rPr>
            </w:pPr>
            <w:r>
              <w:rPr>
                <w:rFonts w:hint="eastAsia"/>
                <w:color w:val="auto"/>
                <w:sz w:val="24"/>
                <w:szCs w:val="24"/>
                <w:highlight w:val="none"/>
                <w:vertAlign w:val="baseline"/>
                <w:lang w:eastAsia="zh-CN"/>
              </w:rPr>
              <w:t>排采施工时冲砂用水循环利用，不外排。正式排采过程中</w:t>
            </w:r>
            <w:r>
              <w:rPr>
                <w:rFonts w:hint="eastAsia"/>
                <w:color w:val="auto"/>
                <w:sz w:val="24"/>
                <w:szCs w:val="24"/>
                <w:highlight w:val="none"/>
                <w:vertAlign w:val="baseline"/>
                <w:lang w:val="en-US" w:eastAsia="zh-CN"/>
              </w:rPr>
              <w:t>气液分离器和凝水缸</w:t>
            </w:r>
            <w:r>
              <w:rPr>
                <w:rFonts w:hint="eastAsia"/>
                <w:color w:val="auto"/>
                <w:sz w:val="24"/>
                <w:szCs w:val="24"/>
                <w:highlight w:val="none"/>
                <w:vertAlign w:val="baseline"/>
                <w:lang w:eastAsia="zh-CN"/>
              </w:rPr>
              <w:t>会产生采气废水，</w:t>
            </w:r>
            <w:r>
              <w:rPr>
                <w:rFonts w:hint="eastAsia"/>
                <w:color w:val="auto"/>
                <w:sz w:val="24"/>
                <w:szCs w:val="24"/>
                <w:highlight w:val="none"/>
                <w:vertAlign w:val="baseline"/>
                <w:lang w:val="en-US" w:eastAsia="zh-CN"/>
              </w:rPr>
              <w:t>气液分离器废水主要污染物为COD、SS，收集后经潘一选煤厂现有污水处理站处理后回用于生产。凝水缸排水为凝结水，水质无污染，每月排</w:t>
            </w:r>
            <w:r>
              <w:rPr>
                <w:rFonts w:hint="default" w:ascii="Times New Roman" w:hAnsi="Times New Roman" w:cs="Times New Roman"/>
                <w:color w:val="auto"/>
                <w:sz w:val="24"/>
                <w:szCs w:val="24"/>
                <w:highlight w:val="none"/>
                <w:vertAlign w:val="baseline"/>
                <w:lang w:val="en-US" w:eastAsia="zh-CN"/>
              </w:rPr>
              <w:t>放一次，排出的水用于场地洒水抑尘</w:t>
            </w:r>
            <w:r>
              <w:rPr>
                <w:rFonts w:hint="default" w:ascii="Times New Roman" w:hAnsi="Times New Roman" w:cs="Times New Roman"/>
                <w:color w:val="auto"/>
                <w:sz w:val="24"/>
                <w:szCs w:val="24"/>
                <w:highlight w:val="none"/>
                <w:vertAlign w:val="baseline"/>
                <w:lang w:eastAsia="zh-CN"/>
              </w:rPr>
              <w:t>。</w:t>
            </w:r>
          </w:p>
          <w:p w14:paraId="2A9E57BC">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lang w:val="en-US" w:eastAsia="zh-CN"/>
              </w:rPr>
              <w:t>管线施工过</w:t>
            </w:r>
            <w:r>
              <w:rPr>
                <w:rFonts w:hint="default" w:ascii="Times New Roman" w:hAnsi="Times New Roman" w:cs="Times New Roman"/>
                <w:color w:val="auto"/>
                <w:sz w:val="24"/>
                <w:szCs w:val="24"/>
                <w:highlight w:val="none"/>
                <w:vertAlign w:val="baseline"/>
                <w:lang w:val="en-US" w:eastAsia="zh-CN"/>
              </w:rPr>
              <w:t>程中产生试压废水。管道工程试压前采用清管器进行清管，项目拟采用以空气为动力的压风机推动清管器进行清管，该过程无废水产生。试压废水主要污染物为悬浮物(≤70mg/L)，试压废水主要污染物为悬浮物(≤70mg/L)，</w:t>
            </w:r>
            <w:r>
              <w:rPr>
                <w:rFonts w:hint="eastAsia" w:ascii="Times New Roman" w:hAnsi="宋体" w:eastAsia="宋体" w:cs="Times New Roman"/>
                <w:color w:val="auto"/>
                <w:sz w:val="24"/>
                <w:szCs w:val="24"/>
                <w:lang w:val="en-US" w:eastAsia="zh-CN"/>
              </w:rPr>
              <w:t>经收集沉淀后用于场地洒水抑尘，不外排</w:t>
            </w:r>
            <w:r>
              <w:rPr>
                <w:rFonts w:hint="default" w:ascii="Times New Roman" w:hAnsi="Times New Roman" w:cs="Times New Roman"/>
                <w:color w:val="auto"/>
                <w:sz w:val="24"/>
                <w:szCs w:val="24"/>
                <w:highlight w:val="none"/>
                <w:vertAlign w:val="baseline"/>
                <w:lang w:val="en-US" w:eastAsia="zh-CN"/>
              </w:rPr>
              <w:t>。</w:t>
            </w:r>
          </w:p>
          <w:p w14:paraId="36FCB8B5">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szCs w:val="24"/>
                <w:highlight w:val="none"/>
                <w:vertAlign w:val="baseline"/>
                <w:lang w:val="en-US" w:eastAsia="zh-CN"/>
              </w:rPr>
            </w:pPr>
            <w:r>
              <w:rPr>
                <w:rFonts w:ascii="Times New Roman" w:hAnsi="Times New Roman" w:eastAsia="宋体" w:cs="Times New Roman"/>
                <w:color w:val="auto"/>
                <w:sz w:val="24"/>
                <w:szCs w:val="24"/>
              </w:rPr>
              <w:t>本项目施工</w:t>
            </w:r>
            <w:r>
              <w:rPr>
                <w:rFonts w:hint="eastAsia" w:ascii="Times New Roman" w:hAnsi="Times New Roman" w:eastAsia="宋体" w:cs="Times New Roman"/>
                <w:color w:val="auto"/>
                <w:sz w:val="24"/>
                <w:szCs w:val="24"/>
                <w:lang w:eastAsia="zh-CN"/>
              </w:rPr>
              <w:t>场地不提供</w:t>
            </w:r>
            <w:r>
              <w:rPr>
                <w:rFonts w:hint="default" w:ascii="Times New Roman" w:hAnsi="Times New Roman" w:eastAsia="宋体" w:cs="Times New Roman"/>
                <w:color w:val="auto"/>
                <w:sz w:val="24"/>
                <w:szCs w:val="24"/>
              </w:rPr>
              <w:t>食宿，</w:t>
            </w:r>
            <w:r>
              <w:rPr>
                <w:rFonts w:hint="eastAsia" w:ascii="Times New Roman" w:hAnsi="Times New Roman" w:eastAsia="宋体" w:cs="Times New Roman"/>
                <w:color w:val="auto"/>
                <w:sz w:val="24"/>
                <w:szCs w:val="24"/>
                <w:lang w:eastAsia="zh-CN"/>
              </w:rPr>
              <w:t>施工人员</w:t>
            </w:r>
            <w:r>
              <w:rPr>
                <w:rFonts w:hint="default" w:ascii="Times New Roman" w:hAnsi="Times New Roman" w:eastAsia="宋体" w:cs="Times New Roman"/>
                <w:color w:val="auto"/>
                <w:sz w:val="24"/>
                <w:szCs w:val="24"/>
              </w:rPr>
              <w:t>食宿</w:t>
            </w:r>
            <w:r>
              <w:rPr>
                <w:rFonts w:hint="eastAsia" w:ascii="Times New Roman" w:hAnsi="Times New Roman" w:eastAsia="宋体" w:cs="Times New Roman"/>
                <w:color w:val="auto"/>
                <w:sz w:val="24"/>
                <w:szCs w:val="24"/>
                <w:lang w:eastAsia="zh-CN"/>
              </w:rPr>
              <w:t>依托附近</w:t>
            </w:r>
            <w:r>
              <w:rPr>
                <w:rFonts w:hint="default" w:ascii="Times New Roman" w:hAnsi="Times New Roman" w:eastAsia="宋体" w:cs="Times New Roman"/>
                <w:color w:val="auto"/>
                <w:sz w:val="24"/>
                <w:szCs w:val="24"/>
              </w:rPr>
              <w:t>民房</w:t>
            </w:r>
            <w:r>
              <w:rPr>
                <w:rFonts w:hint="eastAsia" w:ascii="Times New Roman" w:hAnsi="Times New Roman" w:eastAsia="宋体" w:cs="Times New Roman"/>
                <w:color w:val="auto"/>
                <w:sz w:val="24"/>
                <w:szCs w:val="24"/>
                <w:lang w:eastAsia="zh-CN"/>
              </w:rPr>
              <w:t>解决</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施工场地配备</w:t>
            </w:r>
            <w:r>
              <w:rPr>
                <w:rFonts w:hint="default" w:ascii="Times New Roman" w:hAnsi="Times New Roman" w:eastAsia="宋体" w:cs="Times New Roman"/>
                <w:color w:val="auto"/>
                <w:sz w:val="24"/>
                <w:szCs w:val="24"/>
              </w:rPr>
              <w:t>员工</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人，根据《安徽省行业用水定额》（DB34/T 679-2019），员工生活用水按</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0L/人·d计，</w:t>
            </w:r>
            <w:r>
              <w:rPr>
                <w:rFonts w:hint="default" w:ascii="Times New Roman" w:hAnsi="Times New Roman" w:eastAsia="宋体" w:cs="Times New Roman"/>
                <w:color w:val="auto"/>
                <w:sz w:val="24"/>
                <w:szCs w:val="24"/>
                <w:lang w:eastAsia="zh-CN"/>
              </w:rPr>
              <w:t>施工期</w:t>
            </w:r>
            <w:r>
              <w:rPr>
                <w:rFonts w:hint="default" w:ascii="Times New Roman" w:hAnsi="Times New Roman" w:eastAsia="宋体" w:cs="Times New Roman"/>
                <w:color w:val="auto"/>
                <w:sz w:val="24"/>
                <w:szCs w:val="24"/>
              </w:rPr>
              <w:t>用水量约为</w:t>
            </w:r>
            <w:r>
              <w:rPr>
                <w:rFonts w:hint="eastAsia"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。生活污水产生量按用水量的80%计，生活污水产生量为</w:t>
            </w:r>
            <w:r>
              <w:rPr>
                <w:rFonts w:hint="eastAsia" w:ascii="Times New Roman" w:hAnsi="Times New Roman" w:eastAsia="宋体" w:cs="Times New Roman"/>
                <w:color w:val="auto"/>
                <w:sz w:val="24"/>
                <w:szCs w:val="24"/>
                <w:lang w:val="en-US" w:eastAsia="zh-CN"/>
              </w:rPr>
              <w:t>0.4</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/d</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highlight w:val="none"/>
              </w:rPr>
              <w:t>生活污水</w:t>
            </w:r>
            <w:r>
              <w:rPr>
                <w:rFonts w:hint="eastAsia" w:ascii="Times New Roman" w:hAnsi="Times New Roman" w:eastAsia="宋体" w:cs="Times New Roman"/>
                <w:color w:val="auto"/>
                <w:sz w:val="24"/>
                <w:szCs w:val="24"/>
                <w:highlight w:val="none"/>
                <w:lang w:eastAsia="zh-CN"/>
              </w:rPr>
              <w:t>经场地设置的化粪池预处理后用于周边农田肥田，不外排</w:t>
            </w:r>
            <w:r>
              <w:rPr>
                <w:rFonts w:hint="default" w:ascii="Times New Roman" w:hAnsi="Times New Roman" w:eastAsia="宋体" w:cs="Times New Roman"/>
                <w:color w:val="auto"/>
                <w:sz w:val="24"/>
                <w:szCs w:val="24"/>
                <w:highlight w:val="none"/>
              </w:rPr>
              <w:t>。</w:t>
            </w:r>
          </w:p>
          <w:p w14:paraId="0C544F60">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综上所述，本项目排放的废水为气液分离器废水</w:t>
            </w:r>
            <w:r>
              <w:rPr>
                <w:rFonts w:hint="default" w:ascii="Times New Roman" w:hAnsi="Times New Roman" w:eastAsia="宋体" w:cs="Times New Roman"/>
                <w:color w:val="auto"/>
                <w:sz w:val="24"/>
                <w:szCs w:val="24"/>
                <w:lang w:val="en-US" w:eastAsia="zh-CN"/>
              </w:rPr>
              <w:t>，废水经收集后</w:t>
            </w:r>
            <w:r>
              <w:rPr>
                <w:rFonts w:hint="default" w:ascii="Times New Roman" w:hAnsi="Times New Roman" w:eastAsia="宋体" w:cs="Times New Roman"/>
                <w:color w:val="auto"/>
                <w:sz w:val="24"/>
                <w:szCs w:val="24"/>
                <w:highlight w:val="none"/>
                <w:lang w:eastAsia="zh-CN"/>
              </w:rPr>
              <w:t>进入潘一选煤厂生活污水处理站处理后回用于潘一选煤厂生产</w:t>
            </w:r>
            <w:r>
              <w:rPr>
                <w:rFonts w:hint="default" w:ascii="Times New Roman" w:hAnsi="Times New Roman" w:eastAsia="宋体" w:cs="Times New Roman"/>
                <w:color w:val="auto"/>
                <w:sz w:val="24"/>
                <w:szCs w:val="24"/>
                <w:lang w:val="en-US" w:eastAsia="zh-CN"/>
              </w:rPr>
              <w:t>，不外排。项目废水对周边水环境基本无影响。</w:t>
            </w:r>
          </w:p>
          <w:p w14:paraId="11F57E0B">
            <w:pPr>
              <w:numPr>
                <w:ilvl w:val="0"/>
                <w:numId w:val="6"/>
              </w:numPr>
              <w:spacing w:line="360" w:lineRule="auto"/>
              <w:ind w:firstLine="480" w:firstLineChars="200"/>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声环境影响分析</w:t>
            </w:r>
          </w:p>
          <w:p w14:paraId="3243109C">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Times New Roman" w:hAnsi="Times New Roman" w:eastAsia="宋体" w:cs="Times New Roman"/>
                <w:b w:val="0"/>
                <w:bCs w:val="0"/>
                <w:color w:val="auto"/>
                <w:sz w:val="24"/>
                <w:szCs w:val="24"/>
                <w:highlight w:val="none"/>
                <w:lang w:eastAsia="zh-CN"/>
              </w:rPr>
              <w:t>本项目仅有施工期噪声影响，无运营期噪声影响，</w:t>
            </w:r>
            <w:r>
              <w:rPr>
                <w:rFonts w:hint="eastAsia" w:ascii="Times New Roman" w:hAnsi="宋体" w:eastAsia="宋体" w:cs="Times New Roman"/>
                <w:color w:val="auto"/>
                <w:sz w:val="24"/>
                <w:szCs w:val="24"/>
                <w:lang w:val="en-US" w:eastAsia="zh-CN"/>
              </w:rPr>
              <w:t>施工期噪声主要来源于钻井施工和压裂施工</w:t>
            </w:r>
            <w:r>
              <w:rPr>
                <w:rFonts w:hint="default" w:ascii="Times New Roman" w:hAnsi="宋体" w:eastAsia="宋体" w:cs="Times New Roman"/>
                <w:color w:val="auto"/>
                <w:sz w:val="24"/>
                <w:szCs w:val="24"/>
                <w:lang w:val="en-US" w:eastAsia="zh-CN"/>
              </w:rPr>
              <w:t>设备运转产生</w:t>
            </w:r>
            <w:r>
              <w:rPr>
                <w:rFonts w:hint="eastAsia" w:ascii="Times New Roman" w:hAnsi="宋体" w:eastAsia="宋体" w:cs="Times New Roman"/>
                <w:color w:val="auto"/>
                <w:sz w:val="24"/>
                <w:szCs w:val="24"/>
                <w:lang w:val="en-US" w:eastAsia="zh-CN"/>
              </w:rPr>
              <w:t>的</w:t>
            </w:r>
            <w:r>
              <w:rPr>
                <w:rFonts w:hint="default" w:ascii="Times New Roman" w:hAnsi="宋体" w:eastAsia="宋体" w:cs="Times New Roman"/>
                <w:color w:val="auto"/>
                <w:sz w:val="24"/>
                <w:szCs w:val="24"/>
                <w:lang w:val="en-US" w:eastAsia="zh-CN"/>
              </w:rPr>
              <w:t>噪声</w:t>
            </w:r>
            <w:r>
              <w:rPr>
                <w:rFonts w:hint="eastAsia" w:ascii="Times New Roman" w:hAnsi="宋体" w:eastAsia="宋体" w:cs="Times New Roman"/>
                <w:color w:val="auto"/>
                <w:sz w:val="24"/>
                <w:szCs w:val="24"/>
                <w:lang w:val="en-US" w:eastAsia="zh-CN"/>
              </w:rPr>
              <w:t>，主要高噪声设备为钻机、泥浆泵、固控系统、压裂车组等。</w:t>
            </w:r>
            <w:r>
              <w:rPr>
                <w:rFonts w:hint="default" w:ascii="Times New Roman" w:hAnsi="宋体" w:eastAsia="宋体" w:cs="Times New Roman"/>
                <w:color w:val="auto"/>
                <w:sz w:val="24"/>
                <w:szCs w:val="24"/>
                <w:lang w:val="en-US" w:eastAsia="zh-CN"/>
              </w:rPr>
              <w:t>其噪声</w:t>
            </w:r>
            <w:r>
              <w:rPr>
                <w:rFonts w:hint="eastAsia" w:ascii="Times New Roman" w:hAnsi="宋体" w:eastAsia="宋体" w:cs="Times New Roman"/>
                <w:color w:val="auto"/>
                <w:sz w:val="24"/>
                <w:szCs w:val="24"/>
                <w:lang w:val="en-US" w:eastAsia="zh-CN"/>
              </w:rPr>
              <w:t>值在75</w:t>
            </w:r>
            <w:r>
              <w:rPr>
                <w:rFonts w:hint="default" w:ascii="Times New Roman" w:hAnsi="宋体" w:eastAsia="宋体" w:cs="Times New Roman"/>
                <w:color w:val="auto"/>
                <w:sz w:val="24"/>
                <w:szCs w:val="24"/>
                <w:lang w:val="en-US" w:eastAsia="zh-CN"/>
              </w:rPr>
              <w:t>～</w:t>
            </w:r>
            <w:r>
              <w:rPr>
                <w:rFonts w:hint="eastAsia" w:ascii="Times New Roman" w:hAnsi="宋体" w:eastAsia="宋体" w:cs="Times New Roman"/>
                <w:color w:val="auto"/>
                <w:sz w:val="24"/>
                <w:szCs w:val="24"/>
                <w:lang w:val="en-US" w:eastAsia="zh-CN"/>
              </w:rPr>
              <w:t>85</w:t>
            </w:r>
            <w:r>
              <w:rPr>
                <w:rFonts w:hint="default" w:ascii="Times New Roman" w:hAnsi="宋体" w:eastAsia="宋体" w:cs="Times New Roman"/>
                <w:color w:val="auto"/>
                <w:sz w:val="24"/>
                <w:szCs w:val="24"/>
                <w:lang w:val="en-US" w:eastAsia="zh-CN"/>
              </w:rPr>
              <w:t>dB（A）之间</w:t>
            </w:r>
            <w:r>
              <w:rPr>
                <w:rFonts w:hint="eastAsia" w:ascii="Times New Roman" w:hAnsi="宋体" w:eastAsia="宋体" w:cs="Times New Roman"/>
                <w:color w:val="auto"/>
                <w:sz w:val="24"/>
                <w:szCs w:val="24"/>
                <w:lang w:val="en-US" w:eastAsia="zh-CN"/>
              </w:rPr>
              <w:t>，项目钻井施工完成后进行压裂施工，即压裂车组与钻井设备不同时运行</w:t>
            </w:r>
            <w:r>
              <w:rPr>
                <w:rFonts w:hint="eastAsia" w:ascii="宋体" w:hAnsi="宋体" w:eastAsia="宋体" w:cs="宋体"/>
                <w:color w:val="000000"/>
                <w:kern w:val="0"/>
                <w:sz w:val="24"/>
                <w:szCs w:val="24"/>
                <w:lang w:val="en-US" w:eastAsia="zh-CN" w:bidi="ar"/>
              </w:rPr>
              <w:t>，且钻井和压裂施工工期较短，随着施工结束噪声影响即消失。</w:t>
            </w:r>
          </w:p>
          <w:p w14:paraId="21EF121D">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根据项目设备声源特征和声学环境的特点，同时根据业主提供资料，视设备声源为点源，声场为半自由声场，依据《环境影响评价技术导则声环境》，</w:t>
            </w:r>
            <w:r>
              <w:rPr>
                <w:rFonts w:ascii="Times New Roman" w:hAnsi="Times New Roman" w:eastAsia="宋体" w:cs="Times New Roman"/>
                <w:bCs/>
                <w:color w:val="auto"/>
                <w:sz w:val="24"/>
                <w:szCs w:val="24"/>
                <w:highlight w:val="none"/>
              </w:rPr>
              <w:t>选用无指向性声源几何发散衰减预测模式预测厂界噪声。</w:t>
            </w:r>
          </w:p>
          <w:p w14:paraId="4C8A6F0A">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①</w:t>
            </w:r>
            <w:r>
              <w:rPr>
                <w:rFonts w:ascii="Times New Roman" w:hAnsi="Times New Roman" w:eastAsia="宋体" w:cs="Times New Roman"/>
                <w:bCs/>
                <w:color w:val="auto"/>
                <w:sz w:val="24"/>
                <w:szCs w:val="24"/>
              </w:rPr>
              <w:t>点声源预测模式</w:t>
            </w:r>
          </w:p>
          <w:p w14:paraId="6E34C6D1">
            <w:pPr>
              <w:spacing w:line="360" w:lineRule="auto"/>
              <w:ind w:firstLine="480" w:firstLineChars="200"/>
              <w:jc w:val="center"/>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LA(r)=LWA–20lg(r/r0)</w:t>
            </w:r>
          </w:p>
          <w:p w14:paraId="19E20275">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式中：LA(r)——距噪声源r处的声级（dB(A)）；</w:t>
            </w:r>
          </w:p>
          <w:p w14:paraId="5B67032B">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LWA——点声源的A声级（dB(A)）；</w:t>
            </w:r>
          </w:p>
          <w:p w14:paraId="7422E32B">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r——预测点与声源之间的距离（m）；</w:t>
            </w:r>
          </w:p>
          <w:p w14:paraId="00D93E7F">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r0 ——参考处与声源之间的距离（m）；</w:t>
            </w:r>
          </w:p>
          <w:p w14:paraId="135B1409">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②</w:t>
            </w:r>
            <w:r>
              <w:rPr>
                <w:rFonts w:ascii="Times New Roman" w:hAnsi="Times New Roman" w:eastAsia="宋体" w:cs="Times New Roman"/>
                <w:bCs/>
                <w:color w:val="auto"/>
                <w:sz w:val="24"/>
                <w:szCs w:val="24"/>
              </w:rPr>
              <w:t>多声源叠加模式中：</w:t>
            </w:r>
          </w:p>
          <w:p w14:paraId="6171B294">
            <w:pPr>
              <w:spacing w:line="360" w:lineRule="auto"/>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drawing>
                <wp:inline distT="0" distB="0" distL="0" distR="0">
                  <wp:extent cx="1457325" cy="619125"/>
                  <wp:effectExtent l="0" t="0" r="9525" b="952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26" cstate="print"/>
                          <a:srcRect/>
                          <a:stretch>
                            <a:fillRect/>
                          </a:stretch>
                        </pic:blipFill>
                        <pic:spPr>
                          <a:xfrm>
                            <a:off x="0" y="0"/>
                            <a:ext cx="1457325" cy="619125"/>
                          </a:xfrm>
                          <a:prstGeom prst="rect">
                            <a:avLst/>
                          </a:prstGeom>
                          <a:noFill/>
                          <a:ln w="9525">
                            <a:noFill/>
                            <a:miter lim="800000"/>
                            <a:headEnd/>
                            <a:tailEnd/>
                          </a:ln>
                        </pic:spPr>
                      </pic:pic>
                    </a:graphicData>
                  </a:graphic>
                </wp:inline>
              </w:drawing>
            </w:r>
          </w:p>
          <w:p w14:paraId="1FE5DC71">
            <w:pPr>
              <w:autoSpaceDE w:val="0"/>
              <w:autoSpaceDN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L0——叠加后总声压级，dB(A)；</w:t>
            </w:r>
          </w:p>
          <w:p w14:paraId="26862D04">
            <w:pPr>
              <w:autoSpaceDE w:val="0"/>
              <w:autoSpaceDN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n——声源级数；</w:t>
            </w:r>
          </w:p>
          <w:p w14:paraId="376B2B67">
            <w:pPr>
              <w:autoSpaceDE w:val="0"/>
              <w:autoSpaceDN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Li——各声源对某点的声压值，dB(A)。</w:t>
            </w:r>
          </w:p>
          <w:p w14:paraId="43B73131">
            <w:pPr>
              <w:autoSpaceDE w:val="0"/>
              <w:autoSpaceDN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③</w:t>
            </w:r>
            <w:r>
              <w:rPr>
                <w:rFonts w:ascii="Times New Roman" w:hAnsi="Times New Roman" w:eastAsia="宋体" w:cs="Times New Roman"/>
                <w:color w:val="auto"/>
                <w:kern w:val="0"/>
                <w:sz w:val="24"/>
                <w:szCs w:val="24"/>
              </w:rPr>
              <w:t>预测结果分析</w:t>
            </w:r>
          </w:p>
          <w:p w14:paraId="353FAB04">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a</w:t>
            </w:r>
            <w:r>
              <w:rPr>
                <w:rFonts w:ascii="Times New Roman" w:hAnsi="宋体" w:eastAsia="宋体" w:cs="Times New Roman"/>
                <w:color w:val="auto"/>
                <w:kern w:val="0"/>
                <w:sz w:val="24"/>
                <w:szCs w:val="24"/>
              </w:rPr>
              <w:t>、</w:t>
            </w:r>
            <w:r>
              <w:rPr>
                <w:rFonts w:ascii="Times New Roman" w:hAnsi="Times New Roman" w:eastAsia="宋体" w:cs="Times New Roman"/>
                <w:color w:val="auto"/>
                <w:kern w:val="0"/>
                <w:sz w:val="24"/>
                <w:szCs w:val="24"/>
              </w:rPr>
              <w:t>单台施工机械在满负荷工作时不同距离处的噪声级预测结果见下表。</w:t>
            </w:r>
          </w:p>
          <w:p w14:paraId="07906E24">
            <w:pPr>
              <w:pStyle w:val="95"/>
              <w:numPr>
                <w:ilvl w:val="1"/>
                <w:numId w:val="2"/>
              </w:numPr>
              <w:tabs>
                <w:tab w:val="left" w:pos="2100"/>
                <w:tab w:val="clear" w:pos="1440"/>
              </w:tabs>
              <w:spacing w:line="240" w:lineRule="auto"/>
              <w:ind w:left="3300" w:leftChars="0" w:hanging="1620" w:firstLineChars="0"/>
              <w:jc w:val="both"/>
              <w:rPr>
                <w:rFonts w:hint="eastAsia" w:ascii="宋体" w:hAnsi="宋体" w:eastAsia="宋体" w:cs="宋体"/>
                <w:color w:val="auto"/>
                <w:sz w:val="24"/>
                <w:szCs w:val="24"/>
              </w:rPr>
            </w:pPr>
            <w:r>
              <w:rPr>
                <w:rFonts w:hint="eastAsia" w:ascii="宋体" w:hAnsi="宋体" w:eastAsia="宋体" w:cs="宋体"/>
                <w:color w:val="auto"/>
                <w:sz w:val="24"/>
                <w:szCs w:val="24"/>
              </w:rPr>
              <w:t>工程各类噪声源不同距离处噪声值</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单位：dB（A）</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68"/>
              <w:gridCol w:w="867"/>
              <w:gridCol w:w="813"/>
              <w:gridCol w:w="815"/>
              <w:gridCol w:w="815"/>
              <w:gridCol w:w="815"/>
              <w:gridCol w:w="815"/>
              <w:gridCol w:w="836"/>
            </w:tblGrid>
            <w:tr w14:paraId="2E86C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4" w:type="pct"/>
                  <w:vMerge w:val="restart"/>
                  <w:tcBorders>
                    <w:tl2br w:val="single" w:color="auto" w:sz="4" w:space="0"/>
                  </w:tcBorders>
                  <w:vAlign w:val="center"/>
                </w:tcPr>
                <w:p w14:paraId="50C1E3EB">
                  <w:pPr>
                    <w:autoSpaceDE w:val="0"/>
                    <w:autoSpaceDN w:val="0"/>
                    <w:ind w:firstLine="420" w:firstLineChars="20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      声级</w:t>
                  </w:r>
                </w:p>
                <w:p w14:paraId="3A1A8EE1">
                  <w:pPr>
                    <w:autoSpaceDE w:val="0"/>
                    <w:autoSpaceDN w:val="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噪声源</w:t>
                  </w:r>
                </w:p>
              </w:tc>
              <w:tc>
                <w:tcPr>
                  <w:tcW w:w="3545" w:type="pct"/>
                  <w:gridSpan w:val="7"/>
                  <w:vAlign w:val="center"/>
                </w:tcPr>
                <w:p w14:paraId="14076AB0">
                  <w:pPr>
                    <w:autoSpaceDE w:val="0"/>
                    <w:autoSpaceDN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测点距声源距离（m）</w:t>
                  </w:r>
                </w:p>
              </w:tc>
            </w:tr>
            <w:tr w14:paraId="4D924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4" w:type="pct"/>
                  <w:vMerge w:val="continue"/>
                  <w:vAlign w:val="center"/>
                </w:tcPr>
                <w:p w14:paraId="1AFB0C3B">
                  <w:pPr>
                    <w:autoSpaceDE w:val="0"/>
                    <w:autoSpaceDN w:val="0"/>
                    <w:jc w:val="center"/>
                    <w:rPr>
                      <w:rFonts w:ascii="Times New Roman" w:hAnsi="Times New Roman" w:eastAsia="宋体" w:cs="Times New Roman"/>
                      <w:color w:val="auto"/>
                      <w:kern w:val="0"/>
                      <w:szCs w:val="21"/>
                    </w:rPr>
                  </w:pPr>
                </w:p>
              </w:tc>
              <w:tc>
                <w:tcPr>
                  <w:tcW w:w="533" w:type="pct"/>
                  <w:vAlign w:val="center"/>
                </w:tcPr>
                <w:p w14:paraId="1E14B048">
                  <w:pPr>
                    <w:autoSpaceDE w:val="0"/>
                    <w:autoSpaceDN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p>
              </w:tc>
              <w:tc>
                <w:tcPr>
                  <w:tcW w:w="499" w:type="pct"/>
                  <w:vAlign w:val="center"/>
                </w:tcPr>
                <w:p w14:paraId="6645090F">
                  <w:pPr>
                    <w:autoSpaceDE w:val="0"/>
                    <w:autoSpaceDN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w:t>
                  </w:r>
                </w:p>
              </w:tc>
              <w:tc>
                <w:tcPr>
                  <w:tcW w:w="500" w:type="pct"/>
                  <w:vAlign w:val="center"/>
                </w:tcPr>
                <w:p w14:paraId="6CED45F0">
                  <w:pPr>
                    <w:autoSpaceDE w:val="0"/>
                    <w:autoSpaceDN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40</w:t>
                  </w:r>
                </w:p>
              </w:tc>
              <w:tc>
                <w:tcPr>
                  <w:tcW w:w="500" w:type="pct"/>
                  <w:vAlign w:val="center"/>
                </w:tcPr>
                <w:p w14:paraId="131FA9A2">
                  <w:pPr>
                    <w:autoSpaceDE w:val="0"/>
                    <w:autoSpaceDN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60</w:t>
                  </w:r>
                </w:p>
              </w:tc>
              <w:tc>
                <w:tcPr>
                  <w:tcW w:w="500" w:type="pct"/>
                  <w:vAlign w:val="center"/>
                </w:tcPr>
                <w:p w14:paraId="32285D1C">
                  <w:pPr>
                    <w:autoSpaceDE w:val="0"/>
                    <w:autoSpaceDN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80</w:t>
                  </w:r>
                </w:p>
              </w:tc>
              <w:tc>
                <w:tcPr>
                  <w:tcW w:w="500" w:type="pct"/>
                  <w:vAlign w:val="center"/>
                </w:tcPr>
                <w:p w14:paraId="70D13321">
                  <w:pPr>
                    <w:autoSpaceDE w:val="0"/>
                    <w:autoSpaceDN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100</w:t>
                  </w:r>
                </w:p>
              </w:tc>
              <w:tc>
                <w:tcPr>
                  <w:tcW w:w="511" w:type="pct"/>
                  <w:vAlign w:val="center"/>
                </w:tcPr>
                <w:p w14:paraId="0D36C3A5">
                  <w:pPr>
                    <w:autoSpaceDE w:val="0"/>
                    <w:autoSpaceDN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200</w:t>
                  </w:r>
                </w:p>
              </w:tc>
            </w:tr>
            <w:tr w14:paraId="38044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4" w:type="pct"/>
                  <w:vAlign w:val="center"/>
                </w:tcPr>
                <w:p w14:paraId="6AE37AEA">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钻机</w:t>
                  </w:r>
                </w:p>
              </w:tc>
              <w:tc>
                <w:tcPr>
                  <w:tcW w:w="533" w:type="pct"/>
                  <w:vAlign w:val="center"/>
                </w:tcPr>
                <w:p w14:paraId="27AD0834">
                  <w:pPr>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85</w:t>
                  </w:r>
                </w:p>
              </w:tc>
              <w:tc>
                <w:tcPr>
                  <w:tcW w:w="499" w:type="pct"/>
                  <w:vAlign w:val="center"/>
                </w:tcPr>
                <w:p w14:paraId="7F4D1087">
                  <w:pPr>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58.98</w:t>
                  </w:r>
                </w:p>
              </w:tc>
              <w:tc>
                <w:tcPr>
                  <w:tcW w:w="500" w:type="pct"/>
                  <w:vAlign w:val="center"/>
                </w:tcPr>
                <w:p w14:paraId="5C356F63">
                  <w:pPr>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52.96</w:t>
                  </w:r>
                </w:p>
              </w:tc>
              <w:tc>
                <w:tcPr>
                  <w:tcW w:w="500" w:type="pct"/>
                  <w:vAlign w:val="center"/>
                </w:tcPr>
                <w:p w14:paraId="7DCEF17D">
                  <w:pPr>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49.44</w:t>
                  </w:r>
                </w:p>
              </w:tc>
              <w:tc>
                <w:tcPr>
                  <w:tcW w:w="500" w:type="pct"/>
                  <w:vAlign w:val="center"/>
                </w:tcPr>
                <w:p w14:paraId="64DDE437">
                  <w:pPr>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46.94</w:t>
                  </w:r>
                </w:p>
              </w:tc>
              <w:tc>
                <w:tcPr>
                  <w:tcW w:w="500" w:type="pct"/>
                  <w:vAlign w:val="center"/>
                </w:tcPr>
                <w:p w14:paraId="755B2EE2">
                  <w:pPr>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45</w:t>
                  </w:r>
                </w:p>
              </w:tc>
              <w:tc>
                <w:tcPr>
                  <w:tcW w:w="511" w:type="pct"/>
                  <w:vAlign w:val="center"/>
                </w:tcPr>
                <w:p w14:paraId="380D755C">
                  <w:pPr>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38.98</w:t>
                  </w:r>
                </w:p>
              </w:tc>
            </w:tr>
            <w:tr w14:paraId="0E71B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4" w:type="pct"/>
                  <w:vAlign w:val="center"/>
                </w:tcPr>
                <w:p w14:paraId="47EF9211">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泥浆泵</w:t>
                  </w:r>
                </w:p>
              </w:tc>
              <w:tc>
                <w:tcPr>
                  <w:tcW w:w="533" w:type="pct"/>
                  <w:vAlign w:val="center"/>
                </w:tcPr>
                <w:p w14:paraId="11F7C7BC">
                  <w:pPr>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75</w:t>
                  </w:r>
                </w:p>
              </w:tc>
              <w:tc>
                <w:tcPr>
                  <w:tcW w:w="499" w:type="pct"/>
                  <w:vAlign w:val="center"/>
                </w:tcPr>
                <w:p w14:paraId="086B9137">
                  <w:pPr>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48.98</w:t>
                  </w:r>
                </w:p>
              </w:tc>
              <w:tc>
                <w:tcPr>
                  <w:tcW w:w="500" w:type="pct"/>
                  <w:vAlign w:val="center"/>
                </w:tcPr>
                <w:p w14:paraId="56C173FB">
                  <w:pPr>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42.96</w:t>
                  </w:r>
                </w:p>
              </w:tc>
              <w:tc>
                <w:tcPr>
                  <w:tcW w:w="500" w:type="pct"/>
                  <w:vAlign w:val="center"/>
                </w:tcPr>
                <w:p w14:paraId="6BD11DB5">
                  <w:pPr>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39.44</w:t>
                  </w:r>
                </w:p>
              </w:tc>
              <w:tc>
                <w:tcPr>
                  <w:tcW w:w="500" w:type="pct"/>
                  <w:vAlign w:val="center"/>
                </w:tcPr>
                <w:p w14:paraId="1512C386">
                  <w:pPr>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36.94</w:t>
                  </w:r>
                </w:p>
              </w:tc>
              <w:tc>
                <w:tcPr>
                  <w:tcW w:w="500" w:type="pct"/>
                  <w:vAlign w:val="center"/>
                </w:tcPr>
                <w:p w14:paraId="4143C760">
                  <w:pPr>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35</w:t>
                  </w:r>
                </w:p>
              </w:tc>
              <w:tc>
                <w:tcPr>
                  <w:tcW w:w="511" w:type="pct"/>
                  <w:vAlign w:val="center"/>
                </w:tcPr>
                <w:p w14:paraId="0A22D35E">
                  <w:pPr>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28.98</w:t>
                  </w:r>
                </w:p>
              </w:tc>
            </w:tr>
            <w:tr w14:paraId="0318C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4" w:type="pct"/>
                  <w:vAlign w:val="center"/>
                </w:tcPr>
                <w:p w14:paraId="040CF8A2">
                  <w:pPr>
                    <w:widowControl/>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固控系统</w:t>
                  </w:r>
                </w:p>
              </w:tc>
              <w:tc>
                <w:tcPr>
                  <w:tcW w:w="533" w:type="pct"/>
                  <w:vAlign w:val="center"/>
                </w:tcPr>
                <w:p w14:paraId="459793EB">
                  <w:pPr>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75</w:t>
                  </w:r>
                </w:p>
              </w:tc>
              <w:tc>
                <w:tcPr>
                  <w:tcW w:w="499" w:type="pct"/>
                  <w:vAlign w:val="center"/>
                </w:tcPr>
                <w:p w14:paraId="47330B65">
                  <w:pPr>
                    <w:autoSpaceDE w:val="0"/>
                    <w:autoSpaceDN w:val="0"/>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48.98</w:t>
                  </w:r>
                </w:p>
              </w:tc>
              <w:tc>
                <w:tcPr>
                  <w:tcW w:w="500" w:type="pct"/>
                  <w:vAlign w:val="center"/>
                </w:tcPr>
                <w:p w14:paraId="5792CCD0">
                  <w:pPr>
                    <w:autoSpaceDE w:val="0"/>
                    <w:autoSpaceDN w:val="0"/>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42.96</w:t>
                  </w:r>
                </w:p>
              </w:tc>
              <w:tc>
                <w:tcPr>
                  <w:tcW w:w="500" w:type="pct"/>
                  <w:vAlign w:val="center"/>
                </w:tcPr>
                <w:p w14:paraId="184C2AA2">
                  <w:pPr>
                    <w:autoSpaceDE w:val="0"/>
                    <w:autoSpaceDN w:val="0"/>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39.44</w:t>
                  </w:r>
                </w:p>
              </w:tc>
              <w:tc>
                <w:tcPr>
                  <w:tcW w:w="500" w:type="pct"/>
                  <w:vAlign w:val="center"/>
                </w:tcPr>
                <w:p w14:paraId="3D89F20E">
                  <w:pPr>
                    <w:autoSpaceDE w:val="0"/>
                    <w:autoSpaceDN w:val="0"/>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36.94</w:t>
                  </w:r>
                </w:p>
              </w:tc>
              <w:tc>
                <w:tcPr>
                  <w:tcW w:w="500" w:type="pct"/>
                  <w:vAlign w:val="center"/>
                </w:tcPr>
                <w:p w14:paraId="150AF71C">
                  <w:pPr>
                    <w:autoSpaceDE w:val="0"/>
                    <w:autoSpaceDN w:val="0"/>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35</w:t>
                  </w:r>
                </w:p>
              </w:tc>
              <w:tc>
                <w:tcPr>
                  <w:tcW w:w="511" w:type="pct"/>
                  <w:vAlign w:val="center"/>
                </w:tcPr>
                <w:p w14:paraId="6670B006">
                  <w:pPr>
                    <w:autoSpaceDE w:val="0"/>
                    <w:autoSpaceDN w:val="0"/>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28.98</w:t>
                  </w:r>
                </w:p>
              </w:tc>
            </w:tr>
            <w:tr w14:paraId="09275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4" w:type="pct"/>
                  <w:vAlign w:val="center"/>
                </w:tcPr>
                <w:p w14:paraId="48BD57EA">
                  <w:pPr>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宋体" w:eastAsia="宋体" w:cs="Times New Roman"/>
                      <w:color w:val="auto"/>
                      <w:sz w:val="24"/>
                      <w:szCs w:val="24"/>
                      <w:lang w:val="en-US" w:eastAsia="zh-CN"/>
                    </w:rPr>
                    <w:t>压裂车组</w:t>
                  </w:r>
                </w:p>
              </w:tc>
              <w:tc>
                <w:tcPr>
                  <w:tcW w:w="533" w:type="pct"/>
                  <w:vAlign w:val="center"/>
                </w:tcPr>
                <w:p w14:paraId="629D0312">
                  <w:pPr>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85</w:t>
                  </w:r>
                </w:p>
              </w:tc>
              <w:tc>
                <w:tcPr>
                  <w:tcW w:w="499" w:type="pct"/>
                  <w:vAlign w:val="center"/>
                </w:tcPr>
                <w:p w14:paraId="6B56D55B">
                  <w:pPr>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58.98</w:t>
                  </w:r>
                </w:p>
              </w:tc>
              <w:tc>
                <w:tcPr>
                  <w:tcW w:w="500" w:type="pct"/>
                  <w:vAlign w:val="center"/>
                </w:tcPr>
                <w:p w14:paraId="602E5A02">
                  <w:pPr>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52.96</w:t>
                  </w:r>
                </w:p>
              </w:tc>
              <w:tc>
                <w:tcPr>
                  <w:tcW w:w="500" w:type="pct"/>
                  <w:vAlign w:val="center"/>
                </w:tcPr>
                <w:p w14:paraId="1E3E2934">
                  <w:pPr>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49.44</w:t>
                  </w:r>
                </w:p>
              </w:tc>
              <w:tc>
                <w:tcPr>
                  <w:tcW w:w="500" w:type="pct"/>
                  <w:vAlign w:val="center"/>
                </w:tcPr>
                <w:p w14:paraId="28B5D80A">
                  <w:pPr>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46.94</w:t>
                  </w:r>
                </w:p>
              </w:tc>
              <w:tc>
                <w:tcPr>
                  <w:tcW w:w="500" w:type="pct"/>
                  <w:vAlign w:val="center"/>
                </w:tcPr>
                <w:p w14:paraId="17D5AE6A">
                  <w:pPr>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45</w:t>
                  </w:r>
                </w:p>
              </w:tc>
              <w:tc>
                <w:tcPr>
                  <w:tcW w:w="511" w:type="pct"/>
                  <w:vAlign w:val="center"/>
                </w:tcPr>
                <w:p w14:paraId="6194AD27">
                  <w:pPr>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38.98</w:t>
                  </w:r>
                </w:p>
              </w:tc>
            </w:tr>
          </w:tbl>
          <w:p w14:paraId="0C9CF7FC">
            <w:pPr>
              <w:pStyle w:val="95"/>
              <w:numPr>
                <w:ilvl w:val="1"/>
                <w:numId w:val="2"/>
              </w:numPr>
              <w:tabs>
                <w:tab w:val="left" w:pos="2100"/>
                <w:tab w:val="clear" w:pos="1440"/>
              </w:tabs>
              <w:spacing w:line="240" w:lineRule="auto"/>
              <w:ind w:left="3300" w:leftChars="0" w:hanging="162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不同施工段段</w:t>
            </w:r>
            <w:r>
              <w:rPr>
                <w:rFonts w:hint="eastAsia" w:ascii="宋体" w:hAnsi="宋体" w:eastAsia="宋体" w:cs="宋体"/>
                <w:b w:val="0"/>
                <w:bCs w:val="0"/>
                <w:color w:val="auto"/>
                <w:sz w:val="24"/>
                <w:szCs w:val="24"/>
              </w:rPr>
              <w:t>噪声</w:t>
            </w:r>
            <w:r>
              <w:rPr>
                <w:rFonts w:hint="eastAsia" w:ascii="宋体" w:hAnsi="宋体" w:eastAsia="宋体" w:cs="宋体"/>
                <w:b w:val="0"/>
                <w:bCs w:val="0"/>
                <w:color w:val="auto"/>
                <w:sz w:val="24"/>
                <w:szCs w:val="24"/>
                <w:lang w:eastAsia="zh-CN"/>
              </w:rPr>
              <w:t>值</w:t>
            </w:r>
            <w:r>
              <w:rPr>
                <w:rFonts w:hint="eastAsia" w:ascii="宋体" w:hAnsi="宋体" w:eastAsia="宋体" w:cs="宋体"/>
                <w:b w:val="0"/>
                <w:bCs w:val="0"/>
                <w:color w:val="auto"/>
                <w:sz w:val="24"/>
                <w:szCs w:val="24"/>
              </w:rPr>
              <w:t>预测</w:t>
            </w:r>
            <w:r>
              <w:rPr>
                <w:rFonts w:hint="eastAsia" w:ascii="宋体" w:hAnsi="宋体" w:eastAsia="宋体" w:cs="宋体"/>
                <w:b w:val="0"/>
                <w:bCs w:val="0"/>
                <w:color w:val="auto"/>
                <w:sz w:val="24"/>
                <w:szCs w:val="24"/>
                <w:lang w:eastAsia="zh-CN"/>
              </w:rPr>
              <w:t>结果</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单位：dB（A）</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836"/>
              <w:gridCol w:w="836"/>
              <w:gridCol w:w="837"/>
              <w:gridCol w:w="837"/>
              <w:gridCol w:w="837"/>
              <w:gridCol w:w="837"/>
              <w:gridCol w:w="859"/>
            </w:tblGrid>
            <w:tr w14:paraId="545BF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90" w:type="pct"/>
                  <w:vMerge w:val="restart"/>
                  <w:vAlign w:val="center"/>
                </w:tcPr>
                <w:p w14:paraId="3C4F9EB5">
                  <w:pPr>
                    <w:jc w:val="center"/>
                    <w:rPr>
                      <w:rFonts w:ascii="Times New Roman" w:hAnsi="Times New Roman" w:eastAsia="宋体" w:cs="Times New Roman"/>
                      <w:b w:val="0"/>
                      <w:bCs w:val="0"/>
                      <w:color w:val="auto"/>
                      <w:szCs w:val="21"/>
                    </w:rPr>
                  </w:pPr>
                  <w:r>
                    <w:rPr>
                      <w:rFonts w:ascii="Times New Roman" w:hAnsi="宋体" w:eastAsia="宋体" w:cs="Times New Roman"/>
                      <w:b w:val="0"/>
                      <w:bCs w:val="0"/>
                      <w:color w:val="auto"/>
                      <w:szCs w:val="21"/>
                    </w:rPr>
                    <w:t>噪声源组合</w:t>
                  </w:r>
                </w:p>
              </w:tc>
              <w:tc>
                <w:tcPr>
                  <w:tcW w:w="3609" w:type="pct"/>
                  <w:gridSpan w:val="7"/>
                  <w:vAlign w:val="center"/>
                </w:tcPr>
                <w:p w14:paraId="34E52389">
                  <w:pPr>
                    <w:autoSpaceDE w:val="0"/>
                    <w:autoSpaceDN w:val="0"/>
                    <w:jc w:val="center"/>
                    <w:rPr>
                      <w:rFonts w:ascii="Times New Roman" w:hAnsi="Times New Roman" w:eastAsia="宋体" w:cs="Times New Roman"/>
                      <w:b w:val="0"/>
                      <w:bCs w:val="0"/>
                      <w:color w:val="auto"/>
                      <w:kern w:val="0"/>
                      <w:szCs w:val="21"/>
                    </w:rPr>
                  </w:pPr>
                  <w:r>
                    <w:rPr>
                      <w:rFonts w:ascii="Times New Roman" w:hAnsi="宋体" w:eastAsia="宋体" w:cs="Times New Roman"/>
                      <w:b w:val="0"/>
                      <w:bCs w:val="0"/>
                      <w:color w:val="auto"/>
                      <w:kern w:val="0"/>
                      <w:szCs w:val="21"/>
                    </w:rPr>
                    <w:t>测点距声源距离（</w:t>
                  </w:r>
                  <w:r>
                    <w:rPr>
                      <w:rFonts w:ascii="Times New Roman" w:hAnsi="Times New Roman" w:eastAsia="宋体" w:cs="Times New Roman"/>
                      <w:b w:val="0"/>
                      <w:bCs w:val="0"/>
                      <w:color w:val="auto"/>
                      <w:kern w:val="0"/>
                      <w:szCs w:val="21"/>
                    </w:rPr>
                    <w:t>m</w:t>
                  </w:r>
                  <w:r>
                    <w:rPr>
                      <w:rFonts w:ascii="Times New Roman" w:hAnsi="宋体" w:eastAsia="宋体" w:cs="Times New Roman"/>
                      <w:b w:val="0"/>
                      <w:bCs w:val="0"/>
                      <w:color w:val="auto"/>
                      <w:kern w:val="0"/>
                      <w:szCs w:val="21"/>
                    </w:rPr>
                    <w:t>）</w:t>
                  </w:r>
                </w:p>
              </w:tc>
            </w:tr>
            <w:tr w14:paraId="488B8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90" w:type="pct"/>
                  <w:vMerge w:val="continue"/>
                  <w:vAlign w:val="center"/>
                </w:tcPr>
                <w:p w14:paraId="0882F1CB">
                  <w:pPr>
                    <w:autoSpaceDE w:val="0"/>
                    <w:autoSpaceDN w:val="0"/>
                    <w:jc w:val="center"/>
                    <w:rPr>
                      <w:rFonts w:ascii="Times New Roman" w:hAnsi="Times New Roman" w:eastAsia="宋体" w:cs="Times New Roman"/>
                      <w:b w:val="0"/>
                      <w:bCs w:val="0"/>
                      <w:color w:val="auto"/>
                      <w:kern w:val="0"/>
                      <w:szCs w:val="21"/>
                    </w:rPr>
                  </w:pPr>
                </w:p>
              </w:tc>
              <w:tc>
                <w:tcPr>
                  <w:tcW w:w="513" w:type="pct"/>
                  <w:vAlign w:val="center"/>
                </w:tcPr>
                <w:p w14:paraId="6E7FEF3E">
                  <w:pPr>
                    <w:autoSpaceDE w:val="0"/>
                    <w:autoSpaceDN w:val="0"/>
                    <w:jc w:val="center"/>
                    <w:rPr>
                      <w:rFonts w:ascii="Times New Roman" w:hAnsi="Times New Roman" w:eastAsia="宋体" w:cs="Times New Roman"/>
                      <w:b w:val="0"/>
                      <w:bCs w:val="0"/>
                      <w:color w:val="auto"/>
                      <w:kern w:val="0"/>
                      <w:szCs w:val="21"/>
                    </w:rPr>
                  </w:pPr>
                  <w:r>
                    <w:rPr>
                      <w:rFonts w:hint="eastAsia" w:ascii="Times New Roman" w:hAnsi="Times New Roman" w:eastAsia="宋体" w:cs="Times New Roman"/>
                      <w:b w:val="0"/>
                      <w:bCs w:val="0"/>
                      <w:color w:val="auto"/>
                      <w:kern w:val="0"/>
                      <w:szCs w:val="21"/>
                    </w:rPr>
                    <w:t>1</w:t>
                  </w:r>
                </w:p>
              </w:tc>
              <w:tc>
                <w:tcPr>
                  <w:tcW w:w="513" w:type="pct"/>
                  <w:vAlign w:val="center"/>
                </w:tcPr>
                <w:p w14:paraId="3FBB06DD">
                  <w:pPr>
                    <w:autoSpaceDE w:val="0"/>
                    <w:autoSpaceDN w:val="0"/>
                    <w:jc w:val="center"/>
                    <w:rPr>
                      <w:rFonts w:ascii="Times New Roman" w:hAnsi="Times New Roman" w:eastAsia="宋体" w:cs="Times New Roman"/>
                      <w:b w:val="0"/>
                      <w:bCs w:val="0"/>
                      <w:color w:val="auto"/>
                      <w:kern w:val="0"/>
                      <w:szCs w:val="21"/>
                    </w:rPr>
                  </w:pPr>
                  <w:r>
                    <w:rPr>
                      <w:rFonts w:hint="eastAsia" w:ascii="Times New Roman" w:hAnsi="Times New Roman" w:eastAsia="宋体" w:cs="Times New Roman"/>
                      <w:b w:val="0"/>
                      <w:bCs w:val="0"/>
                      <w:color w:val="auto"/>
                      <w:kern w:val="0"/>
                      <w:szCs w:val="21"/>
                    </w:rPr>
                    <w:t>20</w:t>
                  </w:r>
                </w:p>
              </w:tc>
              <w:tc>
                <w:tcPr>
                  <w:tcW w:w="514" w:type="pct"/>
                  <w:vAlign w:val="center"/>
                </w:tcPr>
                <w:p w14:paraId="5ABF157D">
                  <w:pPr>
                    <w:autoSpaceDE w:val="0"/>
                    <w:autoSpaceDN w:val="0"/>
                    <w:jc w:val="center"/>
                    <w:rPr>
                      <w:rFonts w:ascii="Times New Roman" w:hAnsi="Times New Roman" w:eastAsia="宋体" w:cs="Times New Roman"/>
                      <w:b w:val="0"/>
                      <w:bCs w:val="0"/>
                      <w:color w:val="auto"/>
                      <w:kern w:val="0"/>
                      <w:szCs w:val="21"/>
                    </w:rPr>
                  </w:pPr>
                  <w:r>
                    <w:rPr>
                      <w:rFonts w:hint="eastAsia" w:ascii="Times New Roman" w:hAnsi="Times New Roman" w:eastAsia="宋体" w:cs="Times New Roman"/>
                      <w:b w:val="0"/>
                      <w:bCs w:val="0"/>
                      <w:color w:val="auto"/>
                      <w:kern w:val="0"/>
                      <w:szCs w:val="21"/>
                    </w:rPr>
                    <w:t>40</w:t>
                  </w:r>
                </w:p>
              </w:tc>
              <w:tc>
                <w:tcPr>
                  <w:tcW w:w="514" w:type="pct"/>
                  <w:vAlign w:val="center"/>
                </w:tcPr>
                <w:p w14:paraId="5FE5DADA">
                  <w:pPr>
                    <w:autoSpaceDE w:val="0"/>
                    <w:autoSpaceDN w:val="0"/>
                    <w:jc w:val="center"/>
                    <w:rPr>
                      <w:rFonts w:ascii="Times New Roman" w:hAnsi="Times New Roman" w:eastAsia="宋体" w:cs="Times New Roman"/>
                      <w:b w:val="0"/>
                      <w:bCs w:val="0"/>
                      <w:color w:val="auto"/>
                      <w:kern w:val="0"/>
                      <w:szCs w:val="21"/>
                    </w:rPr>
                  </w:pPr>
                  <w:r>
                    <w:rPr>
                      <w:rFonts w:hint="eastAsia" w:ascii="Times New Roman" w:hAnsi="Times New Roman" w:eastAsia="宋体" w:cs="Times New Roman"/>
                      <w:b w:val="0"/>
                      <w:bCs w:val="0"/>
                      <w:color w:val="auto"/>
                      <w:kern w:val="0"/>
                      <w:szCs w:val="21"/>
                    </w:rPr>
                    <w:t>60</w:t>
                  </w:r>
                </w:p>
              </w:tc>
              <w:tc>
                <w:tcPr>
                  <w:tcW w:w="514" w:type="pct"/>
                  <w:vAlign w:val="center"/>
                </w:tcPr>
                <w:p w14:paraId="048335D0">
                  <w:pPr>
                    <w:autoSpaceDE w:val="0"/>
                    <w:autoSpaceDN w:val="0"/>
                    <w:jc w:val="center"/>
                    <w:rPr>
                      <w:rFonts w:ascii="Times New Roman" w:hAnsi="Times New Roman" w:eastAsia="宋体" w:cs="Times New Roman"/>
                      <w:b w:val="0"/>
                      <w:bCs w:val="0"/>
                      <w:color w:val="auto"/>
                      <w:kern w:val="0"/>
                      <w:szCs w:val="21"/>
                    </w:rPr>
                  </w:pPr>
                  <w:r>
                    <w:rPr>
                      <w:rFonts w:hint="eastAsia" w:ascii="Times New Roman" w:hAnsi="Times New Roman" w:eastAsia="宋体" w:cs="Times New Roman"/>
                      <w:b w:val="0"/>
                      <w:bCs w:val="0"/>
                      <w:color w:val="auto"/>
                      <w:kern w:val="0"/>
                      <w:szCs w:val="21"/>
                    </w:rPr>
                    <w:t>80</w:t>
                  </w:r>
                </w:p>
              </w:tc>
              <w:tc>
                <w:tcPr>
                  <w:tcW w:w="514" w:type="pct"/>
                  <w:vAlign w:val="center"/>
                </w:tcPr>
                <w:p w14:paraId="4EC633AE">
                  <w:pPr>
                    <w:autoSpaceDE w:val="0"/>
                    <w:autoSpaceDN w:val="0"/>
                    <w:jc w:val="center"/>
                    <w:rPr>
                      <w:rFonts w:ascii="Times New Roman" w:hAnsi="Times New Roman" w:eastAsia="宋体" w:cs="Times New Roman"/>
                      <w:b w:val="0"/>
                      <w:bCs w:val="0"/>
                      <w:color w:val="auto"/>
                      <w:kern w:val="0"/>
                      <w:szCs w:val="21"/>
                    </w:rPr>
                  </w:pPr>
                  <w:r>
                    <w:rPr>
                      <w:rFonts w:hint="eastAsia" w:ascii="Times New Roman" w:hAnsi="Times New Roman" w:eastAsia="宋体" w:cs="Times New Roman"/>
                      <w:b w:val="0"/>
                      <w:bCs w:val="0"/>
                      <w:color w:val="auto"/>
                      <w:kern w:val="0"/>
                      <w:szCs w:val="21"/>
                    </w:rPr>
                    <w:t>100</w:t>
                  </w:r>
                </w:p>
              </w:tc>
              <w:tc>
                <w:tcPr>
                  <w:tcW w:w="524" w:type="pct"/>
                  <w:vAlign w:val="center"/>
                </w:tcPr>
                <w:p w14:paraId="30EFCC8D">
                  <w:pPr>
                    <w:autoSpaceDE w:val="0"/>
                    <w:autoSpaceDN w:val="0"/>
                    <w:jc w:val="center"/>
                    <w:rPr>
                      <w:rFonts w:ascii="Times New Roman" w:hAnsi="Times New Roman" w:eastAsia="宋体" w:cs="Times New Roman"/>
                      <w:b w:val="0"/>
                      <w:bCs w:val="0"/>
                      <w:color w:val="auto"/>
                      <w:kern w:val="0"/>
                      <w:szCs w:val="21"/>
                    </w:rPr>
                  </w:pPr>
                  <w:r>
                    <w:rPr>
                      <w:rFonts w:hint="eastAsia" w:ascii="Times New Roman" w:hAnsi="Times New Roman" w:eastAsia="宋体" w:cs="Times New Roman"/>
                      <w:b w:val="0"/>
                      <w:bCs w:val="0"/>
                      <w:color w:val="auto"/>
                      <w:kern w:val="0"/>
                      <w:szCs w:val="21"/>
                    </w:rPr>
                    <w:t>200</w:t>
                  </w:r>
                </w:p>
              </w:tc>
            </w:tr>
            <w:tr w14:paraId="5B5FA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90" w:type="pct"/>
                  <w:vAlign w:val="center"/>
                </w:tcPr>
                <w:p w14:paraId="1FF29576">
                  <w:pPr>
                    <w:autoSpaceDE w:val="0"/>
                    <w:autoSpaceDN w:val="0"/>
                    <w:jc w:val="center"/>
                    <w:rPr>
                      <w:rFonts w:ascii="Times New Roman" w:hAnsi="Times New Roman" w:eastAsia="宋体" w:cs="Times New Roman"/>
                      <w:b w:val="0"/>
                      <w:bCs w:val="0"/>
                      <w:color w:val="auto"/>
                      <w:kern w:val="0"/>
                      <w:szCs w:val="21"/>
                    </w:rPr>
                  </w:pPr>
                  <w:r>
                    <w:rPr>
                      <w:rFonts w:hint="eastAsia" w:ascii="Times New Roman" w:hAnsi="宋体" w:eastAsia="宋体" w:cs="Times New Roman"/>
                      <w:b w:val="0"/>
                      <w:bCs w:val="0"/>
                      <w:color w:val="auto"/>
                      <w:kern w:val="0"/>
                      <w:szCs w:val="21"/>
                      <w:lang w:eastAsia="zh-CN"/>
                    </w:rPr>
                    <w:t>钻井施工</w:t>
                  </w:r>
                </w:p>
              </w:tc>
              <w:tc>
                <w:tcPr>
                  <w:tcW w:w="513" w:type="pct"/>
                  <w:vAlign w:val="center"/>
                </w:tcPr>
                <w:p w14:paraId="17A385D8">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85.79</w:t>
                  </w:r>
                </w:p>
              </w:tc>
              <w:tc>
                <w:tcPr>
                  <w:tcW w:w="513" w:type="pct"/>
                  <w:vAlign w:val="center"/>
                </w:tcPr>
                <w:p w14:paraId="4FDB2B9C">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59.77</w:t>
                  </w:r>
                </w:p>
              </w:tc>
              <w:tc>
                <w:tcPr>
                  <w:tcW w:w="514" w:type="pct"/>
                  <w:vAlign w:val="center"/>
                </w:tcPr>
                <w:p w14:paraId="00DFC9F0">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53.75</w:t>
                  </w:r>
                </w:p>
              </w:tc>
              <w:tc>
                <w:tcPr>
                  <w:tcW w:w="514" w:type="pct"/>
                  <w:vAlign w:val="center"/>
                </w:tcPr>
                <w:p w14:paraId="5498F1D9">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50.23</w:t>
                  </w:r>
                </w:p>
              </w:tc>
              <w:tc>
                <w:tcPr>
                  <w:tcW w:w="514" w:type="pct"/>
                  <w:vAlign w:val="center"/>
                </w:tcPr>
                <w:p w14:paraId="150F36B9">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47.73</w:t>
                  </w:r>
                </w:p>
              </w:tc>
              <w:tc>
                <w:tcPr>
                  <w:tcW w:w="514" w:type="pct"/>
                  <w:vAlign w:val="center"/>
                </w:tcPr>
                <w:p w14:paraId="719F9AA5">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45.79</w:t>
                  </w:r>
                </w:p>
              </w:tc>
              <w:tc>
                <w:tcPr>
                  <w:tcW w:w="524" w:type="pct"/>
                  <w:vAlign w:val="center"/>
                </w:tcPr>
                <w:p w14:paraId="019547F6">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39.77</w:t>
                  </w:r>
                </w:p>
              </w:tc>
            </w:tr>
            <w:tr w14:paraId="0B9AD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90" w:type="pct"/>
                  <w:vAlign w:val="center"/>
                </w:tcPr>
                <w:p w14:paraId="4F8B44BC">
                  <w:pPr>
                    <w:autoSpaceDE w:val="0"/>
                    <w:autoSpaceDN w:val="0"/>
                    <w:jc w:val="center"/>
                    <w:rPr>
                      <w:rFonts w:hint="eastAsia" w:ascii="Times New Roman" w:hAnsi="Times New Roman" w:eastAsia="宋体" w:cs="Times New Roman"/>
                      <w:b w:val="0"/>
                      <w:bCs w:val="0"/>
                      <w:color w:val="auto"/>
                      <w:kern w:val="0"/>
                      <w:szCs w:val="21"/>
                      <w:lang w:eastAsia="zh-CN"/>
                    </w:rPr>
                  </w:pPr>
                  <w:r>
                    <w:rPr>
                      <w:rFonts w:hint="eastAsia" w:ascii="Times New Roman" w:hAnsi="Times New Roman" w:eastAsia="宋体" w:cs="Times New Roman"/>
                      <w:b w:val="0"/>
                      <w:bCs w:val="0"/>
                      <w:color w:val="auto"/>
                      <w:kern w:val="0"/>
                      <w:szCs w:val="21"/>
                      <w:lang w:eastAsia="zh-CN"/>
                    </w:rPr>
                    <w:t>压裂施工</w:t>
                  </w:r>
                </w:p>
              </w:tc>
              <w:tc>
                <w:tcPr>
                  <w:tcW w:w="836" w:type="dxa"/>
                  <w:vAlign w:val="center"/>
                </w:tcPr>
                <w:p w14:paraId="3BAF93FF">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color w:val="auto"/>
                      <w:kern w:val="0"/>
                      <w:szCs w:val="21"/>
                      <w:highlight w:val="none"/>
                      <w:lang w:val="en-US" w:eastAsia="zh-CN"/>
                    </w:rPr>
                    <w:t>85</w:t>
                  </w:r>
                </w:p>
              </w:tc>
              <w:tc>
                <w:tcPr>
                  <w:tcW w:w="836" w:type="dxa"/>
                  <w:vAlign w:val="center"/>
                </w:tcPr>
                <w:p w14:paraId="6A672F69">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color w:val="auto"/>
                      <w:kern w:val="0"/>
                      <w:szCs w:val="21"/>
                      <w:highlight w:val="none"/>
                      <w:lang w:val="en-US" w:eastAsia="zh-CN"/>
                    </w:rPr>
                    <w:t>58.98</w:t>
                  </w:r>
                </w:p>
              </w:tc>
              <w:tc>
                <w:tcPr>
                  <w:tcW w:w="837" w:type="dxa"/>
                  <w:vAlign w:val="center"/>
                </w:tcPr>
                <w:p w14:paraId="61CC2A22">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color w:val="auto"/>
                      <w:kern w:val="0"/>
                      <w:szCs w:val="21"/>
                      <w:highlight w:val="none"/>
                      <w:lang w:val="en-US" w:eastAsia="zh-CN"/>
                    </w:rPr>
                    <w:t>52.96</w:t>
                  </w:r>
                </w:p>
              </w:tc>
              <w:tc>
                <w:tcPr>
                  <w:tcW w:w="837" w:type="dxa"/>
                  <w:vAlign w:val="center"/>
                </w:tcPr>
                <w:p w14:paraId="657B154C">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color w:val="auto"/>
                      <w:kern w:val="0"/>
                      <w:szCs w:val="21"/>
                      <w:highlight w:val="none"/>
                      <w:lang w:val="en-US" w:eastAsia="zh-CN"/>
                    </w:rPr>
                    <w:t>49.44</w:t>
                  </w:r>
                </w:p>
              </w:tc>
              <w:tc>
                <w:tcPr>
                  <w:tcW w:w="837" w:type="dxa"/>
                  <w:vAlign w:val="center"/>
                </w:tcPr>
                <w:p w14:paraId="6C46A383">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color w:val="auto"/>
                      <w:kern w:val="0"/>
                      <w:szCs w:val="21"/>
                      <w:highlight w:val="none"/>
                      <w:lang w:val="en-US" w:eastAsia="zh-CN"/>
                    </w:rPr>
                    <w:t>46.94</w:t>
                  </w:r>
                </w:p>
              </w:tc>
              <w:tc>
                <w:tcPr>
                  <w:tcW w:w="837" w:type="dxa"/>
                  <w:vAlign w:val="center"/>
                </w:tcPr>
                <w:p w14:paraId="24B1FB12">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color w:val="auto"/>
                      <w:kern w:val="0"/>
                      <w:szCs w:val="21"/>
                      <w:highlight w:val="none"/>
                      <w:lang w:val="en-US" w:eastAsia="zh-CN"/>
                    </w:rPr>
                    <w:t>45</w:t>
                  </w:r>
                </w:p>
              </w:tc>
              <w:tc>
                <w:tcPr>
                  <w:tcW w:w="859" w:type="dxa"/>
                  <w:vAlign w:val="center"/>
                </w:tcPr>
                <w:p w14:paraId="1F45157C">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color w:val="auto"/>
                      <w:kern w:val="0"/>
                      <w:szCs w:val="21"/>
                      <w:highlight w:val="none"/>
                      <w:lang w:val="en-US" w:eastAsia="zh-CN"/>
                    </w:rPr>
                    <w:t>38.98</w:t>
                  </w:r>
                </w:p>
              </w:tc>
            </w:tr>
          </w:tbl>
          <w:p w14:paraId="35BA6281">
            <w:pPr>
              <w:autoSpaceDE w:val="0"/>
              <w:autoSpaceDN w:val="0"/>
              <w:spacing w:line="360" w:lineRule="auto"/>
              <w:ind w:firstLine="480" w:firstLineChars="200"/>
              <w:rPr>
                <w:rFonts w:hint="eastAsia" w:ascii="Times New Roman" w:hAnsi="Times New Roman" w:eastAsia="宋体" w:cs="Times New Roman"/>
                <w:b w:val="0"/>
                <w:bCs w:val="0"/>
                <w:color w:val="auto"/>
                <w:kern w:val="0"/>
                <w:sz w:val="24"/>
                <w:szCs w:val="24"/>
                <w:lang w:eastAsia="zh-CN"/>
              </w:rPr>
            </w:pPr>
            <w:r>
              <w:rPr>
                <w:rFonts w:ascii="Times New Roman" w:hAnsi="Times New Roman" w:eastAsia="宋体" w:cs="Times New Roman"/>
                <w:color w:val="auto"/>
                <w:kern w:val="0"/>
                <w:sz w:val="24"/>
                <w:szCs w:val="24"/>
              </w:rPr>
              <w:t>由</w:t>
            </w:r>
            <w:r>
              <w:rPr>
                <w:rFonts w:hint="eastAsia" w:ascii="Times New Roman" w:hAnsi="Times New Roman" w:eastAsia="宋体" w:cs="Times New Roman"/>
                <w:color w:val="auto"/>
                <w:kern w:val="0"/>
                <w:sz w:val="24"/>
                <w:szCs w:val="24"/>
                <w:lang w:eastAsia="zh-CN"/>
              </w:rPr>
              <w:t>上表</w:t>
            </w:r>
            <w:r>
              <w:rPr>
                <w:rFonts w:ascii="Times New Roman" w:hAnsi="Times New Roman" w:eastAsia="宋体" w:cs="Times New Roman"/>
                <w:color w:val="auto"/>
                <w:kern w:val="0"/>
                <w:sz w:val="24"/>
                <w:szCs w:val="24"/>
              </w:rPr>
              <w:t>可知，</w:t>
            </w:r>
            <w:r>
              <w:rPr>
                <w:rFonts w:hint="eastAsia" w:ascii="Times New Roman" w:hAnsi="Times New Roman" w:eastAsia="宋体" w:cs="Times New Roman"/>
                <w:color w:val="auto"/>
                <w:kern w:val="0"/>
                <w:sz w:val="24"/>
                <w:szCs w:val="24"/>
                <w:lang w:eastAsia="zh-CN"/>
              </w:rPr>
              <w:t>项目施工时夜间噪声影响较大，</w:t>
            </w:r>
            <w:r>
              <w:rPr>
                <w:rFonts w:ascii="Times New Roman" w:hAnsi="Times New Roman" w:eastAsia="宋体" w:cs="Times New Roman"/>
                <w:color w:val="000000" w:themeColor="text1"/>
                <w:kern w:val="0"/>
                <w:sz w:val="24"/>
                <w:szCs w:val="24"/>
                <w14:textFill>
                  <w14:solidFill>
                    <w14:schemeClr w14:val="tx1"/>
                  </w14:solidFill>
                </w14:textFill>
              </w:rPr>
              <w:t>昼间</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距离设备</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6米</w:t>
            </w:r>
            <w:r>
              <w:rPr>
                <w:rFonts w:ascii="Times New Roman" w:hAnsi="Times New Roman" w:eastAsia="宋体" w:cs="Times New Roman"/>
                <w:color w:val="000000" w:themeColor="text1"/>
                <w:kern w:val="0"/>
                <w:sz w:val="24"/>
                <w:szCs w:val="24"/>
                <w14:textFill>
                  <w14:solidFill>
                    <w14:schemeClr w14:val="tx1"/>
                  </w14:solidFill>
                </w14:textFill>
              </w:rPr>
              <w:t>处</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夜间在</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距离设备</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35</w:t>
            </w:r>
            <w:r>
              <w:rPr>
                <w:rFonts w:ascii="Times New Roman" w:hAnsi="Times New Roman" w:eastAsia="宋体" w:cs="Times New Roman"/>
                <w:color w:val="000000" w:themeColor="text1"/>
                <w:kern w:val="0"/>
                <w:sz w:val="24"/>
                <w:szCs w:val="24"/>
                <w14:textFill>
                  <w14:solidFill>
                    <w14:schemeClr w14:val="tx1"/>
                  </w14:solidFill>
                </w14:textFill>
              </w:rPr>
              <w:t>m处能够达到《建筑施工场界环境噪声排放标准》（GB12523-2011）中规定限值要求</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000000" w:themeColor="text1"/>
                <w:kern w:val="0"/>
                <w:sz w:val="24"/>
                <w:szCs w:val="24"/>
                <w14:textFill>
                  <w14:solidFill>
                    <w14:schemeClr w14:val="tx1"/>
                  </w14:solidFill>
                </w14:textFill>
              </w:rPr>
              <w:t>昼间</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距离设备</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20米</w:t>
            </w:r>
            <w:r>
              <w:rPr>
                <w:rFonts w:ascii="Times New Roman" w:hAnsi="Times New Roman" w:eastAsia="宋体" w:cs="Times New Roman"/>
                <w:color w:val="000000" w:themeColor="text1"/>
                <w:kern w:val="0"/>
                <w:sz w:val="24"/>
                <w:szCs w:val="24"/>
                <w14:textFill>
                  <w14:solidFill>
                    <w14:schemeClr w14:val="tx1"/>
                  </w14:solidFill>
                </w14:textFill>
              </w:rPr>
              <w:t>处</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夜间在</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距离设备</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55</w:t>
            </w:r>
            <w:r>
              <w:rPr>
                <w:rFonts w:ascii="Times New Roman" w:hAnsi="Times New Roman" w:eastAsia="宋体" w:cs="Times New Roman"/>
                <w:color w:val="000000" w:themeColor="text1"/>
                <w:kern w:val="0"/>
                <w:sz w:val="24"/>
                <w:szCs w:val="24"/>
                <w14:textFill>
                  <w14:solidFill>
                    <w14:schemeClr w14:val="tx1"/>
                  </w14:solidFill>
                </w14:textFill>
              </w:rPr>
              <w:t>m处能够达到</w:t>
            </w:r>
            <w:r>
              <w:rPr>
                <w:rFonts w:hint="eastAsia" w:ascii="Times New Roman" w:hAnsi="Times New Roman" w:eastAsia="宋体" w:cs="Times New Roman"/>
                <w:b w:val="0"/>
                <w:bCs w:val="0"/>
                <w:color w:val="auto"/>
                <w:kern w:val="0"/>
                <w:sz w:val="24"/>
                <w:szCs w:val="24"/>
              </w:rPr>
              <w:t>《声环境质量标准》（GB3096-2008）</w:t>
            </w:r>
            <w:r>
              <w:rPr>
                <w:rFonts w:hint="eastAsia" w:ascii="Times New Roman" w:hAnsi="Times New Roman" w:eastAsia="宋体" w:cs="Times New Roman"/>
                <w:b w:val="0"/>
                <w:bCs w:val="0"/>
                <w:color w:val="auto"/>
                <w:kern w:val="0"/>
                <w:sz w:val="24"/>
                <w:szCs w:val="24"/>
                <w:lang w:val="en-US" w:eastAsia="zh-CN"/>
              </w:rPr>
              <w:t>2</w:t>
            </w:r>
            <w:r>
              <w:rPr>
                <w:rFonts w:hint="eastAsia" w:ascii="Times New Roman" w:hAnsi="Times New Roman" w:eastAsia="宋体" w:cs="Times New Roman"/>
                <w:b w:val="0"/>
                <w:bCs w:val="0"/>
                <w:color w:val="auto"/>
                <w:kern w:val="0"/>
                <w:sz w:val="24"/>
                <w:szCs w:val="24"/>
              </w:rPr>
              <w:t>类</w:t>
            </w:r>
            <w:r>
              <w:rPr>
                <w:rFonts w:ascii="Times New Roman" w:hAnsi="Times New Roman" w:eastAsia="宋体" w:cs="Times New Roman"/>
                <w:b w:val="0"/>
                <w:bCs w:val="0"/>
                <w:color w:val="auto"/>
                <w:kern w:val="0"/>
                <w:sz w:val="24"/>
                <w:szCs w:val="24"/>
              </w:rPr>
              <w:t>标准（GB12523-2011）中</w:t>
            </w:r>
            <w:r>
              <w:rPr>
                <w:rFonts w:hint="eastAsia" w:ascii="Times New Roman" w:hAnsi="Times New Roman" w:eastAsia="宋体" w:cs="Times New Roman"/>
                <w:b w:val="0"/>
                <w:bCs w:val="0"/>
                <w:color w:val="auto"/>
                <w:kern w:val="0"/>
                <w:sz w:val="24"/>
                <w:szCs w:val="24"/>
                <w:lang w:eastAsia="zh-CN"/>
              </w:rPr>
              <w:t>的</w:t>
            </w:r>
            <w:r>
              <w:rPr>
                <w:rFonts w:hint="eastAsia" w:ascii="Times New Roman" w:hAnsi="Times New Roman" w:eastAsia="宋体" w:cs="Times New Roman"/>
                <w:b w:val="0"/>
                <w:bCs w:val="0"/>
                <w:color w:val="auto"/>
                <w:kern w:val="0"/>
                <w:sz w:val="24"/>
                <w:szCs w:val="24"/>
                <w:lang w:val="en-US" w:eastAsia="zh-CN"/>
              </w:rPr>
              <w:t>2类标准</w:t>
            </w:r>
            <w:r>
              <w:rPr>
                <w:rFonts w:ascii="Times New Roman" w:hAnsi="Times New Roman" w:eastAsia="宋体" w:cs="Times New Roman"/>
                <w:b w:val="0"/>
                <w:bCs w:val="0"/>
                <w:color w:val="auto"/>
                <w:kern w:val="0"/>
                <w:sz w:val="24"/>
                <w:szCs w:val="24"/>
              </w:rPr>
              <w:t>限值要求</w:t>
            </w:r>
            <w:r>
              <w:rPr>
                <w:rFonts w:hint="eastAsia" w:ascii="Times New Roman" w:hAnsi="Times New Roman" w:eastAsia="宋体" w:cs="Times New Roman"/>
                <w:b w:val="0"/>
                <w:bCs w:val="0"/>
                <w:color w:val="auto"/>
                <w:kern w:val="0"/>
                <w:sz w:val="24"/>
                <w:szCs w:val="24"/>
                <w:lang w:eastAsia="zh-CN"/>
              </w:rPr>
              <w:t>。</w:t>
            </w:r>
          </w:p>
          <w:p w14:paraId="09F3F149">
            <w:pPr>
              <w:autoSpaceDE w:val="0"/>
              <w:autoSpaceDN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auto"/>
                <w:kern w:val="0"/>
                <w:sz w:val="24"/>
                <w:szCs w:val="24"/>
                <w:highlight w:val="none"/>
                <w:lang w:eastAsia="zh-CN"/>
              </w:rPr>
              <w:t>本项目</w:t>
            </w:r>
            <w:r>
              <w:rPr>
                <w:rFonts w:hint="eastAsia" w:ascii="Times New Roman" w:hAnsi="Times New Roman" w:eastAsia="宋体" w:cs="Times New Roman"/>
                <w:color w:val="auto"/>
                <w:kern w:val="0"/>
                <w:sz w:val="24"/>
                <w:szCs w:val="24"/>
                <w:lang w:eastAsia="zh-CN"/>
              </w:rPr>
              <w:t>施工场</w:t>
            </w:r>
            <w:r>
              <w:rPr>
                <w:rFonts w:hint="eastAsia" w:ascii="Times New Roman" w:hAnsi="Times New Roman" w:eastAsia="宋体" w:cs="Times New Roman"/>
                <w:color w:val="auto"/>
                <w:kern w:val="0"/>
                <w:sz w:val="24"/>
                <w:szCs w:val="24"/>
                <w:highlight w:val="none"/>
                <w:lang w:eastAsia="zh-CN"/>
              </w:rPr>
              <w:t>地</w:t>
            </w:r>
            <w:r>
              <w:rPr>
                <w:rFonts w:hint="eastAsia" w:ascii="Times New Roman" w:hAnsi="Times New Roman" w:eastAsia="宋体" w:cs="Times New Roman"/>
                <w:color w:val="auto"/>
                <w:kern w:val="0"/>
                <w:sz w:val="24"/>
                <w:szCs w:val="24"/>
                <w:highlight w:val="none"/>
                <w:lang w:val="en-US" w:eastAsia="zh-CN"/>
              </w:rPr>
              <w:t>范围外有声环境敏感目标，</w:t>
            </w:r>
            <w:r>
              <w:rPr>
                <w:rFonts w:hint="eastAsia" w:ascii="Times New Roman" w:hAnsi="Times New Roman" w:eastAsia="宋体" w:cs="Times New Roman"/>
                <w:color w:val="000000" w:themeColor="text1"/>
                <w:kern w:val="0"/>
                <w:sz w:val="24"/>
                <w:szCs w:val="24"/>
                <w14:textFill>
                  <w14:solidFill>
                    <w14:schemeClr w14:val="tx1"/>
                  </w14:solidFill>
                </w14:textFill>
              </w:rPr>
              <w:t>在不采取任何噪声防治措施的情况下，施工噪声会对附近居民造成一定程度的影响，因此，建设单位应严格执行噪声污染防治措施，降低施工噪声对周边环境及敏感点的影响，具体措施如下：</w:t>
            </w:r>
          </w:p>
          <w:p w14:paraId="3F74AFDD">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施工期建设单位应严格遵守执行《中华人民共和国环境噪声污染防治法》和地方的环境噪声污染防治规定以及《建筑噪声施工场界环境噪声排放标准》（GB12523-2011）标准，规范施工行为，加强施工管理。施工单位应注意选用效率高、噪声低的机械设备，并注意维修养护和正确使用，对动力机械设备进行定期的维修、养护，使设备保持最佳工作状态，避免由于设备性能差而导致噪声增强现象的发生；</w:t>
            </w:r>
          </w:p>
          <w:p w14:paraId="486ED146">
            <w:pPr>
              <w:autoSpaceDE w:val="0"/>
              <w:autoSpaceDN w:val="0"/>
              <w:spacing w:line="360" w:lineRule="auto"/>
              <w:ind w:firstLine="480" w:firstLineChars="200"/>
              <w:rPr>
                <w:rFonts w:hint="eastAsia"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rPr>
              <w:t>施工单位应精心组织施工，合理安排施工布局，</w:t>
            </w:r>
            <w:r>
              <w:rPr>
                <w:rFonts w:hint="eastAsia" w:ascii="Times New Roman" w:hAnsi="Times New Roman" w:eastAsia="宋体" w:cs="Times New Roman"/>
                <w:color w:val="auto"/>
                <w:kern w:val="0"/>
                <w:sz w:val="24"/>
                <w:szCs w:val="24"/>
                <w:lang w:eastAsia="zh-CN"/>
              </w:rPr>
              <w:t>将钻机、固控系统、泥浆泵等</w:t>
            </w:r>
            <w:r>
              <w:rPr>
                <w:rFonts w:hint="eastAsia" w:ascii="Times New Roman" w:hAnsi="Times New Roman" w:eastAsia="宋体" w:cs="Times New Roman"/>
                <w:color w:val="auto"/>
                <w:kern w:val="0"/>
                <w:sz w:val="24"/>
                <w:szCs w:val="24"/>
              </w:rPr>
              <w:t>高噪声</w:t>
            </w:r>
            <w:r>
              <w:rPr>
                <w:rFonts w:hint="eastAsia" w:ascii="Times New Roman" w:hAnsi="Times New Roman" w:eastAsia="宋体" w:cs="Times New Roman"/>
                <w:color w:val="auto"/>
                <w:kern w:val="0"/>
                <w:sz w:val="24"/>
                <w:szCs w:val="24"/>
                <w:lang w:eastAsia="zh-CN"/>
              </w:rPr>
              <w:t>设备布置</w:t>
            </w:r>
            <w:r>
              <w:rPr>
                <w:rFonts w:hint="eastAsia" w:ascii="Times New Roman" w:hAnsi="Times New Roman" w:eastAsia="宋体" w:cs="Times New Roman"/>
                <w:color w:val="auto"/>
                <w:kern w:val="0"/>
                <w:sz w:val="24"/>
                <w:szCs w:val="24"/>
                <w:highlight w:val="none"/>
                <w:lang w:eastAsia="zh-CN"/>
              </w:rPr>
              <w:t>在施工场地西侧，尽量</w:t>
            </w:r>
            <w:r>
              <w:rPr>
                <w:rFonts w:hint="eastAsia" w:ascii="Times New Roman" w:hAnsi="Times New Roman" w:eastAsia="宋体" w:cs="Times New Roman"/>
                <w:color w:val="auto"/>
                <w:kern w:val="0"/>
                <w:sz w:val="24"/>
                <w:szCs w:val="24"/>
                <w:highlight w:val="none"/>
              </w:rPr>
              <w:t>远离声敏感点</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rPr>
              <w:t>合理安排施工时间，避免高噪声施工机械在同一区域内使用，减少高噪声设备的夜间作业时间；</w:t>
            </w:r>
          </w:p>
          <w:p w14:paraId="4A9828A4">
            <w:pPr>
              <w:spacing w:line="360" w:lineRule="auto"/>
              <w:ind w:firstLine="480" w:firstLineChars="200"/>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采用声屏障措施：</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施工时可根据作业情况选择</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在施工场地周围设置临时隔音围挡结构，最大程度的减少对</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声环境</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敏感点的不利影响</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38A7E94B">
            <w:pPr>
              <w:autoSpaceDE w:val="0"/>
              <w:autoSpaceDN w:val="0"/>
              <w:spacing w:line="360" w:lineRule="auto"/>
              <w:ind w:firstLine="480" w:firstLineChars="200"/>
              <w:rPr>
                <w:rFonts w:ascii="Times New Roman" w:hAnsi="Times New Roman" w:eastAsia="宋体" w:cs="Times New Roman"/>
                <w:color w:val="auto"/>
                <w:kern w:val="0"/>
                <w:sz w:val="24"/>
                <w:szCs w:val="24"/>
                <w:highlight w:val="yellow"/>
              </w:rPr>
            </w:pPr>
            <w:r>
              <w:rPr>
                <w:rFonts w:hint="eastAsia" w:ascii="Times New Roman" w:hAnsi="Times New Roman" w:eastAsia="宋体" w:cs="Times New Roman"/>
                <w:color w:val="auto"/>
                <w:kern w:val="0"/>
                <w:sz w:val="24"/>
                <w:szCs w:val="24"/>
                <w:highlight w:val="none"/>
              </w:rPr>
              <w:t>降低车辆交通噪声：运输车辆应选择周边敏感场少的运输路线，尽量远离集中居民区，运输活动应尽量安排在白天进行，施工期应加强管理，杜绝超载、超速，在途经环境敏感区域时，应减速慢行，禁止鸣笛，降低车辆交通噪声；</w:t>
            </w:r>
          </w:p>
          <w:p w14:paraId="56F695DF">
            <w:pPr>
              <w:widowControl/>
              <w:numPr>
                <w:ilvl w:val="0"/>
                <w:numId w:val="0"/>
              </w:numPr>
              <w:spacing w:line="360" w:lineRule="auto"/>
              <w:ind w:firstLine="480" w:firstLineChars="200"/>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4</w:t>
            </w:r>
            <w:r>
              <w:rPr>
                <w:rFonts w:hint="eastAsia" w:ascii="Times New Roman" w:hAnsi="Times New Roman" w:eastAsia="宋体" w:cs="Times New Roman"/>
                <w:bCs/>
                <w:color w:val="auto"/>
                <w:sz w:val="24"/>
                <w:szCs w:val="24"/>
                <w:lang w:eastAsia="zh-CN"/>
              </w:rPr>
              <w:t>）固体废物环境影响分析</w:t>
            </w:r>
          </w:p>
          <w:p w14:paraId="57AA9C44">
            <w:pPr>
              <w:numPr>
                <w:ilvl w:val="0"/>
                <w:numId w:val="0"/>
              </w:numPr>
              <w:spacing w:line="360" w:lineRule="auto"/>
              <w:ind w:firstLine="480" w:firstLineChars="200"/>
              <w:rPr>
                <w:rFonts w:hint="eastAsia"/>
                <w:color w:val="auto"/>
                <w:sz w:val="24"/>
                <w:lang w:eastAsia="zh-CN"/>
              </w:rPr>
            </w:pPr>
            <w:r>
              <w:rPr>
                <w:rFonts w:hint="eastAsia"/>
                <w:color w:val="auto"/>
                <w:sz w:val="24"/>
                <w:lang w:eastAsia="zh-CN"/>
              </w:rPr>
              <w:t>项目施工期产生的固废主要为</w:t>
            </w:r>
            <w:r>
              <w:rPr>
                <w:rFonts w:hint="eastAsia"/>
                <w:color w:val="auto"/>
                <w:sz w:val="24"/>
                <w:lang w:val="en-US" w:eastAsia="zh-CN"/>
              </w:rPr>
              <w:t>：</w:t>
            </w:r>
            <w:r>
              <w:rPr>
                <w:rFonts w:hint="eastAsia"/>
                <w:color w:val="auto"/>
                <w:sz w:val="24"/>
                <w:lang w:eastAsia="zh-CN"/>
              </w:rPr>
              <w:t>钻井岩屑、废泥浆、</w:t>
            </w:r>
            <w:r>
              <w:rPr>
                <w:rFonts w:hint="eastAsia" w:ascii="Times New Roman" w:hAnsi="Times New Roman" w:eastAsia="宋体" w:cs="Times New Roman"/>
                <w:bCs/>
                <w:color w:val="auto"/>
                <w:sz w:val="24"/>
                <w:szCs w:val="24"/>
              </w:rPr>
              <w:t>废包装材料</w:t>
            </w:r>
            <w:r>
              <w:rPr>
                <w:rFonts w:hint="eastAsia" w:ascii="Times New Roman" w:hAnsi="Times New Roman" w:eastAsia="宋体" w:cs="Times New Roman"/>
                <w:bCs/>
                <w:color w:val="auto"/>
                <w:sz w:val="24"/>
                <w:szCs w:val="24"/>
                <w:lang w:eastAsia="zh-CN"/>
              </w:rPr>
              <w:t>、</w:t>
            </w:r>
            <w:r>
              <w:rPr>
                <w:rFonts w:hint="eastAsia"/>
                <w:color w:val="auto"/>
                <w:sz w:val="24"/>
                <w:lang w:val="en-US" w:eastAsia="zh-CN"/>
              </w:rPr>
              <w:t>工程弃土、含油抹布和手套</w:t>
            </w:r>
            <w:r>
              <w:rPr>
                <w:rFonts w:hint="eastAsia"/>
                <w:color w:val="auto"/>
                <w:sz w:val="24"/>
                <w:lang w:eastAsia="zh-CN"/>
              </w:rPr>
              <w:t>。本项目</w:t>
            </w:r>
            <w:r>
              <w:rPr>
                <w:rFonts w:hint="eastAsia"/>
                <w:color w:val="auto"/>
                <w:sz w:val="24"/>
                <w:lang w:val="en-US" w:eastAsia="zh-CN"/>
              </w:rPr>
              <w:t>设备进场前全部进行保养维修，根据施工经验，项目施工过程中无需更换润滑油，因此施工过程中无废润滑油及油桶产生。</w:t>
            </w:r>
          </w:p>
          <w:p w14:paraId="5C11EF31">
            <w:pPr>
              <w:spacing w:line="360" w:lineRule="auto"/>
              <w:ind w:firstLine="480" w:firstLineChars="200"/>
              <w:rPr>
                <w:rFonts w:hint="eastAsia"/>
                <w:bCs/>
                <w:color w:val="auto"/>
                <w:sz w:val="24"/>
                <w:vertAlign w:val="baseline"/>
                <w:lang w:val="en-US" w:eastAsia="zh-CN"/>
              </w:rPr>
            </w:pPr>
            <w:r>
              <w:rPr>
                <w:rFonts w:hint="eastAsia"/>
                <w:color w:val="auto"/>
                <w:sz w:val="24"/>
                <w:lang w:eastAsia="zh-CN"/>
              </w:rPr>
              <w:t>①钻井岩屑：钻井施工过程中</w:t>
            </w:r>
            <w:r>
              <w:rPr>
                <w:rFonts w:hint="eastAsia" w:ascii="Times New Roman" w:hAnsi="Times New Roman" w:eastAsia="宋体" w:cs="Times New Roman"/>
                <w:bCs/>
                <w:color w:val="auto"/>
                <w:sz w:val="24"/>
                <w:szCs w:val="24"/>
              </w:rPr>
              <w:t>钻头切屑地层岩石而产生的碎屑，并通过钻井泥浆带出至地面，</w:t>
            </w:r>
            <w:r>
              <w:rPr>
                <w:rFonts w:hint="eastAsia" w:ascii="Times New Roman" w:hAnsi="宋体" w:eastAsia="宋体" w:cs="Times New Roman"/>
                <w:color w:val="auto"/>
                <w:kern w:val="0"/>
                <w:sz w:val="24"/>
                <w:szCs w:val="24"/>
              </w:rPr>
              <w:t>主要成分为岩石、土壤及钻井泥浆液</w:t>
            </w:r>
            <w:r>
              <w:rPr>
                <w:rFonts w:hint="eastAsia" w:ascii="Times New Roman" w:hAnsi="宋体" w:eastAsia="宋体" w:cs="Times New Roman"/>
                <w:color w:val="auto"/>
                <w:kern w:val="0"/>
                <w:sz w:val="24"/>
                <w:szCs w:val="24"/>
                <w:lang w:eastAsia="zh-CN"/>
              </w:rPr>
              <w:t>。</w:t>
            </w:r>
            <w:r>
              <w:rPr>
                <w:rFonts w:hint="eastAsia"/>
                <w:bCs/>
                <w:color w:val="auto"/>
                <w:sz w:val="24"/>
                <w:lang w:val="en-US" w:eastAsia="zh-CN"/>
              </w:rPr>
              <w:t>根据本项目各开次钻头尺寸、钻深、建设单位施工经验，核算本项目钻井岩屑产生量约为4m</w:t>
            </w:r>
            <w:r>
              <w:rPr>
                <w:rFonts w:hint="eastAsia"/>
                <w:bCs/>
                <w:color w:val="auto"/>
                <w:sz w:val="24"/>
                <w:vertAlign w:val="superscript"/>
                <w:lang w:val="en-US" w:eastAsia="zh-CN"/>
              </w:rPr>
              <w:t>3</w:t>
            </w:r>
            <w:r>
              <w:rPr>
                <w:rFonts w:hint="eastAsia"/>
                <w:bCs/>
                <w:color w:val="auto"/>
                <w:sz w:val="24"/>
                <w:vertAlign w:val="baseline"/>
                <w:lang w:val="en-US" w:eastAsia="zh-CN"/>
              </w:rPr>
              <w:t>。产生的钻井岩屑经固控系统分离后暂存于沉砂池。属于一般固废，交由相关单位进行综合利用。</w:t>
            </w:r>
          </w:p>
          <w:p w14:paraId="02CA5A45">
            <w:pPr>
              <w:spacing w:line="360" w:lineRule="auto"/>
              <w:ind w:firstLine="480" w:firstLineChars="200"/>
              <w:rPr>
                <w:rFonts w:hint="eastAsia" w:ascii="Times New Roman" w:hAnsi="Times New Roman" w:eastAsia="宋体" w:cs="Times New Roman"/>
                <w:bCs/>
                <w:color w:val="auto"/>
                <w:sz w:val="24"/>
                <w:szCs w:val="24"/>
                <w:lang w:val="en-US" w:eastAsia="zh-CN"/>
              </w:rPr>
            </w:pPr>
            <w:r>
              <w:rPr>
                <w:rFonts w:hint="eastAsia"/>
                <w:color w:val="auto"/>
                <w:sz w:val="24"/>
                <w:lang w:eastAsia="zh-CN"/>
              </w:rPr>
              <w:t>②废泥浆：</w:t>
            </w:r>
            <w:r>
              <w:rPr>
                <w:rFonts w:hint="eastAsia" w:ascii="Times New Roman" w:hAnsi="Times New Roman" w:eastAsia="宋体" w:cs="Times New Roman"/>
                <w:bCs/>
                <w:color w:val="auto"/>
                <w:sz w:val="24"/>
                <w:szCs w:val="24"/>
                <w:lang w:eastAsia="zh-CN"/>
              </w:rPr>
              <w:t>钻井过程</w:t>
            </w:r>
            <w:r>
              <w:rPr>
                <w:rFonts w:hint="eastAsia"/>
                <w:color w:val="auto"/>
                <w:sz w:val="24"/>
                <w:szCs w:val="24"/>
                <w:highlight w:val="none"/>
                <w:vertAlign w:val="baseline"/>
                <w:lang w:eastAsia="zh-CN"/>
              </w:rPr>
              <w:t>中少部分泥浆因性能不合格而会被废弃进入废浆池中，</w:t>
            </w:r>
            <w:r>
              <w:rPr>
                <w:rFonts w:hint="eastAsia"/>
                <w:color w:val="auto"/>
                <w:sz w:val="24"/>
                <w:szCs w:val="24"/>
                <w:highlight w:val="none"/>
                <w:vertAlign w:val="baseline"/>
                <w:lang w:val="en-US" w:eastAsia="zh-CN"/>
              </w:rPr>
              <w:t>施工完成后加入固化剂固化后用于周边道路</w:t>
            </w:r>
            <w:r>
              <w:rPr>
                <w:rFonts w:hint="default" w:ascii="Times New Roman" w:hAnsi="Times New Roman" w:cs="Times New Roman"/>
                <w:bCs/>
                <w:color w:val="auto"/>
                <w:sz w:val="24"/>
                <w:lang w:val="en-US" w:eastAsia="zh-CN"/>
              </w:rPr>
              <w:t>维护材料</w:t>
            </w:r>
            <w:r>
              <w:rPr>
                <w:rFonts w:hint="eastAsia"/>
                <w:color w:val="auto"/>
                <w:sz w:val="24"/>
                <w:szCs w:val="24"/>
                <w:highlight w:val="none"/>
                <w:vertAlign w:val="baseline"/>
                <w:lang w:val="en-US" w:eastAsia="zh-CN"/>
              </w:rPr>
              <w:t>。</w:t>
            </w:r>
            <w:r>
              <w:rPr>
                <w:rFonts w:hint="default" w:ascii="Times New Roman" w:hAnsi="Times New Roman" w:cs="Times New Roman"/>
                <w:bCs/>
                <w:color w:val="auto"/>
                <w:sz w:val="24"/>
                <w:lang w:val="en-US" w:eastAsia="zh-CN"/>
              </w:rPr>
              <w:t>项目钻井泥浆为水基泥浆，根据设计资料，井场产生的</w:t>
            </w:r>
            <w:r>
              <w:rPr>
                <w:rFonts w:hint="eastAsia" w:ascii="Times New Roman" w:hAnsi="Times New Roman" w:cs="Times New Roman"/>
                <w:bCs/>
                <w:color w:val="auto"/>
                <w:sz w:val="24"/>
                <w:lang w:val="en-US" w:eastAsia="zh-CN"/>
              </w:rPr>
              <w:t>废钻井泥浆</w:t>
            </w:r>
            <w:r>
              <w:rPr>
                <w:rFonts w:hint="default" w:ascii="Times New Roman" w:hAnsi="Times New Roman" w:cs="Times New Roman"/>
                <w:bCs/>
                <w:color w:val="auto"/>
                <w:sz w:val="24"/>
                <w:lang w:val="en-US" w:eastAsia="zh-CN"/>
              </w:rPr>
              <w:t>约为25m³，暂存于废浆池中，干化后用于道路维护材</w:t>
            </w:r>
            <w:r>
              <w:rPr>
                <w:rFonts w:hint="default" w:ascii="Times New Roman" w:hAnsi="Times New Roman" w:eastAsia="宋体" w:cs="Times New Roman"/>
                <w:bCs/>
                <w:color w:val="auto"/>
                <w:sz w:val="24"/>
                <w:szCs w:val="24"/>
                <w:lang w:val="en-US" w:eastAsia="zh-CN"/>
              </w:rPr>
              <w:t>料</w:t>
            </w:r>
            <w:r>
              <w:rPr>
                <w:rFonts w:hint="eastAsia" w:ascii="Times New Roman" w:hAnsi="Times New Roman" w:eastAsia="宋体" w:cs="Times New Roman"/>
                <w:bCs/>
                <w:color w:val="auto"/>
                <w:sz w:val="24"/>
                <w:szCs w:val="24"/>
                <w:lang w:val="en-US" w:eastAsia="zh-CN"/>
              </w:rPr>
              <w:t>。</w:t>
            </w:r>
          </w:p>
          <w:p w14:paraId="7D09E4F1">
            <w:pPr>
              <w:spacing w:line="360" w:lineRule="auto"/>
              <w:ind w:firstLine="480" w:firstLineChars="20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 xml:space="preserve">③废包装材料：本项目施工过程中会使用一定量的原辅材料，根据企业提供资料，废包装袋产生量约为 </w:t>
            </w:r>
            <w:r>
              <w:rPr>
                <w:rFonts w:hint="default" w:ascii="Times New Roman" w:hAnsi="Times New Roman" w:eastAsia="宋体" w:cs="Times New Roman"/>
                <w:bCs/>
                <w:color w:val="auto"/>
                <w:sz w:val="24"/>
                <w:szCs w:val="24"/>
                <w:lang w:val="en-US" w:eastAsia="zh-CN"/>
              </w:rPr>
              <w:t>0.</w:t>
            </w:r>
            <w:r>
              <w:rPr>
                <w:rFonts w:hint="eastAsia" w:ascii="Times New Roman" w:hAnsi="Times New Roman" w:eastAsia="宋体" w:cs="Times New Roman"/>
                <w:bCs/>
                <w:color w:val="auto"/>
                <w:sz w:val="24"/>
                <w:szCs w:val="24"/>
                <w:lang w:val="en-US" w:eastAsia="zh-CN"/>
              </w:rPr>
              <w:t>05</w:t>
            </w:r>
            <w:r>
              <w:rPr>
                <w:rFonts w:hint="default" w:ascii="Times New Roman" w:hAnsi="Times New Roman" w:eastAsia="宋体" w:cs="Times New Roman"/>
                <w:bCs/>
                <w:color w:val="auto"/>
                <w:sz w:val="24"/>
                <w:szCs w:val="24"/>
                <w:lang w:val="en-US" w:eastAsia="zh-CN"/>
              </w:rPr>
              <w:t>t</w:t>
            </w:r>
            <w:r>
              <w:rPr>
                <w:rFonts w:hint="eastAsia" w:ascii="Times New Roman" w:hAnsi="Times New Roman" w:eastAsia="宋体" w:cs="Times New Roman"/>
                <w:bCs/>
                <w:color w:val="auto"/>
                <w:sz w:val="24"/>
                <w:szCs w:val="24"/>
                <w:lang w:val="en-US" w:eastAsia="zh-CN"/>
              </w:rPr>
              <w:t>，集中收集后外售处理。</w:t>
            </w:r>
          </w:p>
          <w:p w14:paraId="513DC863">
            <w:pPr>
              <w:spacing w:line="360" w:lineRule="auto"/>
              <w:ind w:firstLine="480" w:firstLineChars="20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④工程弃土：施工过程中各池体开挖及定向钻施工过程中会产生部分工程弃土，暂存于厂区西北角弃土堆放区，施工完成后用于场区整平。</w:t>
            </w:r>
          </w:p>
          <w:p w14:paraId="0A11037B">
            <w:pPr>
              <w:spacing w:line="360" w:lineRule="auto"/>
              <w:ind w:firstLine="480" w:firstLineChars="200"/>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 xml:space="preserve">⑤废含油抹布和废含油手套：施工期间，机械设备运维过程中会产生废含油抹布和废含油手套，根据企业提供资料，废含油抹布和废含油手套产生量约为 </w:t>
            </w:r>
            <w:r>
              <w:rPr>
                <w:rFonts w:hint="default"/>
                <w:color w:val="auto"/>
                <w:sz w:val="24"/>
                <w:szCs w:val="24"/>
                <w:highlight w:val="none"/>
                <w:vertAlign w:val="baseline"/>
                <w:lang w:val="en-US" w:eastAsia="zh-CN"/>
              </w:rPr>
              <w:t>0.0</w:t>
            </w:r>
            <w:r>
              <w:rPr>
                <w:rFonts w:hint="eastAsia"/>
                <w:color w:val="auto"/>
                <w:sz w:val="24"/>
                <w:szCs w:val="24"/>
                <w:highlight w:val="none"/>
                <w:vertAlign w:val="baseline"/>
                <w:lang w:val="en-US" w:eastAsia="zh-CN"/>
              </w:rPr>
              <w:t>01</w:t>
            </w:r>
            <w:r>
              <w:rPr>
                <w:rFonts w:hint="default"/>
                <w:color w:val="auto"/>
                <w:sz w:val="24"/>
                <w:szCs w:val="24"/>
                <w:highlight w:val="none"/>
                <w:vertAlign w:val="baseline"/>
                <w:lang w:val="en-US" w:eastAsia="zh-CN"/>
              </w:rPr>
              <w:t>t</w:t>
            </w:r>
            <w:r>
              <w:rPr>
                <w:rFonts w:hint="eastAsia"/>
                <w:color w:val="auto"/>
                <w:sz w:val="24"/>
                <w:szCs w:val="24"/>
                <w:highlight w:val="none"/>
                <w:vertAlign w:val="baseline"/>
                <w:lang w:val="en-US" w:eastAsia="zh-CN"/>
              </w:rPr>
              <w:t>。根据《国家危险废物名录》(</w:t>
            </w:r>
            <w:r>
              <w:rPr>
                <w:rFonts w:hint="default"/>
                <w:color w:val="auto"/>
                <w:sz w:val="24"/>
                <w:szCs w:val="24"/>
                <w:highlight w:val="none"/>
                <w:vertAlign w:val="baseline"/>
                <w:lang w:val="en-US" w:eastAsia="zh-CN"/>
              </w:rPr>
              <w:t>202</w:t>
            </w:r>
            <w:r>
              <w:rPr>
                <w:rFonts w:hint="eastAsia"/>
                <w:color w:val="auto"/>
                <w:sz w:val="24"/>
                <w:szCs w:val="24"/>
                <w:highlight w:val="none"/>
                <w:vertAlign w:val="baseline"/>
                <w:lang w:val="en-US" w:eastAsia="zh-CN"/>
              </w:rPr>
              <w:t xml:space="preserve">5年版)可知，废含油抹布和废含油手套属于危险废物，废物类别编号为 </w:t>
            </w:r>
            <w:r>
              <w:rPr>
                <w:rFonts w:hint="default"/>
                <w:color w:val="auto"/>
                <w:sz w:val="24"/>
                <w:szCs w:val="24"/>
                <w:highlight w:val="none"/>
                <w:vertAlign w:val="baseline"/>
                <w:lang w:val="en-US" w:eastAsia="zh-CN"/>
              </w:rPr>
              <w:t>HW49</w:t>
            </w:r>
            <w:r>
              <w:rPr>
                <w:rFonts w:hint="eastAsia"/>
                <w:color w:val="auto"/>
                <w:sz w:val="24"/>
                <w:szCs w:val="24"/>
                <w:highlight w:val="none"/>
                <w:vertAlign w:val="baseline"/>
                <w:lang w:val="en-US" w:eastAsia="zh-CN"/>
              </w:rPr>
              <w:t xml:space="preserve">，废物代码为 </w:t>
            </w:r>
            <w:r>
              <w:rPr>
                <w:rFonts w:hint="default"/>
                <w:color w:val="auto"/>
                <w:sz w:val="24"/>
                <w:szCs w:val="24"/>
                <w:highlight w:val="none"/>
                <w:vertAlign w:val="baseline"/>
                <w:lang w:val="en-US" w:eastAsia="zh-CN"/>
              </w:rPr>
              <w:t>900-041-49</w:t>
            </w:r>
            <w:r>
              <w:rPr>
                <w:rFonts w:hint="eastAsia"/>
                <w:color w:val="auto"/>
                <w:sz w:val="24"/>
                <w:szCs w:val="24"/>
                <w:highlight w:val="none"/>
                <w:vertAlign w:val="baseline"/>
                <w:lang w:val="en-US" w:eastAsia="zh-CN"/>
              </w:rPr>
              <w:t>，收集后暂存于潘一东瓦斯发电站内的危废暂存间，定期交有资质的单位处置。</w:t>
            </w:r>
          </w:p>
          <w:p w14:paraId="1507696E">
            <w:pPr>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color w:val="auto"/>
                <w:sz w:val="24"/>
                <w:szCs w:val="24"/>
                <w:highlight w:val="none"/>
                <w:vertAlign w:val="baseline"/>
                <w:lang w:val="en-US" w:eastAsia="zh-CN"/>
              </w:rPr>
              <w:t>潘一东瓦斯发电站内现有危废暂存间一间，占地面积约</w:t>
            </w:r>
            <w:r>
              <w:rPr>
                <w:rFonts w:hint="default" w:ascii="Times New Roman" w:hAnsi="Times New Roman" w:eastAsia="宋体" w:cs="Times New Roman"/>
                <w:color w:val="000000"/>
                <w:kern w:val="0"/>
                <w:sz w:val="24"/>
                <w:szCs w:val="24"/>
                <w:lang w:val="en-US" w:eastAsia="zh-CN" w:bidi="ar"/>
              </w:rPr>
              <w:t>5m</w:t>
            </w:r>
            <w:r>
              <w:rPr>
                <w:rFonts w:hint="default" w:ascii="Times New Roman" w:hAnsi="Times New Roman" w:eastAsia="宋体" w:cs="Times New Roman"/>
                <w:color w:val="000000"/>
                <w:kern w:val="0"/>
                <w:sz w:val="24"/>
                <w:szCs w:val="24"/>
                <w:vertAlign w:val="superscript"/>
                <w:lang w:val="en-US" w:eastAsia="zh-CN" w:bidi="ar"/>
              </w:rPr>
              <w:t>2</w:t>
            </w:r>
            <w:r>
              <w:rPr>
                <w:rFonts w:hint="eastAsia" w:ascii="Times New Roman" w:hAnsi="Times New Roman" w:eastAsia="宋体" w:cs="Times New Roman"/>
                <w:color w:val="000000"/>
                <w:kern w:val="0"/>
                <w:sz w:val="24"/>
                <w:szCs w:val="24"/>
                <w:vertAlign w:val="baseline"/>
                <w:lang w:val="en-US" w:eastAsia="zh-CN" w:bidi="ar"/>
              </w:rPr>
              <w:t>，主要用于储存电站运行过程中产生的废油及油桶，</w:t>
            </w:r>
            <w:r>
              <w:rPr>
                <w:rFonts w:hint="eastAsia"/>
                <w:color w:val="auto"/>
                <w:sz w:val="24"/>
                <w:szCs w:val="24"/>
                <w:highlight w:val="none"/>
                <w:vertAlign w:val="baseline"/>
                <w:lang w:val="en-US" w:eastAsia="zh-CN"/>
              </w:rPr>
              <w:t>危废暂存间</w:t>
            </w:r>
            <w:r>
              <w:rPr>
                <w:rFonts w:hint="eastAsia" w:ascii="宋体" w:hAnsi="宋体" w:eastAsia="宋体" w:cs="宋体"/>
                <w:color w:val="000000"/>
                <w:kern w:val="0"/>
                <w:sz w:val="24"/>
                <w:szCs w:val="24"/>
                <w:lang w:val="en-US" w:eastAsia="zh-CN" w:bidi="ar"/>
              </w:rPr>
              <w:t>采取了防渗、防雨措施，设置导流沟，张贴标识标牌。</w:t>
            </w:r>
          </w:p>
          <w:p w14:paraId="0FCE0611">
            <w:pPr>
              <w:spacing w:line="360" w:lineRule="auto"/>
              <w:ind w:firstLine="480" w:firstLineChars="200"/>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⑥生活垃圾：生活垃圾主要来自施工人员。本项目劳动定员10人，食宿依托周边农村民房，施工现场不设施工营地。产生的生活垃圾利用周边农村农户现有的设施进行收集，由环卫部门统一清运处理。</w:t>
            </w:r>
          </w:p>
          <w:p w14:paraId="1E54EF67">
            <w:pPr>
              <w:autoSpaceDE w:val="0"/>
              <w:autoSpaceDN w:val="0"/>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eastAsia"/>
                <w:color w:val="auto"/>
                <w:sz w:val="24"/>
                <w:szCs w:val="24"/>
                <w:highlight w:val="none"/>
                <w:vertAlign w:val="baseline"/>
                <w:lang w:val="en-US" w:eastAsia="zh-CN"/>
              </w:rPr>
              <w:t>综上所述，本项目施工期各类固体废物均进行了合理的处理处置，项目施工固废不会对周边环境产生较大影响。</w:t>
            </w:r>
          </w:p>
          <w:p w14:paraId="0DF19CF3">
            <w:pPr>
              <w:widowControl/>
              <w:spacing w:line="360" w:lineRule="auto"/>
              <w:ind w:firstLine="480" w:firstLineChars="200"/>
              <w:jc w:val="left"/>
              <w:rPr>
                <w:rFonts w:hint="default" w:ascii="Times New Roman" w:hAnsi="Times New Roman" w:cs="Times New Roman"/>
                <w:color w:val="auto"/>
                <w:sz w:val="24"/>
                <w:szCs w:val="24"/>
              </w:rPr>
            </w:pPr>
            <w:r>
              <w:rPr>
                <w:rFonts w:hint="eastAsia" w:ascii="Times New Roman" w:hAnsi="Times New Roman" w:eastAsia="宋体" w:cs="Times New Roman"/>
                <w:bCs/>
                <w:color w:val="auto"/>
                <w:sz w:val="24"/>
                <w:szCs w:val="24"/>
              </w:rPr>
              <w:t>（5）</w:t>
            </w:r>
            <w:r>
              <w:rPr>
                <w:rFonts w:hint="default" w:ascii="Times New Roman" w:hAnsi="Times New Roman" w:cs="Times New Roman"/>
                <w:color w:val="auto"/>
                <w:kern w:val="0"/>
                <w:sz w:val="24"/>
                <w:szCs w:val="24"/>
                <w:lang w:bidi="ar"/>
              </w:rPr>
              <w:t>地下水</w:t>
            </w:r>
            <w:r>
              <w:rPr>
                <w:rFonts w:hint="eastAsia" w:ascii="Times New Roman" w:hAnsi="Times New Roman" w:cs="Times New Roman"/>
                <w:color w:val="auto"/>
                <w:kern w:val="0"/>
                <w:sz w:val="24"/>
                <w:szCs w:val="24"/>
                <w:lang w:eastAsia="zh-CN" w:bidi="ar"/>
              </w:rPr>
              <w:t>环境影响分析</w:t>
            </w:r>
            <w:r>
              <w:rPr>
                <w:rFonts w:hint="default" w:ascii="Times New Roman" w:hAnsi="Times New Roman" w:cs="Times New Roman"/>
                <w:color w:val="auto"/>
                <w:kern w:val="0"/>
                <w:sz w:val="24"/>
                <w:szCs w:val="24"/>
                <w:lang w:bidi="ar"/>
              </w:rPr>
              <w:t xml:space="preserve"> </w:t>
            </w:r>
          </w:p>
          <w:p w14:paraId="18731CE2">
            <w:pPr>
              <w:widowControl/>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bCs/>
                <w:color w:val="auto"/>
                <w:kern w:val="0"/>
                <w:sz w:val="24"/>
                <w:szCs w:val="24"/>
              </w:rPr>
              <w:t>根据《环境影响评价技术导则地下水》（HJ610-2016)中附录A地下水环境影响评价分类表，</w:t>
            </w:r>
            <w:r>
              <w:rPr>
                <w:rFonts w:hint="default" w:ascii="Times New Roman" w:hAnsi="Times New Roman" w:cs="Times New Roman"/>
                <w:color w:val="auto"/>
                <w:sz w:val="24"/>
                <w:szCs w:val="24"/>
              </w:rPr>
              <w:t>将建设项目分为</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1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II</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3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III</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4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IV</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类四类，</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1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II</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3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III</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类建设项目的地下水环境影响评价应执行本标准，</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4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IV</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类建设项目不开展地下水环境影响评价。</w:t>
            </w:r>
            <w:r>
              <w:rPr>
                <w:rFonts w:hint="default" w:ascii="Times New Roman" w:hAnsi="Times New Roman" w:cs="Times New Roman"/>
                <w:bCs/>
                <w:color w:val="auto"/>
                <w:kern w:val="0"/>
                <w:sz w:val="24"/>
                <w:szCs w:val="24"/>
              </w:rPr>
              <w:t>本项目属于Ⅳ类项目，可不开展地下水环境影响评价。</w:t>
            </w:r>
            <w:r>
              <w:rPr>
                <w:rFonts w:hint="default" w:ascii="Times New Roman" w:hAnsi="Times New Roman" w:cs="Times New Roman"/>
                <w:color w:val="auto"/>
                <w:sz w:val="24"/>
                <w:szCs w:val="24"/>
              </w:rPr>
              <w:t>本次评价仅对地下水环境做简要分析。</w:t>
            </w:r>
          </w:p>
          <w:p w14:paraId="0C2DAC03">
            <w:pPr>
              <w:widowControl/>
              <w:spacing w:line="360" w:lineRule="auto"/>
              <w:ind w:firstLine="480" w:firstLineChars="200"/>
              <w:jc w:val="left"/>
              <w:rPr>
                <w:rFonts w:hint="eastAsia"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本项目</w:t>
            </w:r>
            <w:r>
              <w:rPr>
                <w:rFonts w:hint="eastAsia" w:ascii="Times New Roman" w:hAnsi="Times New Roman" w:cs="Times New Roman"/>
                <w:bCs/>
                <w:color w:val="auto"/>
                <w:kern w:val="0"/>
                <w:sz w:val="24"/>
                <w:szCs w:val="24"/>
              </w:rPr>
              <w:t>施工钻井过程中下入石油</w:t>
            </w:r>
            <w:r>
              <w:rPr>
                <w:rFonts w:hint="default" w:ascii="Times New Roman" w:hAnsi="Times New Roman" w:cs="Times New Roman"/>
                <w:bCs/>
                <w:color w:val="auto"/>
                <w:kern w:val="0"/>
                <w:sz w:val="24"/>
                <w:szCs w:val="24"/>
              </w:rPr>
              <w:t>套管，</w:t>
            </w:r>
            <w:r>
              <w:rPr>
                <w:rFonts w:hint="eastAsia" w:ascii="Times New Roman" w:hAnsi="Times New Roman" w:cs="Times New Roman"/>
                <w:bCs/>
                <w:color w:val="auto"/>
                <w:kern w:val="0"/>
                <w:sz w:val="24"/>
                <w:szCs w:val="24"/>
              </w:rPr>
              <w:t>并用水泥固结牢固</w:t>
            </w:r>
            <w:r>
              <w:rPr>
                <w:rFonts w:hint="eastAsia" w:ascii="Times New Roman" w:hAnsi="Times New Roman" w:cs="Times New Roman"/>
                <w:bCs/>
                <w:color w:val="auto"/>
                <w:kern w:val="0"/>
                <w:sz w:val="24"/>
                <w:szCs w:val="24"/>
                <w:lang w:eastAsia="zh-CN"/>
              </w:rPr>
              <w:t>，</w:t>
            </w:r>
            <w:r>
              <w:rPr>
                <w:rFonts w:hint="eastAsia" w:ascii="Times New Roman" w:hAnsi="Times New Roman" w:cs="Times New Roman"/>
                <w:bCs/>
                <w:color w:val="auto"/>
                <w:kern w:val="0"/>
                <w:sz w:val="24"/>
                <w:szCs w:val="24"/>
              </w:rPr>
              <w:t>隔离松散地层，可减少地下水涌出</w:t>
            </w:r>
            <w:r>
              <w:rPr>
                <w:rFonts w:hint="eastAsia" w:ascii="Times New Roman" w:hAnsi="Times New Roman" w:cs="Times New Roman"/>
                <w:bCs/>
                <w:color w:val="auto"/>
                <w:kern w:val="0"/>
                <w:sz w:val="24"/>
                <w:szCs w:val="24"/>
                <w:lang w:eastAsia="zh-CN"/>
              </w:rPr>
              <w:t>，</w:t>
            </w:r>
            <w:r>
              <w:rPr>
                <w:rFonts w:hint="eastAsia" w:ascii="Times New Roman" w:hAnsi="Times New Roman" w:cs="Times New Roman"/>
                <w:bCs/>
                <w:color w:val="auto"/>
                <w:kern w:val="0"/>
                <w:sz w:val="24"/>
                <w:szCs w:val="24"/>
              </w:rPr>
              <w:t>钻</w:t>
            </w:r>
            <w:r>
              <w:rPr>
                <w:rFonts w:hint="default" w:ascii="Times New Roman" w:hAnsi="Times New Roman" w:cs="Times New Roman"/>
                <w:bCs/>
                <w:color w:val="auto"/>
                <w:kern w:val="0"/>
                <w:sz w:val="24"/>
                <w:szCs w:val="24"/>
              </w:rPr>
              <w:t>孔</w:t>
            </w:r>
            <w:r>
              <w:rPr>
                <w:rFonts w:hint="eastAsia" w:ascii="Times New Roman" w:hAnsi="Times New Roman" w:cs="Times New Roman"/>
                <w:bCs/>
                <w:color w:val="auto"/>
                <w:kern w:val="0"/>
                <w:sz w:val="24"/>
                <w:szCs w:val="24"/>
              </w:rPr>
              <w:t>过程中</w:t>
            </w:r>
            <w:r>
              <w:rPr>
                <w:rFonts w:hint="default" w:ascii="Times New Roman" w:hAnsi="Times New Roman" w:cs="Times New Roman"/>
                <w:bCs/>
                <w:color w:val="auto"/>
                <w:kern w:val="0"/>
                <w:sz w:val="24"/>
                <w:szCs w:val="24"/>
              </w:rPr>
              <w:t>泥浆添加剂无毒，水泥质量符合国家</w:t>
            </w:r>
            <w:r>
              <w:rPr>
                <w:rFonts w:hint="eastAsia" w:ascii="Times New Roman" w:hAnsi="Times New Roman" w:cs="Times New Roman"/>
                <w:bCs/>
                <w:color w:val="auto"/>
                <w:kern w:val="0"/>
                <w:sz w:val="24"/>
                <w:szCs w:val="24"/>
              </w:rPr>
              <w:t>相关</w:t>
            </w:r>
            <w:r>
              <w:rPr>
                <w:rFonts w:hint="default" w:ascii="Times New Roman" w:hAnsi="Times New Roman" w:cs="Times New Roman"/>
                <w:bCs/>
                <w:color w:val="auto"/>
                <w:kern w:val="0"/>
                <w:sz w:val="24"/>
                <w:szCs w:val="24"/>
              </w:rPr>
              <w:t>标准</w:t>
            </w:r>
            <w:r>
              <w:rPr>
                <w:rFonts w:hint="eastAsia" w:ascii="Times New Roman" w:hAnsi="Times New Roman" w:cs="Times New Roman"/>
                <w:bCs/>
                <w:color w:val="auto"/>
                <w:kern w:val="0"/>
                <w:sz w:val="24"/>
                <w:szCs w:val="24"/>
              </w:rPr>
              <w:t>要求</w:t>
            </w:r>
            <w:r>
              <w:rPr>
                <w:rFonts w:hint="eastAsia" w:ascii="Times New Roman" w:hAnsi="Times New Roman" w:cs="Times New Roman"/>
                <w:bCs/>
                <w:color w:val="auto"/>
                <w:kern w:val="0"/>
                <w:sz w:val="24"/>
                <w:szCs w:val="24"/>
                <w:lang w:eastAsia="zh-CN"/>
              </w:rPr>
              <w:t>，</w:t>
            </w:r>
            <w:r>
              <w:rPr>
                <w:rFonts w:hint="eastAsia" w:ascii="Times New Roman" w:hAnsi="Times New Roman" w:cs="Times New Roman"/>
                <w:color w:val="auto"/>
                <w:sz w:val="24"/>
                <w:szCs w:val="24"/>
                <w:lang w:eastAsia="zh-CN"/>
              </w:rPr>
              <w:t>项目</w:t>
            </w:r>
            <w:r>
              <w:rPr>
                <w:rFonts w:hint="eastAsia" w:ascii="Times New Roman" w:hAnsi="Times New Roman" w:cs="Times New Roman"/>
                <w:color w:val="auto"/>
                <w:sz w:val="24"/>
                <w:szCs w:val="24"/>
              </w:rPr>
              <w:t>压裂</w:t>
            </w:r>
            <w:r>
              <w:rPr>
                <w:rFonts w:hint="eastAsia" w:ascii="Times New Roman" w:hAnsi="Times New Roman" w:cs="Times New Roman"/>
                <w:color w:val="auto"/>
                <w:sz w:val="24"/>
                <w:szCs w:val="24"/>
                <w:lang w:eastAsia="zh-CN"/>
              </w:rPr>
              <w:t>采用水和砂作为压裂液进行压裂，</w:t>
            </w:r>
            <w:r>
              <w:rPr>
                <w:rFonts w:hint="eastAsia" w:ascii="Times New Roman" w:hAnsi="Times New Roman" w:cs="Times New Roman"/>
                <w:bCs/>
                <w:color w:val="auto"/>
                <w:kern w:val="0"/>
                <w:sz w:val="24"/>
                <w:szCs w:val="24"/>
                <w:lang w:eastAsia="zh-CN"/>
              </w:rPr>
              <w:t>因此项目施工不会</w:t>
            </w:r>
            <w:r>
              <w:rPr>
                <w:rFonts w:hint="eastAsia" w:ascii="Times New Roman" w:hAnsi="Times New Roman" w:cs="Times New Roman"/>
                <w:bCs/>
                <w:color w:val="auto"/>
                <w:kern w:val="0"/>
                <w:sz w:val="24"/>
                <w:szCs w:val="24"/>
              </w:rPr>
              <w:t>对地下水</w:t>
            </w:r>
            <w:r>
              <w:rPr>
                <w:rFonts w:hint="eastAsia" w:ascii="Times New Roman" w:hAnsi="Times New Roman" w:cs="Times New Roman"/>
                <w:bCs/>
                <w:color w:val="auto"/>
                <w:kern w:val="0"/>
                <w:sz w:val="24"/>
                <w:szCs w:val="24"/>
                <w:lang w:eastAsia="zh-CN"/>
              </w:rPr>
              <w:t>水量及</w:t>
            </w:r>
            <w:r>
              <w:rPr>
                <w:rFonts w:hint="eastAsia" w:ascii="Times New Roman" w:hAnsi="Times New Roman" w:cs="Times New Roman"/>
                <w:bCs/>
                <w:color w:val="auto"/>
                <w:kern w:val="0"/>
                <w:sz w:val="24"/>
                <w:szCs w:val="24"/>
              </w:rPr>
              <w:t>水质产生</w:t>
            </w:r>
            <w:r>
              <w:rPr>
                <w:rFonts w:hint="eastAsia" w:ascii="Times New Roman" w:hAnsi="Times New Roman" w:cs="Times New Roman"/>
                <w:bCs/>
                <w:color w:val="auto"/>
                <w:kern w:val="0"/>
                <w:sz w:val="24"/>
                <w:szCs w:val="24"/>
                <w:lang w:eastAsia="zh-CN"/>
              </w:rPr>
              <w:t>较大</w:t>
            </w:r>
            <w:r>
              <w:rPr>
                <w:rFonts w:hint="eastAsia" w:ascii="Times New Roman" w:hAnsi="Times New Roman" w:cs="Times New Roman"/>
                <w:bCs/>
                <w:color w:val="auto"/>
                <w:kern w:val="0"/>
                <w:sz w:val="24"/>
                <w:szCs w:val="24"/>
              </w:rPr>
              <w:t>影响。</w:t>
            </w:r>
          </w:p>
          <w:p w14:paraId="1CA618D5">
            <w:pPr>
              <w:widowControl/>
              <w:spacing w:line="360" w:lineRule="auto"/>
              <w:ind w:firstLine="480" w:firstLineChars="200"/>
              <w:jc w:val="left"/>
              <w:rPr>
                <w:rFonts w:hint="eastAsia" w:ascii="Times New Roman" w:hAnsi="Times New Roman" w:eastAsia="宋体" w:cs="Times New Roman"/>
                <w:color w:val="auto"/>
                <w:kern w:val="0"/>
                <w:sz w:val="24"/>
                <w:szCs w:val="24"/>
                <w:lang w:bidi="ar"/>
              </w:rPr>
            </w:pPr>
            <w:r>
              <w:rPr>
                <w:rFonts w:hint="eastAsia" w:ascii="Times New Roman" w:hAnsi="Times New Roman" w:cs="Times New Roman"/>
                <w:color w:val="auto"/>
                <w:kern w:val="0"/>
                <w:sz w:val="24"/>
                <w:szCs w:val="24"/>
                <w:lang w:val="en-US" w:eastAsia="zh-CN" w:bidi="ar"/>
              </w:rPr>
              <w:t>7</w:t>
            </w:r>
            <w:r>
              <w:rPr>
                <w:rFonts w:hint="default" w:ascii="Times New Roman" w:hAnsi="Times New Roman"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bidi="ar"/>
              </w:rPr>
              <w:t>土壤</w:t>
            </w:r>
          </w:p>
          <w:p w14:paraId="150B7F5B">
            <w:pPr>
              <w:spacing w:line="360" w:lineRule="auto"/>
              <w:ind w:firstLine="480" w:firstLineChars="200"/>
              <w:rPr>
                <w:color w:val="auto"/>
                <w:sz w:val="24"/>
                <w:szCs w:val="24"/>
              </w:rPr>
            </w:pPr>
            <w:r>
              <w:rPr>
                <w:rFonts w:hint="eastAsia"/>
                <w:color w:val="auto"/>
                <w:sz w:val="24"/>
                <w:szCs w:val="24"/>
              </w:rPr>
              <w:t>①污染类型</w:t>
            </w:r>
          </w:p>
          <w:p w14:paraId="270FF992">
            <w:pPr>
              <w:spacing w:line="360" w:lineRule="auto"/>
              <w:ind w:firstLine="480" w:firstLineChars="200"/>
              <w:rPr>
                <w:color w:val="auto"/>
                <w:sz w:val="24"/>
                <w:szCs w:val="24"/>
              </w:rPr>
            </w:pPr>
            <w:r>
              <w:rPr>
                <w:rFonts w:hint="eastAsia"/>
                <w:color w:val="auto"/>
                <w:sz w:val="24"/>
                <w:szCs w:val="24"/>
              </w:rPr>
              <w:t>根据《环境影响评价技术导则土壤环境（试行）》（</w:t>
            </w:r>
            <w:r>
              <w:rPr>
                <w:color w:val="auto"/>
                <w:sz w:val="24"/>
                <w:szCs w:val="24"/>
              </w:rPr>
              <w:t>HJ</w:t>
            </w:r>
            <w:r>
              <w:rPr>
                <w:rFonts w:hint="eastAsia"/>
                <w:color w:val="auto"/>
                <w:sz w:val="24"/>
                <w:szCs w:val="24"/>
              </w:rPr>
              <w:t>964</w:t>
            </w:r>
            <w:r>
              <w:rPr>
                <w:color w:val="auto"/>
                <w:sz w:val="24"/>
                <w:szCs w:val="24"/>
              </w:rPr>
              <w:t>-201</w:t>
            </w:r>
            <w:r>
              <w:rPr>
                <w:rFonts w:hint="eastAsia"/>
                <w:color w:val="auto"/>
                <w:sz w:val="24"/>
                <w:szCs w:val="24"/>
              </w:rPr>
              <w:t>8）要求，土壤环境影响划分为污染影响型和生态影响型，本项目属于生态影响型建设项目。</w:t>
            </w:r>
          </w:p>
          <w:p w14:paraId="3AAA237C">
            <w:pPr>
              <w:spacing w:line="360" w:lineRule="auto"/>
              <w:ind w:firstLine="470" w:firstLineChars="196"/>
              <w:rPr>
                <w:color w:val="auto"/>
                <w:sz w:val="24"/>
                <w:szCs w:val="24"/>
              </w:rPr>
            </w:pPr>
            <w:r>
              <w:rPr>
                <w:rFonts w:hint="eastAsia"/>
                <w:color w:val="auto"/>
                <w:sz w:val="24"/>
                <w:szCs w:val="24"/>
              </w:rPr>
              <w:t>②行业分类</w:t>
            </w:r>
          </w:p>
          <w:p w14:paraId="415D9ED2">
            <w:pPr>
              <w:spacing w:line="360" w:lineRule="auto"/>
              <w:ind w:firstLine="470" w:firstLineChars="196"/>
              <w:rPr>
                <w:rFonts w:hint="default" w:ascii="Times New Roman" w:hAnsi="Times New Roman" w:cs="Times New Roman"/>
                <w:color w:val="auto"/>
                <w:sz w:val="24"/>
                <w:szCs w:val="24"/>
              </w:rPr>
            </w:pPr>
            <w:r>
              <w:rPr>
                <w:color w:val="auto"/>
                <w:sz w:val="24"/>
                <w:szCs w:val="24"/>
              </w:rPr>
              <w:t>根据《环境影</w:t>
            </w:r>
            <w:r>
              <w:rPr>
                <w:rFonts w:hint="default" w:ascii="Times New Roman" w:hAnsi="Times New Roman" w:cs="Times New Roman"/>
                <w:color w:val="auto"/>
                <w:sz w:val="24"/>
                <w:szCs w:val="24"/>
              </w:rPr>
              <w:t>响评价技术导则土壤环境（试行）》（HJ964-2018）附录A土壤环境影响评价项目类别分类表，结合建设项目行业特征、工艺特点或规模大小，将建设项目分为</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1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II</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3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III</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4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IV</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类四类，</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1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II</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3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III</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类建设项目的土壤环境影响评价应执行本标准，</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4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IV</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类建设项目不开展土壤环境影响评价。本项目</w:t>
            </w:r>
            <w:r>
              <w:rPr>
                <w:rFonts w:hint="default" w:ascii="Times New Roman" w:hAnsi="Times New Roman" w:cs="Times New Roman"/>
                <w:color w:val="auto"/>
                <w:sz w:val="24"/>
                <w:szCs w:val="24"/>
                <w:lang w:eastAsia="zh-CN"/>
              </w:rPr>
              <w:t>为煤炭开采过程中的辅助瓦斯治理工程</w:t>
            </w:r>
            <w:r>
              <w:rPr>
                <w:rFonts w:hint="default" w:ascii="Times New Roman" w:hAnsi="Times New Roman" w:cs="Times New Roman"/>
                <w:color w:val="auto"/>
                <w:sz w:val="24"/>
                <w:szCs w:val="24"/>
              </w:rPr>
              <w:t>，属于土壤环境影响</w:t>
            </w:r>
            <w:r>
              <w:rPr>
                <w:rFonts w:hint="default" w:ascii="Times New Roman" w:hAnsi="Times New Roman" w:cs="Times New Roman"/>
                <w:bCs/>
                <w:color w:val="auto"/>
                <w:kern w:val="0"/>
                <w:sz w:val="24"/>
                <w:szCs w:val="24"/>
              </w:rPr>
              <w:t>评价类别“其他行业”，属于</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4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IV</w:t>
            </w:r>
            <w:r>
              <w:rPr>
                <w:rFonts w:hint="default" w:ascii="Times New Roman" w:hAnsi="Times New Roman" w:cs="Times New Roman"/>
                <w:color w:val="auto"/>
                <w:sz w:val="24"/>
                <w:szCs w:val="24"/>
              </w:rPr>
              <w:fldChar w:fldCharType="end"/>
            </w:r>
            <w:r>
              <w:rPr>
                <w:rFonts w:hint="default" w:ascii="Times New Roman" w:hAnsi="Times New Roman" w:cs="Times New Roman"/>
                <w:bCs/>
                <w:color w:val="auto"/>
                <w:kern w:val="0"/>
                <w:sz w:val="24"/>
                <w:szCs w:val="24"/>
              </w:rPr>
              <w:t>类项目</w:t>
            </w:r>
            <w:r>
              <w:rPr>
                <w:rFonts w:hint="default" w:ascii="Times New Roman" w:hAnsi="Times New Roman" w:cs="Times New Roman"/>
                <w:color w:val="auto"/>
                <w:sz w:val="24"/>
                <w:szCs w:val="24"/>
              </w:rPr>
              <w:t>，因此本项目不开展土壤环境影响评价，只进行简单分析。</w:t>
            </w:r>
          </w:p>
          <w:p w14:paraId="758412D3">
            <w:pPr>
              <w:spacing w:line="360" w:lineRule="auto"/>
              <w:ind w:firstLine="480" w:firstLineChars="200"/>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rPr>
              <w:t>本项目钻井过程中使用钻孔泥浆添加剂均</w:t>
            </w:r>
            <w:r>
              <w:rPr>
                <w:rFonts w:hint="default" w:ascii="Times New Roman" w:hAnsi="Times New Roman" w:cs="Times New Roman"/>
                <w:color w:val="auto"/>
                <w:sz w:val="24"/>
                <w:szCs w:val="24"/>
                <w:lang w:eastAsia="zh-CN"/>
              </w:rPr>
              <w:t>不含</w:t>
            </w:r>
            <w:r>
              <w:rPr>
                <w:rFonts w:hint="eastAsia"/>
                <w:color w:val="auto"/>
                <w:sz w:val="24"/>
                <w:szCs w:val="24"/>
              </w:rPr>
              <w:t>有毒有害成分，且用量少，</w:t>
            </w:r>
            <w:r>
              <w:rPr>
                <w:rFonts w:hint="eastAsia"/>
                <w:color w:val="auto"/>
                <w:sz w:val="24"/>
                <w:szCs w:val="24"/>
                <w:lang w:eastAsia="zh-CN"/>
              </w:rPr>
              <w:t>固井</w:t>
            </w:r>
            <w:r>
              <w:rPr>
                <w:rFonts w:hint="eastAsia"/>
                <w:color w:val="auto"/>
                <w:sz w:val="24"/>
                <w:szCs w:val="24"/>
              </w:rPr>
              <w:t>用水泥为普通/复合硅酸盐水泥，质量符合</w:t>
            </w:r>
            <w:r>
              <w:rPr>
                <w:rFonts w:hint="eastAsia" w:ascii="Times New Roman" w:hAnsi="Times New Roman" w:cs="Times New Roman"/>
                <w:color w:val="auto"/>
                <w:sz w:val="24"/>
                <w:szCs w:val="24"/>
              </w:rPr>
              <w:t>国家标准</w:t>
            </w:r>
            <w:r>
              <w:rPr>
                <w:rFonts w:hint="eastAsia" w:ascii="Times New Roman" w:hAnsi="Times New Roman" w:cs="Times New Roman"/>
                <w:color w:val="auto"/>
                <w:sz w:val="24"/>
                <w:szCs w:val="24"/>
                <w:lang w:eastAsia="zh-CN"/>
              </w:rPr>
              <w:t>，钻井过程中对</w:t>
            </w:r>
            <w:r>
              <w:rPr>
                <w:rFonts w:hint="eastAsia" w:ascii="Times New Roman" w:hAnsi="Times New Roman" w:cs="Times New Roman"/>
                <w:color w:val="auto"/>
                <w:sz w:val="24"/>
                <w:szCs w:val="24"/>
              </w:rPr>
              <w:t>土壤环境影响很小。</w:t>
            </w:r>
            <w:r>
              <w:rPr>
                <w:rFonts w:hint="eastAsia" w:ascii="Times New Roman" w:hAnsi="Times New Roman" w:cs="Times New Roman"/>
                <w:color w:val="auto"/>
                <w:sz w:val="24"/>
                <w:szCs w:val="24"/>
                <w:lang w:eastAsia="zh-CN"/>
              </w:rPr>
              <w:t>本项目</w:t>
            </w:r>
            <w:r>
              <w:rPr>
                <w:rFonts w:hint="eastAsia" w:ascii="Times New Roman" w:hAnsi="Times New Roman" w:cs="Times New Roman"/>
                <w:color w:val="auto"/>
                <w:sz w:val="24"/>
                <w:szCs w:val="24"/>
              </w:rPr>
              <w:t>压裂</w:t>
            </w:r>
            <w:r>
              <w:rPr>
                <w:rFonts w:hint="eastAsia" w:ascii="Times New Roman" w:hAnsi="Times New Roman" w:cs="Times New Roman"/>
                <w:color w:val="auto"/>
                <w:sz w:val="24"/>
                <w:szCs w:val="24"/>
                <w:lang w:eastAsia="zh-CN"/>
              </w:rPr>
              <w:t>采用水和砂作为压裂液进行压裂，因此压裂施工不会对周边</w:t>
            </w:r>
            <w:r>
              <w:rPr>
                <w:rFonts w:hint="eastAsia" w:ascii="Times New Roman" w:hAnsi="Times New Roman" w:cs="Times New Roman"/>
                <w:color w:val="auto"/>
                <w:sz w:val="24"/>
                <w:szCs w:val="24"/>
              </w:rPr>
              <w:t>土壤环境</w:t>
            </w:r>
            <w:r>
              <w:rPr>
                <w:rFonts w:hint="eastAsia" w:ascii="Times New Roman" w:hAnsi="Times New Roman" w:cs="Times New Roman"/>
                <w:color w:val="auto"/>
                <w:sz w:val="24"/>
                <w:szCs w:val="24"/>
                <w:lang w:eastAsia="zh-CN"/>
              </w:rPr>
              <w:t>产生</w:t>
            </w:r>
            <w:r>
              <w:rPr>
                <w:rFonts w:hint="eastAsia" w:ascii="Times New Roman" w:hAnsi="Times New Roman" w:cs="Times New Roman"/>
                <w:color w:val="auto"/>
                <w:sz w:val="24"/>
                <w:szCs w:val="24"/>
              </w:rPr>
              <w:t>影响</w:t>
            </w:r>
            <w:r>
              <w:rPr>
                <w:rFonts w:hint="eastAsia" w:ascii="Times New Roman" w:hAnsi="Times New Roman" w:cs="Times New Roman"/>
                <w:color w:val="auto"/>
                <w:sz w:val="24"/>
                <w:szCs w:val="24"/>
                <w:lang w:eastAsia="zh-CN"/>
              </w:rPr>
              <w:t>。</w:t>
            </w:r>
          </w:p>
          <w:p w14:paraId="2D8B01B1">
            <w:pPr>
              <w:spacing w:line="360" w:lineRule="auto"/>
              <w:ind w:firstLine="480" w:firstLineChars="200"/>
              <w:rPr>
                <w:rFonts w:ascii="Times New Roman" w:hAnsi="Times New Roman" w:eastAsia="宋体" w:cs="Times New Roman"/>
                <w:color w:val="auto"/>
                <w:sz w:val="24"/>
                <w:szCs w:val="24"/>
                <w:highlight w:val="yellow"/>
              </w:rPr>
            </w:pPr>
            <w:r>
              <w:rPr>
                <w:rFonts w:hint="eastAsia" w:ascii="Times New Roman" w:hAnsi="Times New Roman" w:eastAsia="宋体" w:cs="Times New Roman"/>
                <w:bCs/>
                <w:color w:val="auto"/>
                <w:kern w:val="0"/>
                <w:sz w:val="24"/>
                <w:szCs w:val="24"/>
              </w:rPr>
              <w:t>（7）</w:t>
            </w:r>
            <w:r>
              <w:rPr>
                <w:rFonts w:ascii="Times New Roman" w:hAnsi="Times New Roman" w:eastAsia="宋体" w:cs="Times New Roman"/>
                <w:color w:val="auto"/>
                <w:sz w:val="24"/>
                <w:szCs w:val="24"/>
                <w:highlight w:val="none"/>
              </w:rPr>
              <w:t>环境风险分析</w:t>
            </w:r>
          </w:p>
          <w:p w14:paraId="0F139368">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①风险调查</w:t>
            </w:r>
          </w:p>
          <w:p w14:paraId="2FB8F816">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境风险评价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4A29959C">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拟建项目使用的原辅材料主要为</w:t>
            </w:r>
            <w:r>
              <w:rPr>
                <w:rFonts w:hint="eastAsia" w:ascii="Times New Roman" w:hAnsi="Times New Roman" w:eastAsia="宋体" w:cs="Times New Roman"/>
                <w:color w:val="auto"/>
                <w:sz w:val="24"/>
                <w:szCs w:val="24"/>
                <w:lang w:eastAsia="zh-CN"/>
              </w:rPr>
              <w:t>粘土、水泥</w:t>
            </w:r>
            <w:r>
              <w:rPr>
                <w:rFonts w:hint="eastAsia" w:ascii="Times New Roman" w:hAnsi="Times New Roman" w:eastAsia="宋体" w:cs="Times New Roman"/>
                <w:color w:val="auto"/>
                <w:sz w:val="24"/>
                <w:szCs w:val="24"/>
              </w:rPr>
              <w:t>、碱粉（工业级）、纤维素、腐殖酸、</w:t>
            </w:r>
            <w:r>
              <w:rPr>
                <w:rFonts w:hint="eastAsia" w:ascii="Times New Roman" w:hAnsi="Times New Roman" w:eastAsia="宋体" w:cs="Times New Roman"/>
                <w:color w:val="auto"/>
                <w:sz w:val="24"/>
                <w:szCs w:val="24"/>
                <w:lang w:eastAsia="zh-CN"/>
              </w:rPr>
              <w:t>水、砂等</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项目排采阶段采出的煤层气主要成分为甲烷，属于环境风险物质，施工现场不存储，仅输气管线中有少量煤层气，在线量如下：</w:t>
            </w:r>
          </w:p>
          <w:p w14:paraId="43FEF09D">
            <w:pPr>
              <w:pStyle w:val="95"/>
              <w:numPr>
                <w:ilvl w:val="1"/>
                <w:numId w:val="2"/>
              </w:numPr>
              <w:tabs>
                <w:tab w:val="left" w:pos="2100"/>
                <w:tab w:val="clear" w:pos="1440"/>
              </w:tabs>
              <w:spacing w:line="240" w:lineRule="auto"/>
              <w:ind w:left="3300" w:leftChars="0" w:hanging="1620" w:firstLineChars="0"/>
              <w:jc w:val="both"/>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rPr>
              <w:t>项目</w:t>
            </w:r>
            <w:r>
              <w:rPr>
                <w:rFonts w:hint="eastAsia" w:ascii="宋体" w:hAnsi="宋体" w:eastAsia="宋体" w:cs="宋体"/>
                <w:b w:val="0"/>
                <w:bCs w:val="0"/>
                <w:color w:val="auto"/>
                <w:kern w:val="0"/>
                <w:sz w:val="24"/>
                <w:highlight w:val="none"/>
                <w:lang w:eastAsia="zh-CN"/>
              </w:rPr>
              <w:t>风险</w:t>
            </w:r>
            <w:r>
              <w:rPr>
                <w:rFonts w:hint="eastAsia" w:ascii="宋体" w:hAnsi="宋体" w:eastAsia="宋体" w:cs="宋体"/>
                <w:b w:val="0"/>
                <w:bCs w:val="0"/>
                <w:color w:val="auto"/>
                <w:kern w:val="0"/>
                <w:sz w:val="24"/>
                <w:highlight w:val="none"/>
              </w:rPr>
              <w:t>物质数量及分布情况一览表</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67"/>
              <w:gridCol w:w="958"/>
              <w:gridCol w:w="1299"/>
              <w:gridCol w:w="1230"/>
              <w:gridCol w:w="1812"/>
              <w:gridCol w:w="1123"/>
              <w:gridCol w:w="1155"/>
            </w:tblGrid>
            <w:tr w14:paraId="135C9B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48" w:type="pct"/>
                  <w:vAlign w:val="center"/>
                </w:tcPr>
                <w:p w14:paraId="738E4D06">
                  <w:pPr>
                    <w:autoSpaceDE w:val="0"/>
                    <w:autoSpaceDN w:val="0"/>
                    <w:spacing w:line="276" w:lineRule="auto"/>
                    <w:jc w:val="center"/>
                    <w:rPr>
                      <w:rFonts w:ascii="Times New Roman" w:hAnsi="Times New Roman" w:eastAsia="宋体" w:cs="Times New Roman"/>
                      <w:b w:val="0"/>
                      <w:bCs w:val="0"/>
                      <w:color w:val="auto"/>
                      <w:kern w:val="0"/>
                      <w:szCs w:val="21"/>
                      <w:highlight w:val="none"/>
                    </w:rPr>
                  </w:pPr>
                  <w:r>
                    <w:rPr>
                      <w:rFonts w:ascii="Times New Roman" w:hAnsi="Times New Roman" w:eastAsia="宋体" w:cs="Times New Roman"/>
                      <w:b w:val="0"/>
                      <w:bCs w:val="0"/>
                      <w:color w:val="auto"/>
                      <w:kern w:val="0"/>
                      <w:szCs w:val="21"/>
                      <w:highlight w:val="none"/>
                    </w:rPr>
                    <w:t>序号</w:t>
                  </w:r>
                </w:p>
              </w:tc>
              <w:tc>
                <w:tcPr>
                  <w:tcW w:w="588" w:type="pct"/>
                  <w:vAlign w:val="center"/>
                </w:tcPr>
                <w:p w14:paraId="158AE98E">
                  <w:pPr>
                    <w:autoSpaceDE w:val="0"/>
                    <w:autoSpaceDN w:val="0"/>
                    <w:spacing w:line="276" w:lineRule="auto"/>
                    <w:jc w:val="center"/>
                    <w:rPr>
                      <w:rFonts w:ascii="Times New Roman" w:hAnsi="Times New Roman" w:eastAsia="宋体" w:cs="Times New Roman"/>
                      <w:b w:val="0"/>
                      <w:bCs w:val="0"/>
                      <w:color w:val="auto"/>
                      <w:kern w:val="0"/>
                      <w:szCs w:val="21"/>
                      <w:highlight w:val="none"/>
                    </w:rPr>
                  </w:pPr>
                  <w:r>
                    <w:rPr>
                      <w:rFonts w:ascii="Times New Roman" w:hAnsi="Times New Roman" w:eastAsia="宋体" w:cs="Times New Roman"/>
                      <w:b w:val="0"/>
                      <w:bCs w:val="0"/>
                      <w:color w:val="auto"/>
                      <w:kern w:val="0"/>
                      <w:szCs w:val="21"/>
                      <w:highlight w:val="none"/>
                    </w:rPr>
                    <w:t>风险物质</w:t>
                  </w:r>
                </w:p>
              </w:tc>
              <w:tc>
                <w:tcPr>
                  <w:tcW w:w="797" w:type="pct"/>
                  <w:vAlign w:val="center"/>
                </w:tcPr>
                <w:p w14:paraId="52367EB5">
                  <w:pPr>
                    <w:autoSpaceDE w:val="0"/>
                    <w:autoSpaceDN w:val="0"/>
                    <w:spacing w:line="276" w:lineRule="auto"/>
                    <w:jc w:val="center"/>
                    <w:rPr>
                      <w:rFonts w:ascii="Times New Roman" w:hAnsi="Times New Roman" w:eastAsia="宋体" w:cs="Times New Roman"/>
                      <w:b w:val="0"/>
                      <w:bCs w:val="0"/>
                      <w:color w:val="auto"/>
                      <w:kern w:val="0"/>
                      <w:szCs w:val="21"/>
                      <w:highlight w:val="none"/>
                    </w:rPr>
                  </w:pPr>
                  <w:r>
                    <w:rPr>
                      <w:rFonts w:hint="eastAsia" w:ascii="Times New Roman" w:hAnsi="Times New Roman" w:eastAsia="宋体" w:cs="Times New Roman"/>
                      <w:b w:val="0"/>
                      <w:bCs w:val="0"/>
                      <w:color w:val="auto"/>
                      <w:kern w:val="0"/>
                      <w:szCs w:val="21"/>
                      <w:highlight w:val="none"/>
                      <w:lang w:eastAsia="zh-CN"/>
                    </w:rPr>
                    <w:t>存在</w:t>
                  </w:r>
                  <w:r>
                    <w:rPr>
                      <w:rFonts w:ascii="Times New Roman" w:hAnsi="Times New Roman" w:eastAsia="宋体" w:cs="Times New Roman"/>
                      <w:b w:val="0"/>
                      <w:bCs w:val="0"/>
                      <w:color w:val="auto"/>
                      <w:kern w:val="0"/>
                      <w:szCs w:val="21"/>
                      <w:highlight w:val="none"/>
                    </w:rPr>
                    <w:t>位置</w:t>
                  </w:r>
                </w:p>
              </w:tc>
              <w:tc>
                <w:tcPr>
                  <w:tcW w:w="755" w:type="pct"/>
                  <w:vAlign w:val="center"/>
                </w:tcPr>
                <w:p w14:paraId="23D76F92">
                  <w:pPr>
                    <w:autoSpaceDE w:val="0"/>
                    <w:autoSpaceDN w:val="0"/>
                    <w:spacing w:line="276" w:lineRule="auto"/>
                    <w:jc w:val="center"/>
                    <w:rPr>
                      <w:rFonts w:ascii="Times New Roman" w:hAnsi="Times New Roman" w:eastAsia="宋体" w:cs="Times New Roman"/>
                      <w:b w:val="0"/>
                      <w:bCs w:val="0"/>
                      <w:color w:val="auto"/>
                      <w:kern w:val="0"/>
                      <w:szCs w:val="21"/>
                      <w:highlight w:val="none"/>
                    </w:rPr>
                  </w:pPr>
                  <w:r>
                    <w:rPr>
                      <w:rFonts w:ascii="Times New Roman" w:hAnsi="Times New Roman" w:eastAsia="宋体" w:cs="Times New Roman"/>
                      <w:b w:val="0"/>
                      <w:bCs w:val="0"/>
                      <w:color w:val="auto"/>
                      <w:kern w:val="0"/>
                      <w:szCs w:val="21"/>
                      <w:highlight w:val="none"/>
                    </w:rPr>
                    <w:t>主要成分</w:t>
                  </w:r>
                </w:p>
              </w:tc>
              <w:tc>
                <w:tcPr>
                  <w:tcW w:w="1112" w:type="pct"/>
                  <w:vAlign w:val="center"/>
                </w:tcPr>
                <w:p w14:paraId="0C4AE9D9">
                  <w:pPr>
                    <w:autoSpaceDE w:val="0"/>
                    <w:autoSpaceDN w:val="0"/>
                    <w:spacing w:line="276" w:lineRule="auto"/>
                    <w:jc w:val="center"/>
                    <w:rPr>
                      <w:rFonts w:hint="eastAsia" w:ascii="Times New Roman" w:hAnsi="Times New Roman" w:eastAsia="宋体" w:cs="Times New Roman"/>
                      <w:b w:val="0"/>
                      <w:bCs w:val="0"/>
                      <w:color w:val="auto"/>
                      <w:kern w:val="0"/>
                      <w:szCs w:val="21"/>
                      <w:highlight w:val="none"/>
                      <w:lang w:eastAsia="zh-CN"/>
                    </w:rPr>
                  </w:pPr>
                  <w:r>
                    <w:rPr>
                      <w:rFonts w:hint="eastAsia" w:ascii="Times New Roman" w:hAnsi="Times New Roman" w:eastAsia="宋体" w:cs="Times New Roman"/>
                      <w:b w:val="0"/>
                      <w:bCs w:val="0"/>
                      <w:color w:val="auto"/>
                      <w:kern w:val="0"/>
                      <w:szCs w:val="21"/>
                      <w:highlight w:val="none"/>
                      <w:lang w:eastAsia="zh-CN"/>
                    </w:rPr>
                    <w:t>在线量</w:t>
                  </w:r>
                </w:p>
              </w:tc>
              <w:tc>
                <w:tcPr>
                  <w:tcW w:w="689" w:type="pct"/>
                  <w:vAlign w:val="center"/>
                </w:tcPr>
                <w:p w14:paraId="2C0B65DC">
                  <w:pPr>
                    <w:autoSpaceDE w:val="0"/>
                    <w:autoSpaceDN w:val="0"/>
                    <w:spacing w:line="276" w:lineRule="auto"/>
                    <w:jc w:val="center"/>
                    <w:rPr>
                      <w:rFonts w:ascii="Times New Roman" w:hAnsi="Times New Roman" w:eastAsia="宋体" w:cs="Times New Roman"/>
                      <w:b w:val="0"/>
                      <w:bCs w:val="0"/>
                      <w:color w:val="auto"/>
                      <w:kern w:val="0"/>
                      <w:szCs w:val="21"/>
                      <w:highlight w:val="none"/>
                    </w:rPr>
                  </w:pPr>
                  <w:r>
                    <w:rPr>
                      <w:rFonts w:ascii="Times New Roman" w:hAnsi="Times New Roman" w:eastAsia="宋体" w:cs="Times New Roman"/>
                      <w:b w:val="0"/>
                      <w:bCs w:val="0"/>
                      <w:color w:val="auto"/>
                      <w:kern w:val="0"/>
                      <w:szCs w:val="21"/>
                      <w:highlight w:val="none"/>
                    </w:rPr>
                    <w:t>临界量（t）</w:t>
                  </w:r>
                </w:p>
              </w:tc>
              <w:tc>
                <w:tcPr>
                  <w:tcW w:w="708" w:type="pct"/>
                  <w:vAlign w:val="center"/>
                </w:tcPr>
                <w:p w14:paraId="41F02119">
                  <w:pPr>
                    <w:autoSpaceDE w:val="0"/>
                    <w:autoSpaceDN w:val="0"/>
                    <w:spacing w:line="276" w:lineRule="auto"/>
                    <w:jc w:val="center"/>
                    <w:rPr>
                      <w:rFonts w:ascii="Times New Roman" w:hAnsi="Times New Roman" w:eastAsia="宋体" w:cs="Times New Roman"/>
                      <w:b w:val="0"/>
                      <w:bCs w:val="0"/>
                      <w:color w:val="auto"/>
                      <w:kern w:val="0"/>
                      <w:szCs w:val="21"/>
                      <w:highlight w:val="none"/>
                    </w:rPr>
                  </w:pPr>
                  <w:r>
                    <w:rPr>
                      <w:rFonts w:ascii="Times New Roman" w:hAnsi="Times New Roman" w:eastAsia="宋体" w:cs="Times New Roman"/>
                      <w:b w:val="0"/>
                      <w:bCs w:val="0"/>
                      <w:color w:val="auto"/>
                      <w:kern w:val="0"/>
                      <w:szCs w:val="21"/>
                      <w:highlight w:val="none"/>
                    </w:rPr>
                    <w:t>Q值</w:t>
                  </w:r>
                </w:p>
              </w:tc>
            </w:tr>
            <w:tr w14:paraId="3FBDD5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348" w:type="pct"/>
                  <w:vAlign w:val="center"/>
                </w:tcPr>
                <w:p w14:paraId="128D5293">
                  <w:pPr>
                    <w:autoSpaceDE w:val="0"/>
                    <w:autoSpaceDN w:val="0"/>
                    <w:spacing w:line="276" w:lineRule="auto"/>
                    <w:jc w:val="center"/>
                    <w:rPr>
                      <w:rFonts w:ascii="Times New Roman" w:hAnsi="Times New Roman" w:eastAsia="宋体" w:cs="Times New Roman"/>
                      <w:b w:val="0"/>
                      <w:bCs w:val="0"/>
                      <w:color w:val="auto"/>
                      <w:kern w:val="0"/>
                      <w:szCs w:val="21"/>
                      <w:highlight w:val="none"/>
                    </w:rPr>
                  </w:pPr>
                  <w:r>
                    <w:rPr>
                      <w:rFonts w:ascii="Times New Roman" w:hAnsi="Times New Roman" w:eastAsia="宋体" w:cs="Times New Roman"/>
                      <w:b w:val="0"/>
                      <w:bCs w:val="0"/>
                      <w:color w:val="auto"/>
                      <w:kern w:val="0"/>
                      <w:szCs w:val="21"/>
                      <w:highlight w:val="none"/>
                    </w:rPr>
                    <w:t>1</w:t>
                  </w:r>
                </w:p>
              </w:tc>
              <w:tc>
                <w:tcPr>
                  <w:tcW w:w="588" w:type="pct"/>
                  <w:vAlign w:val="center"/>
                </w:tcPr>
                <w:p w14:paraId="5F0C6177">
                  <w:pPr>
                    <w:autoSpaceDE w:val="0"/>
                    <w:autoSpaceDN w:val="0"/>
                    <w:spacing w:line="276" w:lineRule="auto"/>
                    <w:jc w:val="center"/>
                    <w:rPr>
                      <w:rFonts w:hint="eastAsia" w:ascii="Times New Roman" w:hAnsi="Times New Roman" w:eastAsia="宋体" w:cs="Times New Roman"/>
                      <w:b w:val="0"/>
                      <w:bCs w:val="0"/>
                      <w:color w:val="auto"/>
                      <w:kern w:val="0"/>
                      <w:szCs w:val="21"/>
                      <w:highlight w:val="none"/>
                      <w:lang w:eastAsia="zh-CN"/>
                    </w:rPr>
                  </w:pPr>
                  <w:r>
                    <w:rPr>
                      <w:rFonts w:hint="eastAsia" w:ascii="Times New Roman" w:hAnsi="Times New Roman" w:eastAsia="宋体" w:cs="Times New Roman"/>
                      <w:b w:val="0"/>
                      <w:bCs w:val="0"/>
                      <w:color w:val="auto"/>
                      <w:kern w:val="0"/>
                      <w:szCs w:val="21"/>
                      <w:highlight w:val="none"/>
                      <w:lang w:eastAsia="zh-CN"/>
                    </w:rPr>
                    <w:t>煤层气（</w:t>
                  </w:r>
                  <w:r>
                    <w:rPr>
                      <w:rFonts w:hint="eastAsia" w:ascii="Times New Roman" w:hAnsi="Times New Roman" w:eastAsia="宋体" w:cs="Times New Roman"/>
                      <w:b w:val="0"/>
                      <w:bCs w:val="0"/>
                      <w:color w:val="auto"/>
                      <w:kern w:val="0"/>
                      <w:szCs w:val="21"/>
                      <w:highlight w:val="none"/>
                      <w:lang w:val="en-US" w:eastAsia="zh-CN"/>
                    </w:rPr>
                    <w:t>95%</w:t>
                  </w:r>
                  <w:r>
                    <w:rPr>
                      <w:rFonts w:hint="eastAsia" w:ascii="Times New Roman" w:hAnsi="Times New Roman" w:eastAsia="宋体" w:cs="Times New Roman"/>
                      <w:b w:val="0"/>
                      <w:bCs w:val="0"/>
                      <w:color w:val="auto"/>
                      <w:kern w:val="0"/>
                      <w:szCs w:val="21"/>
                      <w:highlight w:val="none"/>
                      <w:lang w:eastAsia="zh-CN"/>
                    </w:rPr>
                    <w:t>甲烷）</w:t>
                  </w:r>
                </w:p>
              </w:tc>
              <w:tc>
                <w:tcPr>
                  <w:tcW w:w="797" w:type="pct"/>
                  <w:vAlign w:val="center"/>
                </w:tcPr>
                <w:p w14:paraId="68E06572">
                  <w:pPr>
                    <w:autoSpaceDE w:val="0"/>
                    <w:autoSpaceDN w:val="0"/>
                    <w:spacing w:line="276" w:lineRule="auto"/>
                    <w:jc w:val="center"/>
                    <w:rPr>
                      <w:rFonts w:hint="eastAsia" w:ascii="Times New Roman" w:hAnsi="Times New Roman" w:eastAsia="宋体" w:cs="Times New Roman"/>
                      <w:b w:val="0"/>
                      <w:bCs w:val="0"/>
                      <w:color w:val="auto"/>
                      <w:kern w:val="0"/>
                      <w:szCs w:val="21"/>
                      <w:highlight w:val="none"/>
                      <w:lang w:eastAsia="zh-CN"/>
                    </w:rPr>
                  </w:pPr>
                  <w:r>
                    <w:rPr>
                      <w:rFonts w:hint="eastAsia" w:ascii="Times New Roman" w:hAnsi="Times New Roman" w:eastAsia="宋体" w:cs="Times New Roman"/>
                      <w:b w:val="0"/>
                      <w:bCs w:val="0"/>
                      <w:color w:val="auto"/>
                      <w:kern w:val="0"/>
                      <w:szCs w:val="21"/>
                      <w:highlight w:val="none"/>
                      <w:lang w:eastAsia="zh-CN"/>
                    </w:rPr>
                    <w:t>输气管线</w:t>
                  </w:r>
                </w:p>
              </w:tc>
              <w:tc>
                <w:tcPr>
                  <w:tcW w:w="755" w:type="pct"/>
                  <w:vAlign w:val="center"/>
                </w:tcPr>
                <w:p w14:paraId="0E2B09D1">
                  <w:pPr>
                    <w:autoSpaceDE w:val="0"/>
                    <w:autoSpaceDN w:val="0"/>
                    <w:spacing w:line="276" w:lineRule="auto"/>
                    <w:jc w:val="center"/>
                    <w:rPr>
                      <w:rFonts w:hint="eastAsia" w:ascii="Times New Roman" w:hAnsi="Times New Roman" w:eastAsia="宋体" w:cs="Times New Roman"/>
                      <w:b w:val="0"/>
                      <w:bCs w:val="0"/>
                      <w:color w:val="auto"/>
                      <w:kern w:val="0"/>
                      <w:szCs w:val="21"/>
                      <w:highlight w:val="none"/>
                      <w:lang w:eastAsia="zh-CN"/>
                    </w:rPr>
                  </w:pPr>
                  <w:r>
                    <w:rPr>
                      <w:rFonts w:hint="eastAsia" w:ascii="Times New Roman" w:hAnsi="Times New Roman" w:eastAsia="宋体" w:cs="Times New Roman"/>
                      <w:b w:val="0"/>
                      <w:bCs w:val="0"/>
                      <w:color w:val="auto"/>
                      <w:kern w:val="0"/>
                      <w:szCs w:val="21"/>
                      <w:highlight w:val="none"/>
                      <w:lang w:eastAsia="zh-CN"/>
                    </w:rPr>
                    <w:t>甲烷</w:t>
                  </w:r>
                </w:p>
              </w:tc>
              <w:tc>
                <w:tcPr>
                  <w:tcW w:w="1112" w:type="pct"/>
                  <w:vAlign w:val="center"/>
                </w:tcPr>
                <w:p w14:paraId="5DED744F">
                  <w:pPr>
                    <w:autoSpaceDE w:val="0"/>
                    <w:autoSpaceDN w:val="0"/>
                    <w:spacing w:line="276" w:lineRule="auto"/>
                    <w:jc w:val="center"/>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14.14kg</w:t>
                  </w:r>
                </w:p>
              </w:tc>
              <w:tc>
                <w:tcPr>
                  <w:tcW w:w="689" w:type="pct"/>
                  <w:vAlign w:val="center"/>
                </w:tcPr>
                <w:p w14:paraId="408AEAAF">
                  <w:pPr>
                    <w:autoSpaceDE w:val="0"/>
                    <w:autoSpaceDN w:val="0"/>
                    <w:spacing w:line="276" w:lineRule="auto"/>
                    <w:jc w:val="center"/>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10</w:t>
                  </w:r>
                </w:p>
              </w:tc>
              <w:tc>
                <w:tcPr>
                  <w:tcW w:w="708" w:type="pct"/>
                  <w:vAlign w:val="center"/>
                </w:tcPr>
                <w:p w14:paraId="34479DAB">
                  <w:pPr>
                    <w:autoSpaceDE w:val="0"/>
                    <w:autoSpaceDN w:val="0"/>
                    <w:spacing w:line="276" w:lineRule="auto"/>
                    <w:jc w:val="center"/>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0.0014</w:t>
                  </w:r>
                </w:p>
              </w:tc>
            </w:tr>
          </w:tbl>
          <w:p w14:paraId="00E09825">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备注：甲烷密度为0.717g/l.</w:t>
            </w:r>
          </w:p>
          <w:p w14:paraId="3F5E1A94">
            <w:pPr>
              <w:spacing w:line="360" w:lineRule="auto"/>
              <w:ind w:firstLine="480" w:firstLineChars="200"/>
              <w:rPr>
                <w:rFonts w:hint="eastAsia" w:ascii="Times New Roman" w:hAnsi="Times New Roman" w:eastAsia="宋体" w:cs="Times New Roman"/>
                <w:caps/>
                <w:color w:val="000000" w:themeColor="text1"/>
                <w:sz w:val="24"/>
                <w:szCs w:val="24"/>
                <w:lang w:eastAsia="zh-CN"/>
                <w14:textFill>
                  <w14:solidFill>
                    <w14:schemeClr w14:val="tx1"/>
                  </w14:solidFill>
                </w14:textFill>
              </w:rPr>
            </w:pPr>
            <w:r>
              <w:rPr>
                <w:rFonts w:ascii="Times New Roman" w:hAnsi="Times New Roman" w:eastAsia="宋体" w:cs="Times New Roman"/>
                <w:color w:val="auto"/>
                <w:sz w:val="24"/>
                <w:szCs w:val="24"/>
              </w:rPr>
              <w:t>根据以上分析，本项目</w:t>
            </w:r>
            <w:r>
              <w:rPr>
                <w:rFonts w:hint="eastAsia" w:ascii="Times New Roman" w:hAnsi="Times New Roman" w:eastAsia="宋体" w:cs="Times New Roman"/>
                <w:color w:val="auto"/>
                <w:sz w:val="24"/>
                <w:szCs w:val="24"/>
                <w:lang w:eastAsia="zh-CN"/>
              </w:rPr>
              <w:t>环境风险物质在线量很小，</w:t>
            </w:r>
            <w:r>
              <w:rPr>
                <w:rFonts w:ascii="Times New Roman" w:hAnsi="Times New Roman" w:eastAsia="宋体" w:cs="Times New Roman"/>
                <w:color w:val="auto"/>
                <w:sz w:val="24"/>
                <w:szCs w:val="24"/>
              </w:rPr>
              <w:t>依据《建设项目环境风险评价导则》（HJ/T169-2018）中的要求，本项目仅展开简单分析</w:t>
            </w:r>
            <w:r>
              <w:rPr>
                <w:rFonts w:hint="eastAsia" w:ascii="Times New Roman" w:hAnsi="Times New Roman" w:eastAsia="宋体" w:cs="Times New Roman"/>
                <w:color w:val="auto"/>
                <w:sz w:val="24"/>
                <w:szCs w:val="24"/>
                <w:lang w:eastAsia="zh-CN"/>
              </w:rPr>
              <w:t>。</w:t>
            </w:r>
          </w:p>
          <w:p w14:paraId="37F30820">
            <w:pPr>
              <w:spacing w:line="360" w:lineRule="auto"/>
              <w:ind w:firstLine="480" w:firstLineChars="200"/>
              <w:rPr>
                <w:rFonts w:hint="default" w:ascii="Times New Roman" w:hAnsi="Times New Roman" w:cs="Times New Roman"/>
                <w:color w:val="auto"/>
                <w:sz w:val="24"/>
                <w:lang w:val="en-US" w:eastAsia="zh-CN"/>
              </w:rPr>
            </w:pPr>
            <w:r>
              <w:rPr>
                <w:rFonts w:hint="eastAsia"/>
                <w:color w:val="auto"/>
                <w:sz w:val="24"/>
                <w:lang w:eastAsia="zh-CN"/>
              </w:rPr>
              <w:t>本项目存在的环境风险为排采施工时瓦斯输送管线因质量原因或者人为原因导致煤层</w:t>
            </w:r>
            <w:r>
              <w:rPr>
                <w:rFonts w:hint="default" w:ascii="Times New Roman" w:hAnsi="Times New Roman" w:cs="Times New Roman"/>
                <w:color w:val="auto"/>
                <w:sz w:val="24"/>
                <w:lang w:eastAsia="zh-CN"/>
              </w:rPr>
              <w:t>气泄漏，泄漏煤层气若遇明火引发火灾污染事件。排采瓦斯输送管线仅有井场内部</w:t>
            </w:r>
            <w:r>
              <w:rPr>
                <w:rFonts w:hint="default" w:ascii="Times New Roman" w:hAnsi="Times New Roman" w:cs="Times New Roman"/>
                <w:color w:val="auto"/>
                <w:sz w:val="24"/>
                <w:lang w:val="en-US" w:eastAsia="zh-CN"/>
              </w:rPr>
              <w:t>120米管线为架空布置，其实均为埋地敷设（</w:t>
            </w:r>
            <w:r>
              <w:rPr>
                <w:rFonts w:hint="default" w:ascii="Times New Roman" w:hAnsi="Times New Roman" w:cs="Times New Roman"/>
                <w:color w:val="auto"/>
                <w:sz w:val="24"/>
                <w:lang w:eastAsia="zh-CN"/>
              </w:rPr>
              <w:t>管道埋深不小于0.8m</w:t>
            </w:r>
            <w:r>
              <w:rPr>
                <w:rFonts w:hint="default" w:ascii="Times New Roman" w:hAnsi="Times New Roman" w:cs="Times New Roman"/>
                <w:color w:val="auto"/>
                <w:sz w:val="24"/>
                <w:lang w:val="en-US" w:eastAsia="zh-CN"/>
              </w:rPr>
              <w:t>），项目施工采用正规厂家生产的合格管线，按照规范要求进行安装，并采取以下风险防范措施：</w:t>
            </w:r>
          </w:p>
          <w:p w14:paraId="312BFE2A">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(1)管道风险防范措施</w:t>
            </w:r>
          </w:p>
          <w:p w14:paraId="12FDFD2D">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①前期管线路由选线原则</w:t>
            </w:r>
          </w:p>
          <w:p w14:paraId="1B4C725B">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选择线路走向时，尽可能避开居民区以及复杂地质段，以减少由于不良地质造成管道泄漏事故，以及煤层气泄漏引起的火灾、爆炸事故对居民危害:当避开有困难时，应选择合适的位置和方式通过，在地震动峰值加速度等于或大于0.1g的地区，管道宜从断层位移较小和较窄的地区通过，并应采取必要的工程措施。</w:t>
            </w:r>
          </w:p>
          <w:p w14:paraId="07ADCF2A">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②设计中体现的防范风险措施</w:t>
            </w:r>
          </w:p>
          <w:p w14:paraId="61518780">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对管道沿线人口密集、房屋距管线较近、由于地形地质等原因导致管线与其它基础设施距离达不到规范要求的地段，提高设计系数，增加管线壁厚，以及其它保护管道的措施，以增强管道抵抗外部可能造成破坏的能力。</w:t>
            </w:r>
          </w:p>
          <w:p w14:paraId="6EC4C45E">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(2)输气井场风险防范措施</w:t>
            </w:r>
          </w:p>
          <w:p w14:paraId="33675FDB">
            <w:pPr>
              <w:spacing w:line="360" w:lineRule="auto"/>
              <w:ind w:firstLine="480" w:firstLineChars="200"/>
              <w:rPr>
                <w:rFonts w:hint="eastAsia"/>
                <w:color w:val="auto"/>
                <w:sz w:val="24"/>
                <w:lang w:val="en-US" w:eastAsia="zh-CN"/>
              </w:rPr>
            </w:pPr>
            <w:r>
              <w:rPr>
                <w:rFonts w:hint="default" w:ascii="Times New Roman" w:hAnsi="Times New Roman" w:cs="Times New Roman"/>
                <w:color w:val="auto"/>
                <w:sz w:val="24"/>
                <w:lang w:val="en-US" w:eastAsia="zh-CN"/>
              </w:rPr>
              <w:t>①输气井场严格按防火规范布置</w:t>
            </w:r>
            <w:r>
              <w:rPr>
                <w:rFonts w:hint="eastAsia"/>
                <w:color w:val="auto"/>
                <w:sz w:val="24"/>
                <w:lang w:val="en-US" w:eastAsia="zh-CN"/>
              </w:rPr>
              <w:t>平面，并场内的电气设备及仪表按防爆等级不同选用不同的设备:</w:t>
            </w:r>
          </w:p>
          <w:p w14:paraId="29A8ADC2">
            <w:pPr>
              <w:spacing w:line="360" w:lineRule="auto"/>
              <w:ind w:firstLine="480" w:firstLineChars="200"/>
              <w:rPr>
                <w:rFonts w:hint="eastAsia"/>
                <w:color w:val="auto"/>
                <w:sz w:val="24"/>
                <w:lang w:val="en-US" w:eastAsia="zh-CN"/>
              </w:rPr>
            </w:pPr>
            <w:r>
              <w:rPr>
                <w:rFonts w:hint="eastAsia"/>
                <w:color w:val="auto"/>
                <w:sz w:val="24"/>
                <w:lang w:val="en-US" w:eastAsia="zh-CN"/>
              </w:rPr>
              <w:t>②站内所有设备、管线均应做防雷、防静电接地:</w:t>
            </w:r>
          </w:p>
          <w:p w14:paraId="0BE2D362">
            <w:pPr>
              <w:spacing w:line="360" w:lineRule="auto"/>
              <w:ind w:firstLine="480" w:firstLineChars="200"/>
              <w:rPr>
                <w:rFonts w:hint="eastAsia"/>
                <w:color w:val="auto"/>
                <w:sz w:val="24"/>
                <w:lang w:val="en-US" w:eastAsia="zh-CN"/>
              </w:rPr>
            </w:pPr>
            <w:r>
              <w:rPr>
                <w:rFonts w:hint="eastAsia"/>
                <w:color w:val="auto"/>
                <w:sz w:val="24"/>
                <w:lang w:val="en-US" w:eastAsia="zh-CN"/>
              </w:rPr>
              <w:t>③安装火灾设备检测仪表、消防自控设施:</w:t>
            </w:r>
          </w:p>
          <w:p w14:paraId="459BA7AF">
            <w:pPr>
              <w:spacing w:line="360" w:lineRule="auto"/>
              <w:ind w:firstLine="480" w:firstLineChars="200"/>
              <w:rPr>
                <w:rFonts w:hint="eastAsia"/>
                <w:color w:val="auto"/>
                <w:sz w:val="24"/>
                <w:lang w:val="en-US" w:eastAsia="zh-CN"/>
              </w:rPr>
            </w:pPr>
            <w:r>
              <w:rPr>
                <w:rFonts w:hint="eastAsia"/>
                <w:color w:val="auto"/>
                <w:sz w:val="24"/>
                <w:lang w:val="en-US" w:eastAsia="zh-CN"/>
              </w:rPr>
              <w:t>④在可能发生煤层气泄漏或积聚的场所按照《石油化工企业可燃气体和有毒气体检测报警设计规范》(SH3063)的要求在工艺装置区等可能泄漏可燃气体的场所设置可燃气体探测器，采用固定式且相对独立的可燃气体报警系统对可燃气体进行连续检测、指示、报警，并对报警进行纪录，同时将报警信息由可燃气体报警器传送给 SIS 系统PLC，再经 SIS 系统 PLC 传送至调控中心:在各站配有便携式可燃气体检测仪。</w:t>
            </w:r>
          </w:p>
          <w:p w14:paraId="3959D297">
            <w:pPr>
              <w:spacing w:line="360" w:lineRule="auto"/>
              <w:ind w:firstLine="480" w:firstLineChars="200"/>
              <w:rPr>
                <w:rFonts w:hint="eastAsia"/>
                <w:color w:val="auto"/>
                <w:sz w:val="24"/>
                <w:lang w:val="en-US" w:eastAsia="zh-CN"/>
              </w:rPr>
            </w:pPr>
            <w:r>
              <w:rPr>
                <w:rFonts w:hint="eastAsia"/>
                <w:color w:val="auto"/>
                <w:sz w:val="24"/>
                <w:lang w:val="en-US" w:eastAsia="zh-CN"/>
              </w:rPr>
              <w:t>⑤为减少事故状态下煤层气的损失和保护井场安全，在出站管道上设置紧急切断阀(ESD)，紧急切断阀由气液联动执行机构驱动，并场或管道发生事故时，可关闭紧急切断阀。切断井场与下游管道的联系。</w:t>
            </w:r>
          </w:p>
          <w:p w14:paraId="2727E2C1">
            <w:pPr>
              <w:spacing w:line="360" w:lineRule="auto"/>
              <w:ind w:firstLine="480" w:firstLineChars="200"/>
              <w:rPr>
                <w:rFonts w:hint="eastAsia"/>
                <w:color w:val="auto"/>
                <w:sz w:val="24"/>
                <w:lang w:val="en-US" w:eastAsia="zh-CN"/>
              </w:rPr>
            </w:pPr>
            <w:r>
              <w:rPr>
                <w:rFonts w:hint="eastAsia"/>
                <w:color w:val="auto"/>
                <w:sz w:val="24"/>
                <w:lang w:val="en-US" w:eastAsia="zh-CN"/>
              </w:rPr>
              <w:t>⑥采用了半自动不停气清管、自动关闭截断阀组等先进工艺及设备。</w:t>
            </w:r>
          </w:p>
          <w:p w14:paraId="2A423217">
            <w:pPr>
              <w:spacing w:line="360" w:lineRule="auto"/>
              <w:ind w:firstLine="480" w:firstLineChars="200"/>
              <w:rPr>
                <w:rFonts w:hint="eastAsia"/>
                <w:color w:val="auto"/>
                <w:sz w:val="24"/>
                <w:lang w:val="en-US" w:eastAsia="zh-CN"/>
              </w:rPr>
            </w:pPr>
            <w:r>
              <w:rPr>
                <w:rFonts w:hint="eastAsia"/>
                <w:color w:val="auto"/>
                <w:sz w:val="24"/>
                <w:lang w:val="en-US" w:eastAsia="zh-CN"/>
              </w:rPr>
              <w:t>⑦为减轻输气管线腐蚀，外部采取环氧粉末涂层防腐结构，外加电流阴极保护。</w:t>
            </w:r>
          </w:p>
          <w:p w14:paraId="4C2110CC">
            <w:pPr>
              <w:spacing w:line="360" w:lineRule="auto"/>
              <w:ind w:firstLine="480" w:firstLineChars="200"/>
              <w:rPr>
                <w:rFonts w:hint="eastAsia"/>
                <w:color w:val="auto"/>
                <w:sz w:val="24"/>
                <w:lang w:val="en-US" w:eastAsia="zh-CN"/>
              </w:rPr>
            </w:pPr>
            <w:r>
              <w:rPr>
                <w:rFonts w:hint="eastAsia"/>
                <w:color w:val="auto"/>
                <w:sz w:val="24"/>
                <w:lang w:val="en-US" w:eastAsia="zh-CN"/>
              </w:rPr>
              <w:t>⑧井场内设有安全泄放系统，当系统出现超压时，通过设在系统中的安全阀或手动放空阀，自动或手动放空。</w:t>
            </w:r>
          </w:p>
          <w:p w14:paraId="21AA48E4">
            <w:pPr>
              <w:widowControl/>
              <w:adjustRightInd w:val="0"/>
              <w:snapToGrid w:val="0"/>
              <w:spacing w:line="360" w:lineRule="auto"/>
              <w:ind w:firstLine="480" w:firstLineChars="200"/>
              <w:jc w:val="left"/>
              <w:rPr>
                <w:rFonts w:ascii="Times New Roman" w:hAnsi="Times New Roman" w:eastAsia="宋体" w:cs="Times New Roman"/>
                <w:color w:val="auto"/>
                <w:kern w:val="0"/>
                <w:sz w:val="24"/>
                <w:szCs w:val="24"/>
                <w:lang w:val="sq-AL"/>
              </w:rPr>
            </w:pPr>
            <w:r>
              <w:rPr>
                <w:rFonts w:hint="eastAsia"/>
                <w:color w:val="auto"/>
                <w:sz w:val="24"/>
                <w:lang w:val="en-US" w:eastAsia="zh-CN"/>
              </w:rPr>
              <w:t>本项目采取以上风险防范措施后发生煤层气泄漏的可能性很小，项目环境风险可接受。</w:t>
            </w:r>
          </w:p>
        </w:tc>
      </w:tr>
      <w:tr w14:paraId="0A908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8" w:hRule="atLeast"/>
          <w:jc w:val="center"/>
        </w:trPr>
        <w:tc>
          <w:tcPr>
            <w:tcW w:w="879" w:type="dxa"/>
            <w:tcMar>
              <w:left w:w="28" w:type="dxa"/>
              <w:right w:w="28" w:type="dxa"/>
            </w:tcMar>
            <w:vAlign w:val="center"/>
          </w:tcPr>
          <w:p w14:paraId="162A56BC">
            <w:pPr>
              <w:widowControl/>
              <w:jc w:val="center"/>
              <w:rPr>
                <w:rFonts w:ascii="宋体" w:hAnsi="宋体" w:eastAsia="宋体" w:cs="宋体"/>
                <w:bCs/>
                <w:color w:val="auto"/>
                <w:sz w:val="24"/>
                <w:szCs w:val="24"/>
              </w:rPr>
            </w:pPr>
            <w:r>
              <w:rPr>
                <w:rFonts w:hint="eastAsia" w:ascii="宋体" w:hAnsi="宋体" w:eastAsia="宋体" w:cs="宋体"/>
                <w:bCs/>
                <w:color w:val="auto"/>
                <w:spacing w:val="10"/>
                <w:sz w:val="24"/>
                <w:szCs w:val="24"/>
              </w:rPr>
              <w:t>运营期生态环境影响分析</w:t>
            </w:r>
          </w:p>
        </w:tc>
        <w:tc>
          <w:tcPr>
            <w:tcW w:w="8363" w:type="dxa"/>
          </w:tcPr>
          <w:p w14:paraId="5AE4E63B">
            <w:pPr>
              <w:spacing w:line="360" w:lineRule="auto"/>
              <w:ind w:firstLine="480" w:firstLineChars="200"/>
              <w:jc w:val="left"/>
              <w:rPr>
                <w:rFonts w:ascii="Calibri" w:hAnsi="Calibri" w:eastAsia="宋体" w:cs="Times New Roman"/>
                <w:bCs/>
                <w:color w:val="auto"/>
                <w:kern w:val="0"/>
                <w:sz w:val="24"/>
                <w:szCs w:val="20"/>
                <w:lang w:val="sq-AL"/>
              </w:rPr>
            </w:pPr>
            <w:r>
              <w:rPr>
                <w:rFonts w:ascii="Times New Roman" w:hAnsi="Times New Roman" w:eastAsia="宋体" w:cs="Times New Roman"/>
                <w:color w:val="auto"/>
                <w:kern w:val="0"/>
                <w:sz w:val="24"/>
                <w:szCs w:val="24"/>
                <w:lang w:val="sq-AL"/>
              </w:rPr>
              <w:t>本项目</w:t>
            </w:r>
            <w:r>
              <w:rPr>
                <w:rFonts w:ascii="Calibri" w:hAnsi="Calibri" w:eastAsia="宋体" w:cs="Times New Roman"/>
                <w:bCs/>
                <w:color w:val="auto"/>
                <w:kern w:val="0"/>
                <w:sz w:val="24"/>
                <w:szCs w:val="20"/>
                <w:lang w:val="sq-AL"/>
              </w:rPr>
              <w:t>工程实施仅</w:t>
            </w:r>
            <w:r>
              <w:rPr>
                <w:rFonts w:hint="eastAsia" w:ascii="Calibri" w:hAnsi="Calibri" w:eastAsia="宋体" w:cs="Times New Roman"/>
                <w:bCs/>
                <w:color w:val="auto"/>
                <w:kern w:val="0"/>
                <w:sz w:val="24"/>
                <w:szCs w:val="20"/>
                <w:lang w:val="sq-AL"/>
              </w:rPr>
              <w:t>涉及</w:t>
            </w:r>
            <w:r>
              <w:rPr>
                <w:rFonts w:ascii="Calibri" w:hAnsi="Calibri" w:eastAsia="宋体" w:cs="Times New Roman"/>
                <w:bCs/>
                <w:color w:val="auto"/>
                <w:kern w:val="0"/>
                <w:sz w:val="24"/>
                <w:szCs w:val="20"/>
                <w:lang w:val="sq-AL"/>
              </w:rPr>
              <w:t>施工期，</w:t>
            </w:r>
            <w:r>
              <w:rPr>
                <w:rFonts w:hint="eastAsia" w:ascii="Calibri" w:hAnsi="Calibri" w:eastAsia="宋体" w:cs="Times New Roman"/>
                <w:bCs/>
                <w:color w:val="auto"/>
                <w:kern w:val="0"/>
                <w:sz w:val="24"/>
                <w:szCs w:val="20"/>
                <w:lang w:val="sq-AL"/>
              </w:rPr>
              <w:t>不涉及运营期，</w:t>
            </w:r>
            <w:r>
              <w:rPr>
                <w:rFonts w:ascii="Calibri" w:hAnsi="Calibri" w:eastAsia="宋体" w:cs="Times New Roman"/>
                <w:bCs/>
                <w:color w:val="auto"/>
                <w:kern w:val="0"/>
                <w:sz w:val="24"/>
                <w:szCs w:val="20"/>
                <w:lang w:val="sq-AL"/>
              </w:rPr>
              <w:t>因此，本次评价不对运营期进行分析。</w:t>
            </w:r>
          </w:p>
        </w:tc>
      </w:tr>
      <w:tr w14:paraId="389CF8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879" w:type="dxa"/>
            <w:vAlign w:val="center"/>
          </w:tcPr>
          <w:p w14:paraId="6EFE0262">
            <w:pPr>
              <w:widowControl/>
              <w:jc w:val="center"/>
              <w:rPr>
                <w:rFonts w:ascii="宋体" w:hAnsi="宋体" w:eastAsia="宋体" w:cs="宋体"/>
                <w:bCs/>
                <w:color w:val="auto"/>
                <w:sz w:val="24"/>
                <w:szCs w:val="24"/>
              </w:rPr>
            </w:pPr>
            <w:r>
              <w:rPr>
                <w:rFonts w:hint="eastAsia" w:ascii="宋体" w:hAnsi="宋体" w:eastAsia="宋体" w:cs="宋体"/>
                <w:bCs/>
                <w:color w:val="auto"/>
                <w:sz w:val="24"/>
                <w:szCs w:val="24"/>
              </w:rPr>
              <w:t>选址选线环境合理性分析</w:t>
            </w:r>
          </w:p>
        </w:tc>
        <w:tc>
          <w:tcPr>
            <w:tcW w:w="8363" w:type="dxa"/>
          </w:tcPr>
          <w:p w14:paraId="2D1FAB3E">
            <w:pPr>
              <w:keepNext w:val="0"/>
              <w:keepLines w:val="0"/>
              <w:widowControl/>
              <w:suppressLineNumbers w:val="0"/>
              <w:spacing w:line="360" w:lineRule="auto"/>
              <w:ind w:firstLine="480" w:firstLineChars="200"/>
              <w:jc w:val="left"/>
              <w:rPr>
                <w:rFonts w:ascii="Times New Roman" w:hAnsi="Times New Roman" w:eastAsia="宋体" w:cs="Times New Roman"/>
                <w:color w:val="000000" w:themeColor="text1"/>
                <w:kern w:val="21"/>
                <w:sz w:val="24"/>
                <w:szCs w:val="24"/>
                <w:highlight w:val="none"/>
                <w14:textFill>
                  <w14:solidFill>
                    <w14:schemeClr w14:val="tx1"/>
                  </w14:solidFill>
                </w14:textFill>
              </w:rPr>
            </w:pPr>
            <w:r>
              <w:rPr>
                <w:rFonts w:hint="eastAsia" w:ascii="Times New Roman" w:hAnsi="Times New Roman" w:eastAsia="宋体" w:cs="Times New Roman"/>
                <w:color w:val="auto"/>
                <w:sz w:val="24"/>
                <w:szCs w:val="24"/>
                <w:highlight w:val="none"/>
                <w:lang w:val="en-US" w:eastAsia="zh-CN"/>
              </w:rPr>
              <w:t>本项目选址位</w:t>
            </w:r>
            <w:r>
              <w:rPr>
                <w:rFonts w:hint="eastAsia" w:ascii="Times New Roman" w:hAnsi="Times New Roman" w:eastAsia="宋体" w:cs="Times New Roman"/>
                <w:color w:val="auto"/>
                <w:kern w:val="0"/>
                <w:sz w:val="24"/>
                <w:szCs w:val="24"/>
                <w:highlight w:val="none"/>
                <w:lang w:val="en-US" w:eastAsia="zh-CN" w:bidi="ar-SA"/>
              </w:rPr>
              <w:t>于安徽省淮南市潘集区夹沟镇</w:t>
            </w:r>
            <w:r>
              <w:rPr>
                <w:rFonts w:hint="eastAsia" w:ascii="Times New Roman" w:hAnsi="宋体" w:eastAsia="宋体" w:cs="Times New Roman"/>
                <w:color w:val="000000"/>
                <w:sz w:val="24"/>
                <w:szCs w:val="24"/>
                <w:lang w:eastAsia="zh-CN"/>
              </w:rPr>
              <w:t>新集村，</w:t>
            </w:r>
            <w:r>
              <w:rPr>
                <w:rFonts w:ascii="Times New Roman" w:hAnsi="Times New Roman" w:eastAsia="宋体" w:cs="Times New Roman"/>
                <w:color w:val="000000" w:themeColor="text1"/>
                <w:kern w:val="21"/>
                <w:sz w:val="24"/>
                <w:szCs w:val="24"/>
                <w14:textFill>
                  <w14:solidFill>
                    <w14:schemeClr w14:val="tx1"/>
                  </w14:solidFill>
                </w14:textFill>
              </w:rPr>
              <w:t>项目</w:t>
            </w:r>
            <w:r>
              <w:rPr>
                <w:rFonts w:ascii="Times New Roman" w:hAnsi="Times New Roman" w:eastAsia="宋体" w:cs="Times New Roman"/>
                <w:color w:val="000000" w:themeColor="text1"/>
                <w:kern w:val="21"/>
                <w:sz w:val="24"/>
                <w:szCs w:val="24"/>
                <w:highlight w:val="none"/>
                <w14:textFill>
                  <w14:solidFill>
                    <w14:schemeClr w14:val="tx1"/>
                  </w14:solidFill>
                </w14:textFill>
              </w:rPr>
              <w:t>临时用地面积为</w:t>
            </w:r>
            <w:r>
              <w:rPr>
                <w:rFonts w:hint="eastAsia" w:ascii="Times New Roman" w:hAnsi="宋体" w:eastAsia="宋体" w:cs="Times New Roman"/>
                <w:color w:val="000000" w:themeColor="text1"/>
                <w:sz w:val="24"/>
                <w:szCs w:val="24"/>
                <w:highlight w:val="none"/>
                <w:lang w:val="en-US" w:eastAsia="zh-CN"/>
                <w14:textFill>
                  <w14:solidFill>
                    <w14:schemeClr w14:val="tx1"/>
                  </w14:solidFill>
                </w14:textFill>
              </w:rPr>
              <w:t>8265m</w:t>
            </w:r>
            <w:r>
              <w:rPr>
                <w:rFonts w:hint="eastAsia" w:ascii="Times New Roman" w:hAnsi="宋体" w:eastAsia="宋体" w:cs="Times New Roman"/>
                <w:color w:val="000000" w:themeColor="text1"/>
                <w:sz w:val="24"/>
                <w:szCs w:val="24"/>
                <w:highlight w:val="none"/>
                <w:vertAlign w:val="superscript"/>
                <w:lang w:val="en-US" w:eastAsia="zh-CN"/>
                <w14:textFill>
                  <w14:solidFill>
                    <w14:schemeClr w14:val="tx1"/>
                  </w14:solidFill>
                </w14:textFill>
              </w:rPr>
              <w:t>2</w:t>
            </w:r>
            <w:r>
              <w:rPr>
                <w:rFonts w:ascii="Times New Roman" w:hAnsi="Times New Roman" w:eastAsia="宋体" w:cs="Times New Roman"/>
                <w:color w:val="000000" w:themeColor="text1"/>
                <w:kern w:val="21"/>
                <w:sz w:val="24"/>
                <w:szCs w:val="24"/>
                <w:highlight w:val="none"/>
                <w14:textFill>
                  <w14:solidFill>
                    <w14:schemeClr w14:val="tx1"/>
                  </w14:solidFill>
                </w14:textFill>
              </w:rPr>
              <w:t>，</w:t>
            </w:r>
            <w:r>
              <w:rPr>
                <w:rFonts w:hint="eastAsia" w:ascii="Times New Roman" w:hAnsi="宋体" w:eastAsia="宋体" w:cs="Times New Roman"/>
                <w:color w:val="000000" w:themeColor="text1"/>
                <w:sz w:val="24"/>
                <w:szCs w:val="24"/>
                <w:lang w:val="en-US" w:eastAsia="zh-CN"/>
                <w14:textFill>
                  <w14:solidFill>
                    <w14:schemeClr w14:val="tx1"/>
                  </w14:solidFill>
                </w14:textFill>
              </w:rPr>
              <w:t>全部为</w:t>
            </w:r>
            <w:r>
              <w:rPr>
                <w:rFonts w:hint="eastAsia" w:ascii="Times New Roman" w:hAnsi="宋体" w:eastAsia="宋体" w:cs="Times New Roman"/>
                <w:color w:val="000000"/>
                <w:sz w:val="24"/>
                <w:szCs w:val="24"/>
                <w:lang w:eastAsia="zh-CN"/>
              </w:rPr>
              <w:t>新集村</w:t>
            </w:r>
            <w:r>
              <w:rPr>
                <w:rFonts w:hint="eastAsia" w:ascii="Times New Roman" w:hAnsi="宋体" w:eastAsia="宋体" w:cs="Times New Roman"/>
                <w:color w:val="000000" w:themeColor="text1"/>
                <w:sz w:val="24"/>
                <w:szCs w:val="24"/>
                <w:lang w:val="en-US" w:eastAsia="zh-CN"/>
                <w14:textFill>
                  <w14:solidFill>
                    <w14:schemeClr w14:val="tx1"/>
                  </w14:solidFill>
                </w14:textFill>
              </w:rPr>
              <w:t>集体土地农用地，其中占用</w:t>
            </w:r>
            <w:r>
              <w:rPr>
                <w:rFonts w:hint="eastAsia" w:ascii="Times New Roman" w:hAnsi="Times New Roman" w:eastAsia="宋体" w:cs="Times New Roman"/>
                <w:color w:val="000000" w:themeColor="text1"/>
                <w:kern w:val="21"/>
                <w:sz w:val="24"/>
                <w:szCs w:val="24"/>
                <w:highlight w:val="none"/>
                <w14:textFill>
                  <w14:solidFill>
                    <w14:schemeClr w14:val="tx1"/>
                  </w14:solidFill>
                </w14:textFill>
              </w:rPr>
              <w:t>已划定永久基本农田</w:t>
            </w:r>
            <w:r>
              <w:rPr>
                <w:rFonts w:hint="eastAsia"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8252</w:t>
            </w:r>
            <w:r>
              <w:rPr>
                <w:rFonts w:hint="eastAsia" w:ascii="Times New Roman" w:hAnsi="宋体" w:eastAsia="宋体" w:cs="Times New Roman"/>
                <w:color w:val="000000" w:themeColor="text1"/>
                <w:sz w:val="24"/>
                <w:szCs w:val="24"/>
                <w:highlight w:val="none"/>
                <w:lang w:val="en-US" w:eastAsia="zh-CN"/>
                <w14:textFill>
                  <w14:solidFill>
                    <w14:schemeClr w14:val="tx1"/>
                  </w14:solidFill>
                </w14:textFill>
              </w:rPr>
              <w:t>m</w:t>
            </w:r>
            <w:r>
              <w:rPr>
                <w:rFonts w:hint="eastAsia" w:ascii="Times New Roman" w:hAnsi="宋体" w:eastAsia="宋体" w:cs="Times New Roman"/>
                <w:color w:val="000000" w:themeColor="text1"/>
                <w:sz w:val="24"/>
                <w:szCs w:val="24"/>
                <w:highlight w:val="none"/>
                <w:vertAlign w:val="superscript"/>
                <w:lang w:val="en-US" w:eastAsia="zh-CN"/>
                <w14:textFill>
                  <w14:solidFill>
                    <w14:schemeClr w14:val="tx1"/>
                  </w14:solidFill>
                </w14:textFill>
              </w:rPr>
              <w:t>2</w:t>
            </w:r>
            <w:r>
              <w:rPr>
                <w:rFonts w:ascii="Times New Roman" w:hAnsi="Times New Roman" w:eastAsia="宋体" w:cs="Times New Roman"/>
                <w:color w:val="000000" w:themeColor="text1"/>
                <w:kern w:val="21"/>
                <w:sz w:val="24"/>
                <w:szCs w:val="24"/>
                <w:highlight w:val="none"/>
                <w14:textFill>
                  <w14:solidFill>
                    <w14:schemeClr w14:val="tx1"/>
                  </w14:solidFill>
                </w14:textFill>
              </w:rPr>
              <w:t>，</w:t>
            </w:r>
            <w:r>
              <w:rPr>
                <w:rFonts w:hint="eastAsia" w:ascii="Times New Roman" w:hAnsi="Times New Roman" w:eastAsia="宋体" w:cs="Times New Roman"/>
                <w:color w:val="000000" w:themeColor="text1"/>
                <w:kern w:val="21"/>
                <w:sz w:val="24"/>
                <w:szCs w:val="24"/>
                <w:highlight w:val="none"/>
                <w:lang w:eastAsia="zh-CN"/>
                <w14:textFill>
                  <w14:solidFill>
                    <w14:schemeClr w14:val="tx1"/>
                  </w14:solidFill>
                </w14:textFill>
              </w:rPr>
              <w:t>占地</w:t>
            </w:r>
            <w:r>
              <w:rPr>
                <w:rFonts w:hint="eastAsia" w:ascii="Times New Roman" w:hAnsi="Times New Roman" w:eastAsia="宋体" w:cs="Times New Roman"/>
                <w:color w:val="000000" w:themeColor="text1"/>
                <w:kern w:val="21"/>
                <w:sz w:val="24"/>
                <w:szCs w:val="24"/>
                <w:highlight w:val="none"/>
                <w14:textFill>
                  <w14:solidFill>
                    <w14:schemeClr w14:val="tx1"/>
                  </w14:solidFill>
                </w14:textFill>
              </w:rPr>
              <w:t>不涉及生态保护红线</w:t>
            </w:r>
            <w:r>
              <w:rPr>
                <w:rFonts w:hint="eastAsia" w:ascii="Times New Roman" w:hAnsi="宋体" w:eastAsia="宋体" w:cs="Times New Roman"/>
                <w:color w:val="000000" w:themeColor="text1"/>
                <w:sz w:val="24"/>
                <w:szCs w:val="24"/>
                <w:highlight w:val="none"/>
                <w:vertAlign w:val="baseline"/>
                <w:lang w:val="en-US" w:eastAsia="zh-CN"/>
                <w14:textFill>
                  <w14:solidFill>
                    <w14:schemeClr w14:val="tx1"/>
                  </w14:solidFill>
                </w14:textFill>
              </w:rPr>
              <w:t>。本</w:t>
            </w:r>
            <w:r>
              <w:rPr>
                <w:rFonts w:ascii="Times New Roman" w:hAnsi="Times New Roman" w:eastAsia="宋体" w:cs="Times New Roman"/>
                <w:color w:val="000000" w:themeColor="text1"/>
                <w:kern w:val="21"/>
                <w:sz w:val="24"/>
                <w:szCs w:val="24"/>
                <w14:textFill>
                  <w14:solidFill>
                    <w14:schemeClr w14:val="tx1"/>
                  </w14:solidFill>
                </w14:textFill>
              </w:rPr>
              <w:t>项目</w:t>
            </w:r>
            <w:r>
              <w:rPr>
                <w:rFonts w:hint="eastAsia" w:ascii="Times New Roman" w:hAnsi="Times New Roman" w:eastAsia="宋体" w:cs="Times New Roman"/>
                <w:color w:val="000000" w:themeColor="text1"/>
                <w:kern w:val="21"/>
                <w:sz w:val="24"/>
                <w:szCs w:val="24"/>
                <w:lang w:eastAsia="zh-CN"/>
                <w14:textFill>
                  <w14:solidFill>
                    <w14:schemeClr w14:val="tx1"/>
                  </w14:solidFill>
                </w14:textFill>
              </w:rPr>
              <w:t>为煤炭开采瓦斯治理工程，根据井田布局及治理需要项目施工无法避让基本农田，建设单位已按照相关要求</w:t>
            </w:r>
            <w:r>
              <w:rPr>
                <w:rFonts w:ascii="Times New Roman" w:hAnsi="Times New Roman" w:eastAsia="宋体" w:cs="Times New Roman"/>
                <w:bCs/>
                <w:color w:val="000000" w:themeColor="text1"/>
                <w:kern w:val="21"/>
                <w:sz w:val="24"/>
                <w:szCs w:val="24"/>
                <w:highlight w:val="none"/>
                <w14:textFill>
                  <w14:solidFill>
                    <w14:schemeClr w14:val="tx1"/>
                  </w14:solidFill>
                </w14:textFill>
              </w:rPr>
              <w:t>取得了淮南市自然资源和规划局出具的临时用地的批复</w:t>
            </w:r>
            <w:r>
              <w:rPr>
                <w:rFonts w:hint="eastAsia" w:ascii="Times New Roman" w:hAnsi="Times New Roman" w:eastAsia="宋体" w:cs="Times New Roman"/>
                <w:bCs/>
                <w:color w:val="000000" w:themeColor="text1"/>
                <w:kern w:val="21"/>
                <w:sz w:val="24"/>
                <w:szCs w:val="24"/>
                <w:highlight w:val="none"/>
                <w:lang w:eastAsia="zh-CN"/>
                <w14:textFill>
                  <w14:solidFill>
                    <w14:schemeClr w14:val="tx1"/>
                  </w14:solidFill>
                </w14:textFill>
              </w:rPr>
              <w:t>，</w:t>
            </w:r>
            <w:r>
              <w:rPr>
                <w:rFonts w:ascii="Times New Roman" w:hAnsi="Times New Roman" w:eastAsia="宋体" w:cs="Times New Roman"/>
                <w:color w:val="000000" w:themeColor="text1"/>
                <w:kern w:val="21"/>
                <w:sz w:val="24"/>
                <w:szCs w:val="24"/>
                <w:highlight w:val="none"/>
                <w14:textFill>
                  <w14:solidFill>
                    <w14:schemeClr w14:val="tx1"/>
                  </w14:solidFill>
                </w14:textFill>
              </w:rPr>
              <w:t>用地时间为</w:t>
            </w:r>
            <w:r>
              <w:rPr>
                <w:rFonts w:hint="eastAsia" w:ascii="Times New Roman" w:hAnsi="Times New Roman" w:eastAsia="宋体" w:cs="Times New Roman"/>
                <w:color w:val="000000" w:themeColor="text1"/>
                <w:kern w:val="21"/>
                <w:sz w:val="24"/>
                <w:szCs w:val="24"/>
                <w:highlight w:val="none"/>
                <w14:textFill>
                  <w14:solidFill>
                    <w14:schemeClr w14:val="tx1"/>
                  </w14:solidFill>
                </w14:textFill>
              </w:rPr>
              <w:t>2</w:t>
            </w:r>
            <w:r>
              <w:rPr>
                <w:rFonts w:ascii="Times New Roman" w:hAnsi="Times New Roman" w:eastAsia="宋体" w:cs="Times New Roman"/>
                <w:color w:val="000000" w:themeColor="text1"/>
                <w:kern w:val="21"/>
                <w:sz w:val="24"/>
                <w:szCs w:val="24"/>
                <w:highlight w:val="none"/>
                <w14:textFill>
                  <w14:solidFill>
                    <w14:schemeClr w14:val="tx1"/>
                  </w14:solidFill>
                </w14:textFill>
              </w:rPr>
              <w:t>年。</w:t>
            </w:r>
          </w:p>
          <w:p w14:paraId="6A6815C1">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SA"/>
              </w:rPr>
              <w:t>经现场勘查，本项目施工场地选择紧邻周边乡村道路设置，交通便利，有利用设备及物料的运输。</w:t>
            </w:r>
            <w:r>
              <w:rPr>
                <w:rFonts w:hint="eastAsia" w:ascii="Times New Roman" w:hAnsi="Times New Roman" w:eastAsia="宋体" w:cs="Times New Roman"/>
                <w:color w:val="auto"/>
                <w:sz w:val="24"/>
                <w:szCs w:val="24"/>
                <w:highlight w:val="none"/>
                <w:lang w:val="en-US" w:eastAsia="zh-CN"/>
              </w:rPr>
              <w:t>本项目施工范围内无自然保护区、风景名胜区、世界文化和自然遗产地、饮用水水源保护区，无文物保护单位，无具有特殊历史、文化、科学、民族意义的保护地等环境敏感区，调查未见珍稀、濒危野生动物和保护物种，不在《安徽省生态功能区划》禁止开发区、重点保护区范围内，生态环境总体不敏感。</w:t>
            </w:r>
          </w:p>
          <w:p w14:paraId="5EDAAF58">
            <w:pPr>
              <w:pStyle w:val="67"/>
              <w:adjustRightInd/>
              <w:spacing w:line="360" w:lineRule="auto"/>
              <w:ind w:left="0" w:right="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施工过程中产生少量生态破坏、废气、噪声及固体废物，均采取了有效可行的防治措施，项目施工对周边环境影响很小，项目建设不会改变区域环境功能，对周边居民的影响小，环境影响可接受，因此本项目从环境保护角度分析项目选址是合理可行的。</w:t>
            </w:r>
          </w:p>
          <w:p w14:paraId="38DA4A43">
            <w:pPr>
              <w:rPr>
                <w:rFonts w:ascii="宋体" w:hAnsi="宋体" w:eastAsia="宋体" w:cs="宋体"/>
                <w:bCs/>
                <w:color w:val="auto"/>
                <w:szCs w:val="21"/>
              </w:rPr>
            </w:pPr>
          </w:p>
          <w:p w14:paraId="624D5F9B">
            <w:pPr>
              <w:rPr>
                <w:rFonts w:ascii="宋体" w:hAnsi="宋体" w:eastAsia="宋体" w:cs="宋体"/>
                <w:bCs/>
                <w:color w:val="auto"/>
                <w:szCs w:val="21"/>
              </w:rPr>
            </w:pPr>
          </w:p>
          <w:p w14:paraId="73DA0B68">
            <w:pPr>
              <w:rPr>
                <w:rFonts w:ascii="宋体" w:hAnsi="宋体" w:eastAsia="宋体" w:cs="宋体"/>
                <w:bCs/>
                <w:color w:val="auto"/>
                <w:szCs w:val="21"/>
              </w:rPr>
            </w:pPr>
          </w:p>
          <w:p w14:paraId="3A4EC377">
            <w:pPr>
              <w:rPr>
                <w:rFonts w:ascii="宋体" w:hAnsi="宋体" w:eastAsia="宋体" w:cs="宋体"/>
                <w:bCs/>
                <w:color w:val="auto"/>
                <w:szCs w:val="21"/>
              </w:rPr>
            </w:pPr>
          </w:p>
          <w:p w14:paraId="3B538B6D">
            <w:pPr>
              <w:rPr>
                <w:rFonts w:ascii="宋体" w:hAnsi="宋体" w:eastAsia="宋体" w:cs="宋体"/>
                <w:bCs/>
                <w:color w:val="auto"/>
                <w:szCs w:val="21"/>
              </w:rPr>
            </w:pPr>
          </w:p>
          <w:p w14:paraId="5DBFBF80">
            <w:pPr>
              <w:rPr>
                <w:rFonts w:hint="eastAsia" w:ascii="宋体" w:hAnsi="宋体" w:eastAsia="宋体" w:cs="宋体"/>
                <w:bCs/>
                <w:color w:val="auto"/>
                <w:szCs w:val="21"/>
              </w:rPr>
            </w:pPr>
          </w:p>
          <w:p w14:paraId="3B96C4D7">
            <w:pPr>
              <w:rPr>
                <w:rFonts w:hint="eastAsia" w:ascii="宋体" w:hAnsi="宋体" w:eastAsia="宋体" w:cs="宋体"/>
                <w:bCs/>
                <w:color w:val="auto"/>
                <w:szCs w:val="21"/>
              </w:rPr>
            </w:pPr>
          </w:p>
          <w:p w14:paraId="47EE545A">
            <w:pPr>
              <w:rPr>
                <w:rFonts w:ascii="宋体" w:hAnsi="宋体" w:eastAsia="宋体" w:cs="宋体"/>
                <w:bCs/>
                <w:color w:val="auto"/>
                <w:szCs w:val="21"/>
              </w:rPr>
            </w:pPr>
          </w:p>
          <w:p w14:paraId="73C6B10B">
            <w:pPr>
              <w:rPr>
                <w:rFonts w:ascii="宋体" w:hAnsi="宋体" w:eastAsia="宋体" w:cs="宋体"/>
                <w:bCs/>
                <w:color w:val="auto"/>
                <w:szCs w:val="21"/>
              </w:rPr>
            </w:pPr>
          </w:p>
        </w:tc>
      </w:tr>
    </w:tbl>
    <w:p w14:paraId="1D223F9E">
      <w:pPr>
        <w:widowControl/>
        <w:spacing w:before="100" w:beforeAutospacing="1" w:after="100" w:afterAutospacing="1"/>
        <w:jc w:val="center"/>
        <w:rPr>
          <w:rFonts w:ascii="黑体" w:hAnsi="黑体" w:eastAsia="黑体" w:cs="Times New Roman"/>
          <w:snapToGrid w:val="0"/>
          <w:color w:val="FF0000"/>
          <w:kern w:val="0"/>
          <w:sz w:val="36"/>
          <w:szCs w:val="36"/>
        </w:rPr>
        <w:sectPr>
          <w:pgSz w:w="11906" w:h="16838"/>
          <w:pgMar w:top="1440" w:right="1797" w:bottom="1440" w:left="1797" w:header="851" w:footer="1077" w:gutter="0"/>
          <w:cols w:space="425" w:num="1"/>
          <w:docGrid w:type="lines" w:linePitch="312" w:charSpace="0"/>
        </w:sectPr>
      </w:pPr>
    </w:p>
    <w:p w14:paraId="40ECE43E">
      <w:pPr>
        <w:widowControl/>
        <w:adjustRightInd w:val="0"/>
        <w:snapToGrid w:val="0"/>
        <w:spacing w:line="14" w:lineRule="auto"/>
        <w:jc w:val="center"/>
        <w:outlineLvl w:val="0"/>
        <w:rPr>
          <w:rFonts w:ascii="黑体" w:hAnsi="黑体" w:eastAsia="黑体" w:cs="Times New Roman"/>
          <w:snapToGrid w:val="0"/>
          <w:color w:val="FF0000"/>
          <w:kern w:val="0"/>
          <w:sz w:val="30"/>
          <w:szCs w:val="30"/>
        </w:rPr>
      </w:pPr>
    </w:p>
    <w:p w14:paraId="5588C14F">
      <w:pPr>
        <w:widowControl/>
        <w:spacing w:before="100" w:beforeAutospacing="1" w:after="100" w:afterAutospacing="1"/>
        <w:jc w:val="center"/>
        <w:outlineLvl w:val="0"/>
        <w:rPr>
          <w:rFonts w:ascii="黑体" w:hAnsi="黑体" w:eastAsia="黑体" w:cs="Times New Roman"/>
          <w:snapToGrid w:val="0"/>
          <w:color w:val="000000" w:themeColor="text1"/>
          <w:kern w:val="0"/>
          <w:sz w:val="30"/>
          <w:szCs w:val="30"/>
          <w14:textFill>
            <w14:solidFill>
              <w14:schemeClr w14:val="tx1"/>
            </w14:solidFill>
          </w14:textFill>
        </w:rPr>
      </w:pPr>
      <w:r>
        <w:rPr>
          <w:rFonts w:hint="eastAsia" w:ascii="黑体" w:hAnsi="黑体" w:eastAsia="黑体" w:cs="Times New Roman"/>
          <w:snapToGrid w:val="0"/>
          <w:color w:val="000000" w:themeColor="text1"/>
          <w:kern w:val="0"/>
          <w:sz w:val="30"/>
          <w:szCs w:val="30"/>
          <w14:textFill>
            <w14:solidFill>
              <w14:schemeClr w14:val="tx1"/>
            </w14:solidFill>
          </w14:textFill>
        </w:rPr>
        <w:t>五、主要生态环境保护措施</w:t>
      </w:r>
    </w:p>
    <w:tbl>
      <w:tblPr>
        <w:tblStyle w:val="25"/>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57"/>
      </w:tblGrid>
      <w:tr w14:paraId="6C47D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tcMar>
              <w:left w:w="28" w:type="dxa"/>
              <w:right w:w="28" w:type="dxa"/>
            </w:tcMar>
            <w:vAlign w:val="center"/>
          </w:tcPr>
          <w:p w14:paraId="771AC531">
            <w:pPr>
              <w:jc w:val="center"/>
              <w:rPr>
                <w:rFonts w:ascii="宋体" w:hAnsi="宋体" w:eastAsia="宋体" w:cs="Times New Roman"/>
                <w:bCs/>
                <w:color w:val="auto"/>
                <w:sz w:val="24"/>
                <w:szCs w:val="24"/>
              </w:rPr>
            </w:pPr>
            <w:r>
              <w:rPr>
                <w:rFonts w:hint="eastAsia" w:ascii="宋体" w:hAnsi="宋体" w:eastAsia="宋体" w:cs="宋体"/>
                <w:bCs/>
                <w:color w:val="auto"/>
                <w:spacing w:val="10"/>
                <w:sz w:val="24"/>
                <w:szCs w:val="24"/>
              </w:rPr>
              <w:t>施工期生态环境保护措施</w:t>
            </w:r>
          </w:p>
        </w:tc>
        <w:tc>
          <w:tcPr>
            <w:tcW w:w="8457" w:type="dxa"/>
          </w:tcPr>
          <w:p w14:paraId="4C3C1AF0">
            <w:pPr>
              <w:autoSpaceDE w:val="0"/>
              <w:autoSpaceDN w:val="0"/>
              <w:spacing w:line="360" w:lineRule="auto"/>
              <w:ind w:firstLine="482" w:firstLineChars="200"/>
              <w:rPr>
                <w:rFonts w:ascii="Times New Roman" w:hAnsi="Times New Roman" w:eastAsia="宋体" w:cs="Times New Roman"/>
                <w:b/>
                <w:color w:val="auto"/>
                <w:kern w:val="0"/>
                <w:sz w:val="24"/>
                <w:szCs w:val="24"/>
                <w:highlight w:val="none"/>
              </w:rPr>
            </w:pPr>
            <w:r>
              <w:rPr>
                <w:rFonts w:hint="eastAsia" w:ascii="Times New Roman" w:hAnsi="Times New Roman" w:eastAsia="宋体" w:cs="Times New Roman"/>
                <w:b/>
                <w:color w:val="auto"/>
                <w:kern w:val="0"/>
                <w:sz w:val="24"/>
                <w:szCs w:val="24"/>
                <w:highlight w:val="none"/>
              </w:rPr>
              <w:t>1、施工期生态环境保护措施</w:t>
            </w:r>
          </w:p>
          <w:p w14:paraId="750977F4">
            <w:pPr>
              <w:autoSpaceDE w:val="0"/>
              <w:autoSpaceDN w:val="0"/>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（1）土地利用现有格局的保护和恢复措施</w:t>
            </w:r>
          </w:p>
          <w:p w14:paraId="07690489">
            <w:pPr>
              <w:autoSpaceDE w:val="0"/>
              <w:autoSpaceDN w:val="0"/>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（1）土地利用现有格局的保护和恢复措施</w:t>
            </w:r>
          </w:p>
          <w:p w14:paraId="51AF0B0C">
            <w:pPr>
              <w:autoSpaceDE w:val="0"/>
              <w:autoSpaceDN w:val="0"/>
              <w:spacing w:line="360" w:lineRule="auto"/>
              <w:ind w:firstLine="480" w:firstLineChars="200"/>
              <w:rPr>
                <w:rFonts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rPr>
              <w:t>①</w:t>
            </w:r>
            <w:r>
              <w:rPr>
                <w:rFonts w:ascii="Times New Roman" w:hAnsi="Times New Roman" w:eastAsia="宋体" w:cs="Times New Roman"/>
                <w:color w:val="auto"/>
                <w:kern w:val="0"/>
                <w:sz w:val="24"/>
                <w:szCs w:val="24"/>
                <w:highlight w:val="none"/>
              </w:rPr>
              <w:t>施工占地合理规划，尽量控制工程施工活动范围，减少对周边占地的影响。</w:t>
            </w:r>
          </w:p>
          <w:p w14:paraId="7D67F22C">
            <w:pPr>
              <w:autoSpaceDE w:val="0"/>
              <w:autoSpaceDN w:val="0"/>
              <w:spacing w:line="360" w:lineRule="auto"/>
              <w:ind w:firstLine="480" w:firstLineChars="200"/>
              <w:rPr>
                <w:rFonts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rPr>
              <w:t>②</w:t>
            </w:r>
            <w:r>
              <w:rPr>
                <w:rFonts w:ascii="Times New Roman" w:hAnsi="Times New Roman" w:eastAsia="宋体" w:cs="Times New Roman"/>
                <w:color w:val="auto"/>
                <w:kern w:val="0"/>
                <w:sz w:val="24"/>
                <w:szCs w:val="24"/>
                <w:highlight w:val="none"/>
              </w:rPr>
              <w:t>按设计标准规定，严格控制施工作业面积，不得超过</w:t>
            </w:r>
            <w:r>
              <w:rPr>
                <w:rFonts w:hint="eastAsia" w:ascii="Times New Roman" w:hAnsi="Times New Roman" w:eastAsia="宋体" w:cs="Times New Roman"/>
                <w:color w:val="auto"/>
                <w:kern w:val="0"/>
                <w:sz w:val="24"/>
                <w:szCs w:val="24"/>
                <w:highlight w:val="none"/>
              </w:rPr>
              <w:t>临时</w:t>
            </w:r>
            <w:r>
              <w:rPr>
                <w:rFonts w:ascii="Times New Roman" w:hAnsi="Times New Roman" w:eastAsia="宋体" w:cs="Times New Roman"/>
                <w:color w:val="auto"/>
                <w:kern w:val="0"/>
                <w:sz w:val="24"/>
                <w:szCs w:val="24"/>
                <w:highlight w:val="none"/>
              </w:rPr>
              <w:t>占地面积，以减少土壤扰动和地表植被破坏，减少裸地和土方暴露面积。</w:t>
            </w:r>
          </w:p>
          <w:p w14:paraId="465BD895">
            <w:pPr>
              <w:autoSpaceDE w:val="0"/>
              <w:autoSpaceDN w:val="0"/>
              <w:spacing w:line="360" w:lineRule="auto"/>
              <w:ind w:firstLine="480" w:firstLineChars="200"/>
              <w:rPr>
                <w:rFonts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rPr>
              <w:t>③</w:t>
            </w:r>
            <w:r>
              <w:rPr>
                <w:rFonts w:ascii="Times New Roman" w:hAnsi="Times New Roman" w:eastAsia="宋体" w:cs="Times New Roman"/>
                <w:color w:val="auto"/>
                <w:kern w:val="0"/>
                <w:sz w:val="24"/>
                <w:szCs w:val="24"/>
                <w:highlight w:val="none"/>
              </w:rPr>
              <w:t>井场施工作业机械应严格管理，划定活动范围，不得在道路场地以外的地方行驶和作业，保持路外植被不被破坏。</w:t>
            </w:r>
          </w:p>
          <w:p w14:paraId="0EE4164A">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highlight w:val="none"/>
              </w:rPr>
              <w:t>④</w:t>
            </w:r>
            <w:r>
              <w:rPr>
                <w:rFonts w:ascii="Times New Roman" w:hAnsi="Times New Roman" w:eastAsia="宋体" w:cs="Times New Roman"/>
                <w:color w:val="auto"/>
                <w:kern w:val="0"/>
                <w:sz w:val="24"/>
                <w:szCs w:val="24"/>
                <w:highlight w:val="none"/>
              </w:rPr>
              <w:t>项目施工过程中涉及挖方的</w:t>
            </w:r>
            <w:r>
              <w:rPr>
                <w:rFonts w:hint="eastAsia" w:ascii="Times New Roman" w:hAnsi="Times New Roman" w:eastAsia="宋体" w:cs="Times New Roman"/>
                <w:color w:val="auto"/>
                <w:kern w:val="0"/>
                <w:sz w:val="24"/>
                <w:szCs w:val="24"/>
                <w:highlight w:val="none"/>
                <w:lang w:eastAsia="zh-CN"/>
              </w:rPr>
              <w:t>工序</w:t>
            </w:r>
            <w:r>
              <w:rPr>
                <w:rFonts w:ascii="Times New Roman" w:hAnsi="Times New Roman" w:eastAsia="宋体" w:cs="Times New Roman"/>
                <w:color w:val="auto"/>
                <w:kern w:val="0"/>
                <w:sz w:val="24"/>
                <w:szCs w:val="24"/>
                <w:highlight w:val="none"/>
              </w:rPr>
              <w:t>应加快施工进度，缩短施工时间，对产生的挖方及时进行平整处理。此外，施工时应避免在雨天、大风等天气条件不利情况下施工，做到水土流失最小化，如遇特殊天气施工，应用施工布料对现挖松散临时土方进行</w:t>
            </w:r>
            <w:r>
              <w:rPr>
                <w:rFonts w:ascii="Times New Roman" w:hAnsi="Times New Roman" w:eastAsia="宋体" w:cs="Times New Roman"/>
                <w:color w:val="auto"/>
                <w:kern w:val="0"/>
                <w:sz w:val="24"/>
                <w:szCs w:val="24"/>
              </w:rPr>
              <w:t>临时遮掩，保证有效控制水土流失。</w:t>
            </w:r>
          </w:p>
          <w:p w14:paraId="1CAB4DA8">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⑤</w:t>
            </w:r>
            <w:r>
              <w:rPr>
                <w:rFonts w:ascii="Times New Roman" w:hAnsi="Times New Roman" w:eastAsia="宋体" w:cs="Times New Roman"/>
                <w:color w:val="auto"/>
                <w:kern w:val="0"/>
                <w:sz w:val="24"/>
                <w:szCs w:val="24"/>
              </w:rPr>
              <w:t>施工结束后，应恢复地貌原状。施工时对占地范围</w:t>
            </w:r>
            <w:r>
              <w:rPr>
                <w:rFonts w:hint="eastAsia" w:ascii="Times New Roman" w:hAnsi="Times New Roman" w:eastAsia="宋体" w:cs="Times New Roman"/>
                <w:color w:val="auto"/>
                <w:kern w:val="0"/>
                <w:sz w:val="24"/>
                <w:szCs w:val="24"/>
                <w:lang w:eastAsia="zh-CN"/>
              </w:rPr>
              <w:t>内</w:t>
            </w:r>
            <w:r>
              <w:rPr>
                <w:rFonts w:ascii="Times New Roman" w:hAnsi="Times New Roman" w:eastAsia="宋体" w:cs="Times New Roman"/>
                <w:color w:val="auto"/>
                <w:kern w:val="0"/>
                <w:sz w:val="24"/>
                <w:szCs w:val="24"/>
              </w:rPr>
              <w:t>土壤开挖应做</w:t>
            </w:r>
            <w:r>
              <w:rPr>
                <w:rFonts w:hint="eastAsia" w:ascii="Times New Roman" w:hAnsi="Times New Roman" w:eastAsia="宋体" w:cs="Times New Roman"/>
                <w:color w:val="auto"/>
                <w:kern w:val="0"/>
                <w:sz w:val="24"/>
                <w:szCs w:val="24"/>
                <w:lang w:eastAsia="zh-CN"/>
              </w:rPr>
              <w:t>分层开挖，</w:t>
            </w:r>
            <w:r>
              <w:rPr>
                <w:rFonts w:ascii="Times New Roman" w:hAnsi="Times New Roman" w:eastAsia="宋体" w:cs="Times New Roman"/>
                <w:color w:val="auto"/>
                <w:kern w:val="0"/>
                <w:sz w:val="24"/>
                <w:szCs w:val="24"/>
              </w:rPr>
              <w:t>分区堆放，分层回填</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压实，以保护植被生长层，降低对土壤养分的影响</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尽快使土壤恢复生产力，同时减少水土流失。</w:t>
            </w:r>
          </w:p>
          <w:p w14:paraId="0389C91B">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（2）生物多样性的保护措施</w:t>
            </w:r>
          </w:p>
          <w:p w14:paraId="7536441D">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在施工过程中，应加强施工人员的管理，禁止施工人员对野外植被滥砍滥伐破坏沿线地区的生态环境。</w:t>
            </w:r>
          </w:p>
          <w:p w14:paraId="7DA06CFD">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Times New Roman"/>
                <w:color w:val="auto"/>
                <w:kern w:val="0"/>
                <w:sz w:val="24"/>
                <w:szCs w:val="24"/>
              </w:rPr>
              <w:t>②</w:t>
            </w:r>
            <w:r>
              <w:rPr>
                <w:rFonts w:ascii="Times New Roman" w:hAnsi="Times New Roman" w:eastAsia="宋体" w:cs="Times New Roman"/>
                <w:color w:val="auto"/>
                <w:kern w:val="0"/>
                <w:sz w:val="24"/>
                <w:szCs w:val="24"/>
              </w:rPr>
              <w:t>禁止施工人员对野生动物，尤其是珍稀动物的滥捕滥杀，做好野生动物的保护工作。</w:t>
            </w:r>
          </w:p>
          <w:p w14:paraId="369393C7">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③</w:t>
            </w:r>
            <w:r>
              <w:rPr>
                <w:rFonts w:ascii="Times New Roman" w:hAnsi="Times New Roman" w:eastAsia="宋体" w:cs="Times New Roman"/>
                <w:color w:val="auto"/>
                <w:kern w:val="0"/>
                <w:sz w:val="24"/>
                <w:szCs w:val="24"/>
              </w:rPr>
              <w:t>施工期要加大对保护野生动物的宣传力度，大力宣传两栖、爬行动物、鸟类对农林卫生业的作用。</w:t>
            </w:r>
          </w:p>
          <w:p w14:paraId="7712368D">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④</w:t>
            </w:r>
            <w:r>
              <w:rPr>
                <w:rFonts w:ascii="Times New Roman" w:hAnsi="Times New Roman" w:eastAsia="宋体" w:cs="Times New Roman"/>
                <w:color w:val="auto"/>
                <w:kern w:val="0"/>
                <w:sz w:val="24"/>
                <w:szCs w:val="24"/>
              </w:rPr>
              <w:t>对水生生物的一般保护措施为：切实加强对水环境的保护，避免井场周边地表水造成影响，施工</w:t>
            </w:r>
            <w:r>
              <w:rPr>
                <w:rFonts w:hint="eastAsia" w:ascii="Times New Roman" w:hAnsi="Times New Roman" w:eastAsia="宋体" w:cs="Times New Roman"/>
                <w:color w:val="auto"/>
                <w:kern w:val="0"/>
                <w:sz w:val="24"/>
                <w:szCs w:val="24"/>
              </w:rPr>
              <w:t>物料</w:t>
            </w:r>
            <w:r>
              <w:rPr>
                <w:rFonts w:ascii="Times New Roman" w:hAnsi="Times New Roman" w:eastAsia="宋体" w:cs="Times New Roman"/>
                <w:color w:val="auto"/>
                <w:kern w:val="0"/>
                <w:sz w:val="24"/>
                <w:szCs w:val="24"/>
              </w:rPr>
              <w:t>的堆放应放置于远离地表水一侧，防止物料被暴雨径流带入水体影响水质，各类</w:t>
            </w:r>
            <w:r>
              <w:rPr>
                <w:rFonts w:hint="eastAsia" w:ascii="Times New Roman" w:hAnsi="Times New Roman" w:eastAsia="宋体" w:cs="Times New Roman"/>
                <w:color w:val="auto"/>
                <w:kern w:val="0"/>
                <w:sz w:val="24"/>
                <w:szCs w:val="24"/>
              </w:rPr>
              <w:t>物料</w:t>
            </w:r>
            <w:r>
              <w:rPr>
                <w:rFonts w:ascii="Times New Roman" w:hAnsi="Times New Roman" w:eastAsia="宋体" w:cs="Times New Roman"/>
                <w:color w:val="auto"/>
                <w:kern w:val="0"/>
                <w:sz w:val="24"/>
                <w:szCs w:val="24"/>
              </w:rPr>
              <w:t>应备有防雨遮雨设施；在施工过程中禁止将污水、垃圾和其它施工机械的废油等污染物拋入水体，应收集后和工地上的污染物一并处理。施工挖出的淤泥渣土等不得抛入河流和其他水体。</w:t>
            </w:r>
          </w:p>
          <w:p w14:paraId="73215C08">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（3）水土流失防治措施</w:t>
            </w:r>
          </w:p>
          <w:p w14:paraId="21D03B33">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①</w:t>
            </w:r>
            <w:r>
              <w:rPr>
                <w:rFonts w:ascii="Times New Roman" w:hAnsi="Times New Roman" w:eastAsia="宋体" w:cs="Times New Roman"/>
                <w:color w:val="auto"/>
                <w:kern w:val="0"/>
                <w:sz w:val="24"/>
                <w:szCs w:val="24"/>
              </w:rPr>
              <w:t>尽量避开雨季施工，提高工程施工效率，缩短施工工期。</w:t>
            </w:r>
          </w:p>
          <w:p w14:paraId="375CA569">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②</w:t>
            </w:r>
            <w:r>
              <w:rPr>
                <w:rFonts w:ascii="Times New Roman" w:hAnsi="Times New Roman" w:eastAsia="宋体" w:cs="Times New Roman"/>
                <w:color w:val="auto"/>
                <w:kern w:val="0"/>
                <w:sz w:val="24"/>
                <w:szCs w:val="24"/>
              </w:rPr>
              <w:t>划定施工作业范围线，不随意扩大。并严格控制机械和车辆的作业范围，尽可能减少对土壤和农作物的破坏以及由此引发的水土流失。</w:t>
            </w:r>
          </w:p>
          <w:p w14:paraId="54B66D28">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③</w:t>
            </w:r>
            <w:r>
              <w:rPr>
                <w:rFonts w:ascii="Times New Roman" w:hAnsi="Times New Roman" w:eastAsia="宋体" w:cs="Times New Roman"/>
                <w:color w:val="auto"/>
                <w:kern w:val="0"/>
                <w:sz w:val="24"/>
                <w:szCs w:val="24"/>
              </w:rPr>
              <w:t>施工单位开工前，应先剥离占地范围内表土，井场范围内表土堆放至表土堆放区内，</w:t>
            </w:r>
            <w:r>
              <w:rPr>
                <w:rFonts w:hint="eastAsia" w:ascii="Times New Roman" w:hAnsi="Times New Roman" w:eastAsia="宋体" w:cs="Times New Roman"/>
                <w:bCs/>
                <w:color w:val="auto"/>
                <w:kern w:val="0"/>
                <w:sz w:val="24"/>
                <w:szCs w:val="24"/>
              </w:rPr>
              <w:t>表土堆放区应设置截、排水沟、苫盖等措施</w:t>
            </w:r>
            <w:r>
              <w:rPr>
                <w:rFonts w:ascii="Times New Roman" w:hAnsi="Times New Roman" w:eastAsia="宋体" w:cs="Times New Roman"/>
                <w:color w:val="auto"/>
                <w:kern w:val="0"/>
                <w:sz w:val="24"/>
                <w:szCs w:val="24"/>
              </w:rPr>
              <w:t>，防止水土流失。施工结束后用于临时占地的复耕复种，恢复临时占用耕地的生产力。</w:t>
            </w:r>
          </w:p>
          <w:p w14:paraId="524238BD">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（4）对基本农作物的保护措施</w:t>
            </w:r>
          </w:p>
          <w:p w14:paraId="056BA7EF">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①</w:t>
            </w:r>
            <w:r>
              <w:rPr>
                <w:rFonts w:ascii="Times New Roman" w:hAnsi="Times New Roman" w:eastAsia="宋体" w:cs="Times New Roman"/>
                <w:color w:val="auto"/>
                <w:kern w:val="0"/>
                <w:sz w:val="24"/>
                <w:szCs w:val="24"/>
              </w:rPr>
              <w:t>在工程的总体规划中，必须考虑施工对农业生产的影响，将农业损失纳入到工程预算中，尽量减少占用耕地的范围，降低工程对农业生态环境的干扰和破坏。</w:t>
            </w:r>
          </w:p>
          <w:p w14:paraId="1804BE90">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②</w:t>
            </w:r>
            <w:r>
              <w:rPr>
                <w:rFonts w:ascii="Times New Roman" w:hAnsi="Times New Roman" w:eastAsia="宋体" w:cs="Times New Roman"/>
                <w:color w:val="auto"/>
                <w:kern w:val="0"/>
                <w:sz w:val="24"/>
                <w:szCs w:val="24"/>
              </w:rPr>
              <w:t>项目所涉及的临时占地都应按照有关土地管理办法的要求逐级上报有审批权的政府部门批准。</w:t>
            </w:r>
          </w:p>
          <w:p w14:paraId="35A35F72">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③</w:t>
            </w:r>
            <w:r>
              <w:rPr>
                <w:rFonts w:ascii="Times New Roman" w:hAnsi="Times New Roman" w:eastAsia="宋体" w:cs="Times New Roman"/>
                <w:color w:val="auto"/>
                <w:kern w:val="0"/>
                <w:sz w:val="24"/>
                <w:szCs w:val="24"/>
              </w:rPr>
              <w:t>提高施工效率，缩短施工时间，以保持耕作层肥力，缩短农业生产季节的损失，尽量避开农作物的生长和收获期，减少农业当季损失。</w:t>
            </w:r>
          </w:p>
          <w:p w14:paraId="02F2423C">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④</w:t>
            </w:r>
            <w:r>
              <w:rPr>
                <w:rFonts w:ascii="Times New Roman" w:hAnsi="Times New Roman" w:eastAsia="宋体" w:cs="Times New Roman"/>
                <w:color w:val="auto"/>
                <w:kern w:val="0"/>
                <w:sz w:val="24"/>
                <w:szCs w:val="24"/>
              </w:rPr>
              <w:t>施工中，要采取保护土壤措施，对农业熟化土壤要分层开挖、分别堆放、分层填埋，减少因施工造成生土上翻、耕层养分损失、农作物减产的后果，同时要避免间断覆土造成的土层不坚实形成的水土流失等问题。</w:t>
            </w:r>
          </w:p>
          <w:p w14:paraId="4CC09147">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⑤</w:t>
            </w:r>
            <w:r>
              <w:rPr>
                <w:rFonts w:ascii="Times New Roman" w:hAnsi="Times New Roman" w:eastAsia="宋体" w:cs="Times New Roman"/>
                <w:color w:val="auto"/>
                <w:kern w:val="0"/>
                <w:sz w:val="24"/>
                <w:szCs w:val="24"/>
              </w:rPr>
              <w:t>施工完成后，做好现场清理及恢复工作，尽可能降低施工对农田生态系统带来的不利影响。</w:t>
            </w:r>
          </w:p>
          <w:p w14:paraId="6BE080C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除了以上恢复的措施外，在开挖地表土壤时，应把表土单独堆放。回填时，把表土覆盖在最上面的地表层，这样可以大大缩短土壤生产力恢复的时间，减少工程影响时间。</w:t>
            </w:r>
          </w:p>
          <w:p w14:paraId="6946FCEB">
            <w:pPr>
              <w:pStyle w:val="2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bCs/>
                <w:color w:val="auto"/>
                <w:kern w:val="0"/>
                <w:sz w:val="24"/>
                <w:szCs w:val="24"/>
                <w:lang w:val="en-US" w:eastAsia="zh-CN" w:bidi="ar-SA"/>
              </w:rPr>
            </w:pPr>
            <w:r>
              <w:rPr>
                <w:rFonts w:ascii="Times New Roman" w:hAnsi="Times New Roman" w:eastAsia="宋体" w:cs="Times New Roman"/>
                <w:color w:val="auto"/>
                <w:kern w:val="0"/>
                <w:sz w:val="24"/>
                <w:szCs w:val="24"/>
              </w:rPr>
              <w:t>（5</w:t>
            </w:r>
            <w:r>
              <w:rPr>
                <w:rFonts w:ascii="Times New Roman" w:hAnsi="Times New Roman" w:eastAsia="宋体" w:cs="Times New Roman"/>
                <w:b w:val="0"/>
                <w:bCs w:val="0"/>
                <w:color w:val="auto"/>
                <w:kern w:val="0"/>
                <w:sz w:val="24"/>
                <w:szCs w:val="24"/>
              </w:rPr>
              <w:t>）</w:t>
            </w:r>
            <w:r>
              <w:rPr>
                <w:rFonts w:hint="eastAsia" w:ascii="Times New Roman" w:hAnsi="Times New Roman" w:eastAsia="宋体" w:cs="Times New Roman"/>
                <w:b w:val="0"/>
                <w:bCs w:val="0"/>
                <w:color w:val="auto"/>
                <w:kern w:val="0"/>
                <w:sz w:val="24"/>
                <w:szCs w:val="24"/>
                <w:lang w:val="en-US" w:eastAsia="zh-CN" w:bidi="ar-SA"/>
              </w:rPr>
              <w:t>土地复垦的相关要求</w:t>
            </w:r>
          </w:p>
          <w:p w14:paraId="05DD7F08">
            <w:pPr>
              <w:pStyle w:val="13"/>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auto"/>
                <w:sz w:val="24"/>
                <w:highlight w:val="none"/>
              </w:rPr>
            </w:pPr>
            <w:r>
              <w:rPr>
                <w:rFonts w:hint="eastAsia" w:ascii="Times New Roman" w:hAnsi="Times New Roman"/>
                <w:color w:val="auto"/>
                <w:sz w:val="24"/>
                <w:highlight w:val="none"/>
              </w:rPr>
              <w:t>本项目施工期结束后需要对临时用地进行土地恢复，使临时用地状况恢复到原有水平。本项目</w:t>
            </w:r>
            <w:r>
              <w:rPr>
                <w:rFonts w:hint="eastAsia" w:ascii="Times New Roman" w:hAnsi="Times New Roman"/>
                <w:color w:val="auto"/>
                <w:sz w:val="24"/>
                <w:highlight w:val="none"/>
                <w:lang w:eastAsia="zh-CN"/>
              </w:rPr>
              <w:t>建设单位已</w:t>
            </w:r>
            <w:r>
              <w:rPr>
                <w:rFonts w:hint="eastAsia" w:ascii="Times New Roman" w:hAnsi="Times New Roman"/>
                <w:color w:val="auto"/>
                <w:sz w:val="24"/>
                <w:highlight w:val="none"/>
              </w:rPr>
              <w:t>制定临时用地复垦方案</w:t>
            </w:r>
            <w:r>
              <w:rPr>
                <w:rFonts w:hint="eastAsia" w:ascii="Times New Roman" w:hAnsi="Times New Roman"/>
                <w:color w:val="auto"/>
                <w:sz w:val="24"/>
                <w:highlight w:val="none"/>
                <w:lang w:eastAsia="zh-CN"/>
              </w:rPr>
              <w:t>且经过凤台县自然资源和规划局的审批</w:t>
            </w:r>
            <w:r>
              <w:rPr>
                <w:rFonts w:hint="eastAsia" w:ascii="Times New Roman" w:hAnsi="Times New Roman"/>
                <w:color w:val="auto"/>
                <w:sz w:val="24"/>
                <w:highlight w:val="none"/>
              </w:rPr>
              <w:t>，</w:t>
            </w:r>
            <w:r>
              <w:rPr>
                <w:rFonts w:hint="eastAsia" w:ascii="Times New Roman" w:hAnsi="Times New Roman"/>
                <w:color w:val="auto"/>
                <w:sz w:val="24"/>
                <w:highlight w:val="none"/>
                <w:lang w:eastAsia="zh-CN"/>
              </w:rPr>
              <w:t>建设单位施工完成后</w:t>
            </w:r>
            <w:r>
              <w:rPr>
                <w:rFonts w:hint="eastAsia" w:ascii="Times New Roman" w:hAnsi="Times New Roman"/>
                <w:color w:val="auto"/>
                <w:sz w:val="24"/>
                <w:highlight w:val="none"/>
              </w:rPr>
              <w:t>要严格落实复垦方案中的措施，因地制宜，以恢复项目区原有土地利用类型为主，改善生态环境，改善破坏土地</w:t>
            </w:r>
            <w:r>
              <w:rPr>
                <w:rFonts w:hint="eastAsia" w:ascii="Times New Roman" w:hAnsi="Times New Roman"/>
                <w:color w:val="auto"/>
                <w:sz w:val="24"/>
                <w:highlight w:val="none"/>
                <w:lang w:eastAsia="zh-CN"/>
              </w:rPr>
              <w:t>的</w:t>
            </w:r>
            <w:r>
              <w:rPr>
                <w:rFonts w:hint="eastAsia" w:ascii="Times New Roman" w:hAnsi="Times New Roman"/>
                <w:color w:val="auto"/>
                <w:sz w:val="24"/>
                <w:highlight w:val="none"/>
              </w:rPr>
              <w:t>质量。</w:t>
            </w:r>
          </w:p>
          <w:p w14:paraId="6FCB832F">
            <w:pPr>
              <w:pStyle w:val="13"/>
              <w:keepNext w:val="0"/>
              <w:keepLines w:val="0"/>
              <w:pageBreakBefore w:val="0"/>
              <w:tabs>
                <w:tab w:val="left" w:pos="0"/>
              </w:tabs>
              <w:kinsoku/>
              <w:wordWrap/>
              <w:overflowPunct/>
              <w:topLinePunct w:val="0"/>
              <w:bidi w:val="0"/>
              <w:adjustRightInd w:val="0"/>
              <w:snapToGrid w:val="0"/>
              <w:spacing w:line="360" w:lineRule="auto"/>
              <w:ind w:firstLine="480" w:firstLineChars="200"/>
              <w:textAlignment w:val="auto"/>
              <w:rPr>
                <w:rFonts w:hint="eastAsia" w:ascii="Times New Roman" w:hAnsi="Times New Roman"/>
                <w:color w:val="auto"/>
                <w:sz w:val="24"/>
                <w:highlight w:val="none"/>
              </w:rPr>
            </w:pPr>
            <w:r>
              <w:rPr>
                <w:rFonts w:hint="eastAsia" w:ascii="Times New Roman" w:hAnsi="Times New Roman"/>
                <w:color w:val="auto"/>
                <w:sz w:val="24"/>
                <w:highlight w:val="none"/>
              </w:rPr>
              <w:t>本项目涉及临时用地对土地的损毁主要为土壤物理性质和结构遭到损坏，临时用地毁坏类型主要为压占，毁坏程度为中度破坏。在落实复垦方案中的措施后，使临时用地性质恢复到原有水平，复垦</w:t>
            </w:r>
            <w:r>
              <w:rPr>
                <w:rFonts w:hint="eastAsia" w:ascii="Times New Roman" w:hAnsi="Times New Roman"/>
                <w:color w:val="auto"/>
                <w:sz w:val="24"/>
                <w:highlight w:val="none"/>
                <w:lang w:eastAsia="zh-CN"/>
              </w:rPr>
              <w:t>结束</w:t>
            </w:r>
            <w:r>
              <w:rPr>
                <w:rFonts w:hint="eastAsia" w:ascii="Times New Roman" w:hAnsi="Times New Roman"/>
                <w:color w:val="auto"/>
                <w:sz w:val="24"/>
                <w:highlight w:val="none"/>
              </w:rPr>
              <w:t>后，要对复垦对象进行为期一年的管护，确保复垦工程能够达到预期效果。具体复垦措施如下所示：</w:t>
            </w:r>
          </w:p>
          <w:p w14:paraId="2B5CEBCA">
            <w:pPr>
              <w:pStyle w:val="13"/>
              <w:keepNext w:val="0"/>
              <w:keepLines w:val="0"/>
              <w:pageBreakBefore w:val="0"/>
              <w:tabs>
                <w:tab w:val="left" w:pos="0"/>
              </w:tabs>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1、表土剥离 </w:t>
            </w:r>
          </w:p>
          <w:p w14:paraId="3627C189">
            <w:pPr>
              <w:pStyle w:val="13"/>
              <w:keepNext w:val="0"/>
              <w:keepLines w:val="0"/>
              <w:pageBreakBefore w:val="0"/>
              <w:tabs>
                <w:tab w:val="left" w:pos="0"/>
              </w:tabs>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color w:val="auto"/>
                <w:sz w:val="24"/>
                <w:highlight w:val="none"/>
              </w:rPr>
              <w:t>表土层的剥离在本项目土地复垦中极为重要，耕作层土壤和表层土壤是经过多年耕作和植物作用形成的熟化土壤，对于植物种子的萌发和幼苗</w:t>
            </w:r>
            <w:r>
              <w:rPr>
                <w:rFonts w:hint="default" w:ascii="Times New Roman" w:hAnsi="Times New Roman" w:eastAsia="宋体" w:cs="Times New Roman"/>
                <w:color w:val="auto"/>
                <w:sz w:val="24"/>
                <w:highlight w:val="none"/>
              </w:rPr>
              <w:t>的生长有着重要作用，在临时用地占用之前，</w:t>
            </w:r>
            <w:r>
              <w:rPr>
                <w:rFonts w:hint="default" w:ascii="Times New Roman" w:hAnsi="Times New Roman" w:eastAsia="宋体" w:cs="Times New Roman"/>
                <w:color w:val="auto"/>
                <w:sz w:val="24"/>
                <w:highlight w:val="none"/>
                <w:lang w:val="en-US" w:eastAsia="zh-CN"/>
              </w:rPr>
              <w:t>必须进行表土剥离，设计表土剥离厚度为 0.3m。剥离表土用于复</w:t>
            </w:r>
            <w:r>
              <w:rPr>
                <w:rFonts w:hint="eastAsia" w:ascii="Times New Roman" w:hAnsi="Times New Roman" w:eastAsia="宋体" w:cs="Times New Roman"/>
                <w:color w:val="auto"/>
                <w:sz w:val="24"/>
                <w:highlight w:val="none"/>
                <w:lang w:val="en-US" w:eastAsia="zh-CN"/>
              </w:rPr>
              <w:t xml:space="preserve">垦覆土。临时用地占用前主要用地类型以耕地为主，复垦方向也主要为耕地，为保障复垦质量，同时考虑施工机械施工的可行性和便利性，表土剥离后通过机械运输，集中堆存，为防治堆放期表土产生水土流失，影响土壤肥力，周围设置袋装土临时拦挡。 </w:t>
            </w:r>
          </w:p>
          <w:p w14:paraId="62C99CC5">
            <w:pPr>
              <w:pStyle w:val="13"/>
              <w:keepNext w:val="0"/>
              <w:keepLines w:val="0"/>
              <w:pageBreakBefore w:val="0"/>
              <w:tabs>
                <w:tab w:val="left" w:pos="0"/>
              </w:tabs>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2、表土防护 </w:t>
            </w:r>
          </w:p>
          <w:p w14:paraId="5F1A5096">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首先，在其四周用 3m 高的草袋防护，编织袋所装可直接采用剥离表土；其次，为减小降雨对表土的冲刷作用，减少表土流失量，在表土堆积过程中应尽量压实，并在表面覆盖土工布；再次，应在其临时表土堆放周边修建临时排水沟，以阻挡周边雨水；最后，在施工后期，拆除编织土袋尽快将表土用于覆土，尽可能减少堆放时间。 </w:t>
            </w:r>
          </w:p>
          <w:p w14:paraId="43162772">
            <w:pPr>
              <w:keepNext w:val="0"/>
              <w:keepLines w:val="0"/>
              <w:widowControl/>
              <w:suppressLineNumbers w:val="0"/>
              <w:spacing w:line="360" w:lineRule="auto"/>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堆放方式为： </w:t>
            </w:r>
          </w:p>
          <w:p w14:paraId="54763819">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（1）先用编织土袋装收集表土在堆放地四周码砌临时挡墙，挡墙采用梯形断面。 </w:t>
            </w:r>
          </w:p>
          <w:p w14:paraId="2AB77043">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（2）向表土临时堆放场内堆放收集表土，平均高度3.0m 左右，堆放过程中应采用逐层堆放的方式进行，减少堆放物的松散性，有效控制水土流失。 </w:t>
            </w:r>
          </w:p>
          <w:p w14:paraId="7FEDF56B">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（3）在堆场周围设置临时排水沟。 </w:t>
            </w:r>
          </w:p>
          <w:p w14:paraId="3013EBF6">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另外，在表土剥离和堆放过程中还应注意以下几点要求： </w:t>
            </w:r>
          </w:p>
          <w:p w14:paraId="61F66878">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（1）表土剥离收集过程中应注意对树根、灌木、草皮的清理，避免与表土混合影响表土堆放的稳定性； </w:t>
            </w:r>
          </w:p>
          <w:p w14:paraId="2717443E">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（2）遵循“先拦后堆”的原则，先做好拦挡工作后，再集中堆放表土，且在堆放时尽可能将表土压实； </w:t>
            </w:r>
          </w:p>
          <w:p w14:paraId="76D46963">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（3）必须按上述要求做好上述临时防护措施； </w:t>
            </w:r>
          </w:p>
          <w:p w14:paraId="2F599BDA">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（4）施工完成后应尽快完成覆土及植被恢复工作，尽可能减少其堆放时间。 </w:t>
            </w:r>
          </w:p>
          <w:p w14:paraId="7F418076">
            <w:pPr>
              <w:pStyle w:val="13"/>
              <w:keepNext w:val="0"/>
              <w:keepLines w:val="0"/>
              <w:pageBreakBefore w:val="0"/>
              <w:tabs>
                <w:tab w:val="left" w:pos="0"/>
              </w:tabs>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olor w:val="auto"/>
                <w:sz w:val="24"/>
                <w:highlight w:val="none"/>
                <w:lang w:eastAsia="zh-CN"/>
              </w:rPr>
            </w:pPr>
            <w:r>
              <w:rPr>
                <w:rFonts w:hint="eastAsia" w:ascii="Times New Roman" w:hAnsi="Times New Roman"/>
                <w:color w:val="auto"/>
                <w:sz w:val="24"/>
                <w:highlight w:val="none"/>
                <w:lang w:val="en-US" w:eastAsia="zh-CN"/>
              </w:rPr>
              <w:t>3、</w:t>
            </w:r>
            <w:r>
              <w:rPr>
                <w:rFonts w:hint="eastAsia" w:ascii="Times New Roman" w:hAnsi="Times New Roman"/>
                <w:color w:val="auto"/>
                <w:sz w:val="24"/>
                <w:highlight w:val="none"/>
              </w:rPr>
              <w:t>土地</w:t>
            </w:r>
            <w:r>
              <w:rPr>
                <w:rFonts w:hint="eastAsia" w:ascii="Times New Roman" w:hAnsi="Times New Roman"/>
                <w:color w:val="auto"/>
                <w:sz w:val="24"/>
                <w:highlight w:val="none"/>
                <w:lang w:eastAsia="zh-CN"/>
              </w:rPr>
              <w:t>复垦</w:t>
            </w:r>
          </w:p>
          <w:p w14:paraId="42AF9F8B">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施工完成后，将场区内设施设备全部回收利用，场地清理工作结束后，对各池体进行填凹、推平。用前期剥离的表土辅于客土进行回填，按照已批复的土地复垦方案的相关要求进行复垦，复垦时可混合基肥或土壤改良剂以利于植草。耕植土应均匀回填并夯压整平，回填整平之后尽快植草以防耕植土流失。复垦后应达到《土地复垦质量控制标准》（TDT1036-2013）中规定的要求。恢复场区原地貌。</w:t>
            </w:r>
          </w:p>
          <w:p w14:paraId="57961B63">
            <w:pPr>
              <w:autoSpaceDE w:val="0"/>
              <w:autoSpaceDN w:val="0"/>
              <w:spacing w:line="360" w:lineRule="auto"/>
              <w:ind w:firstLine="482" w:firstLineChars="200"/>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2、其他环境要素环境保护措施</w:t>
            </w:r>
          </w:p>
          <w:p w14:paraId="54728D07">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（1）施工</w:t>
            </w:r>
            <w:r>
              <w:rPr>
                <w:rFonts w:ascii="Times New Roman" w:hAnsi="Times New Roman" w:eastAsia="宋体" w:cs="Times New Roman"/>
                <w:color w:val="auto"/>
                <w:kern w:val="0"/>
                <w:sz w:val="24"/>
                <w:szCs w:val="24"/>
              </w:rPr>
              <w:t>废气污染防治措施</w:t>
            </w:r>
          </w:p>
          <w:p w14:paraId="6C06B42B">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施工期大气环境影响主要来源于</w:t>
            </w:r>
            <w:r>
              <w:rPr>
                <w:rFonts w:hint="default" w:ascii="Times New Roman" w:hAnsi="Times New Roman" w:cs="Times New Roman"/>
                <w:bCs/>
                <w:color w:val="auto"/>
                <w:sz w:val="24"/>
                <w:highlight w:val="none"/>
              </w:rPr>
              <w:t>施工现场运输车辆、</w:t>
            </w:r>
            <w:r>
              <w:rPr>
                <w:rFonts w:hint="eastAsia" w:ascii="Times New Roman" w:hAnsi="Times New Roman" w:cs="Times New Roman"/>
                <w:bCs/>
                <w:color w:val="auto"/>
                <w:sz w:val="24"/>
                <w:highlight w:val="none"/>
                <w:lang w:eastAsia="zh-CN"/>
              </w:rPr>
              <w:t>现场</w:t>
            </w:r>
            <w:r>
              <w:rPr>
                <w:rFonts w:hint="default" w:ascii="Times New Roman" w:hAnsi="Times New Roman" w:cs="Times New Roman"/>
                <w:bCs/>
                <w:color w:val="auto"/>
                <w:sz w:val="24"/>
                <w:highlight w:val="none"/>
              </w:rPr>
              <w:t>作业过程中扬起的灰尘</w:t>
            </w:r>
            <w:r>
              <w:rPr>
                <w:rFonts w:ascii="Times New Roman" w:hAnsi="Times New Roman" w:eastAsia="宋体" w:cs="Times New Roman"/>
                <w:color w:val="auto"/>
                <w:kern w:val="0"/>
                <w:sz w:val="24"/>
                <w:szCs w:val="24"/>
              </w:rPr>
              <w:t>，这些污染物将对环境空气造成一定程度的污染，但这种污染是短期的，工程结束后，将不复存在。</w:t>
            </w:r>
            <w:r>
              <w:rPr>
                <w:rFonts w:hint="eastAsia" w:ascii="Times New Roman" w:hAnsi="Times New Roman" w:eastAsia="宋体" w:cs="Times New Roman"/>
                <w:color w:val="auto"/>
                <w:kern w:val="0"/>
                <w:sz w:val="24"/>
                <w:szCs w:val="24"/>
              </w:rPr>
              <w:t>本项目施工过程中主要以电力作为施工动力，仅在施工前期及运输过程中使用燃油机械及设备，由于燃油机械使用为间断使用，污染物排放量小，对环境空气的不利影响很小，施工结束后，影响将消失。</w:t>
            </w:r>
          </w:p>
          <w:p w14:paraId="2416EAB8">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施工期间应特别注意施工扬尘的防治问题，须制定必要的防治措施，以减少施工扬尘对周围环境的影响：</w:t>
            </w:r>
          </w:p>
          <w:p w14:paraId="26A93DB4">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现场封闭管理百分之百</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施工现场硬质围挡应连续设置，施工场地围挡不低于1.8m，做到坚固、平稳、整洁、美观。</w:t>
            </w:r>
          </w:p>
          <w:p w14:paraId="6450A176">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②</w:t>
            </w:r>
            <w:r>
              <w:rPr>
                <w:rFonts w:ascii="Times New Roman" w:hAnsi="Times New Roman" w:eastAsia="宋体" w:cs="Times New Roman"/>
                <w:color w:val="auto"/>
                <w:kern w:val="0"/>
                <w:sz w:val="24"/>
                <w:szCs w:val="24"/>
              </w:rPr>
              <w:t>渣土物料蓬盖百分之百</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施工现场内裸露的场地和集中堆放的土方应采取覆盖、固化或绿化等防尘措施。易产生扬尘的物料要篷盖。</w:t>
            </w:r>
          </w:p>
          <w:p w14:paraId="29D9847F">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③</w:t>
            </w:r>
            <w:r>
              <w:rPr>
                <w:rFonts w:ascii="Times New Roman" w:hAnsi="Times New Roman" w:eastAsia="宋体" w:cs="Times New Roman"/>
                <w:color w:val="auto"/>
                <w:kern w:val="0"/>
                <w:sz w:val="24"/>
                <w:szCs w:val="24"/>
              </w:rPr>
              <w:t>洒水清扫保洁百分之百</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36F0CDE3">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④</w:t>
            </w:r>
            <w:r>
              <w:rPr>
                <w:rFonts w:ascii="Times New Roman" w:hAnsi="Times New Roman" w:eastAsia="宋体" w:cs="Times New Roman"/>
                <w:color w:val="auto"/>
                <w:kern w:val="0"/>
                <w:sz w:val="24"/>
                <w:szCs w:val="24"/>
              </w:rPr>
              <w:t>物料密闭运输百分之百</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易产生扬尘的原料和渣土应采取密闭搬运、存储或采用防尘布苫盖等防尘措施。严禁熔融沥青、焚烧垃圾等有毒有害物质，禁止无牌无证车辆进入施工现场。</w:t>
            </w:r>
          </w:p>
          <w:p w14:paraId="1CB0D8BD">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eastAsia="zh-CN"/>
              </w:rPr>
              <w:t>⑤施工车辆在易起尘路段运输时</w:t>
            </w:r>
            <w:r>
              <w:rPr>
                <w:rFonts w:ascii="Times New Roman" w:hAnsi="Times New Roman" w:eastAsia="宋体" w:cs="Times New Roman"/>
                <w:color w:val="auto"/>
                <w:kern w:val="0"/>
                <w:sz w:val="24"/>
                <w:szCs w:val="24"/>
              </w:rPr>
              <w:t>限制车速</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设置限速标志</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车速越慢，扬尘量越小。避免大风天气作业进行水泥</w:t>
            </w:r>
            <w:r>
              <w:rPr>
                <w:rFonts w:hint="eastAsia" w:ascii="Times New Roman" w:hAnsi="Times New Roman" w:eastAsia="宋体" w:cs="Times New Roman"/>
                <w:color w:val="auto"/>
                <w:kern w:val="0"/>
                <w:sz w:val="24"/>
                <w:szCs w:val="24"/>
                <w:lang w:eastAsia="zh-CN"/>
              </w:rPr>
              <w:t>装卸、搅拌</w:t>
            </w: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eastAsia="zh-CN"/>
              </w:rPr>
              <w:t>土方</w:t>
            </w:r>
            <w:r>
              <w:rPr>
                <w:rFonts w:ascii="Times New Roman" w:hAnsi="Times New Roman" w:eastAsia="宋体" w:cs="Times New Roman"/>
                <w:color w:val="auto"/>
                <w:kern w:val="0"/>
                <w:sz w:val="24"/>
                <w:szCs w:val="24"/>
              </w:rPr>
              <w:t>等的作业，对水泥</w:t>
            </w:r>
            <w:r>
              <w:rPr>
                <w:rFonts w:hint="eastAsia" w:ascii="Times New Roman" w:hAnsi="Times New Roman" w:eastAsia="宋体" w:cs="Times New Roman"/>
                <w:color w:val="auto"/>
                <w:kern w:val="0"/>
                <w:sz w:val="24"/>
                <w:szCs w:val="24"/>
                <w:lang w:eastAsia="zh-CN"/>
              </w:rPr>
              <w:t>等粉状物料</w:t>
            </w:r>
            <w:r>
              <w:rPr>
                <w:rFonts w:ascii="Times New Roman" w:hAnsi="Times New Roman" w:eastAsia="宋体" w:cs="Times New Roman"/>
                <w:color w:val="auto"/>
                <w:kern w:val="0"/>
                <w:sz w:val="24"/>
                <w:szCs w:val="24"/>
              </w:rPr>
              <w:t>堆放</w:t>
            </w:r>
            <w:r>
              <w:rPr>
                <w:rFonts w:hint="eastAsia" w:ascii="Times New Roman" w:hAnsi="Times New Roman" w:eastAsia="宋体" w:cs="Times New Roman"/>
                <w:color w:val="auto"/>
                <w:kern w:val="0"/>
                <w:sz w:val="24"/>
                <w:szCs w:val="24"/>
                <w:lang w:eastAsia="zh-CN"/>
              </w:rPr>
              <w:t>在材料棚内，严禁</w:t>
            </w:r>
            <w:r>
              <w:rPr>
                <w:rFonts w:ascii="Times New Roman" w:hAnsi="Times New Roman" w:eastAsia="宋体" w:cs="Times New Roman"/>
                <w:color w:val="auto"/>
                <w:kern w:val="0"/>
                <w:sz w:val="24"/>
                <w:szCs w:val="24"/>
              </w:rPr>
              <w:t>露天堆放。</w:t>
            </w:r>
          </w:p>
          <w:p w14:paraId="5E8BED6C">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eastAsia="zh-CN"/>
              </w:rPr>
              <w:t>⑥</w:t>
            </w:r>
            <w:r>
              <w:rPr>
                <w:rFonts w:ascii="Times New Roman" w:hAnsi="Times New Roman" w:eastAsia="宋体" w:cs="Times New Roman"/>
                <w:color w:val="auto"/>
                <w:kern w:val="0"/>
                <w:sz w:val="24"/>
                <w:szCs w:val="24"/>
              </w:rPr>
              <w:t>结合《安徽省大气污染防治行动计划实施方案》《大气污染防治行动计划》（国发〔2013〕37号）、《安徽省建筑工程施工和预拌混凝土生产扬尘污染防治标准（试行）》《淮南市扬尘污染防治</w:t>
            </w:r>
            <w:r>
              <w:rPr>
                <w:rFonts w:hint="eastAsia" w:ascii="Times New Roman" w:hAnsi="Times New Roman" w:eastAsia="宋体" w:cs="Times New Roman"/>
                <w:color w:val="auto"/>
                <w:kern w:val="0"/>
                <w:sz w:val="24"/>
                <w:szCs w:val="24"/>
              </w:rPr>
              <w:t>条例</w:t>
            </w:r>
            <w:r>
              <w:rPr>
                <w:rFonts w:ascii="Times New Roman" w:hAnsi="Times New Roman" w:eastAsia="宋体" w:cs="Times New Roman"/>
                <w:color w:val="auto"/>
                <w:kern w:val="0"/>
                <w:sz w:val="24"/>
                <w:szCs w:val="24"/>
              </w:rPr>
              <w:t>》中相关要求，加强现场管理，做好文明标化施工，采取配置工地滞尘防护网、设置围挡和硬化道路，选用合格的施工车辆，禁止使用淘汰、报废车辆进行施工等措施</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最大程度减少扬尘对周围大气环境的</w:t>
            </w:r>
            <w:r>
              <w:rPr>
                <w:rFonts w:hint="eastAsia" w:ascii="Times New Roman" w:hAnsi="Times New Roman" w:eastAsia="宋体" w:cs="Times New Roman"/>
                <w:color w:val="auto"/>
                <w:kern w:val="0"/>
                <w:sz w:val="24"/>
                <w:szCs w:val="24"/>
                <w:lang w:eastAsia="zh-CN"/>
              </w:rPr>
              <w:t>影响</w:t>
            </w:r>
            <w:r>
              <w:rPr>
                <w:rFonts w:ascii="Times New Roman" w:hAnsi="Times New Roman" w:eastAsia="宋体" w:cs="Times New Roman"/>
                <w:color w:val="auto"/>
                <w:kern w:val="0"/>
                <w:sz w:val="24"/>
                <w:szCs w:val="24"/>
              </w:rPr>
              <w:t>。</w:t>
            </w:r>
          </w:p>
          <w:p w14:paraId="28FA0441">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2"/>
                <w:sz w:val="24"/>
                <w:szCs w:val="24"/>
                <w:lang w:val="en-US" w:eastAsia="zh-CN" w:bidi="ar-SA"/>
              </w:rPr>
              <w:t>本项目施工期所在地区风速相对较小，项目工程小，采取相关措施后，可有效减轻扬尘污染，降低施工期扬尘对大气环境的影响，且施工期扬尘对大气环境的影响是短暂的，随着实施期的结束而消失。</w:t>
            </w:r>
          </w:p>
          <w:p w14:paraId="7271399C">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（2）施工废水</w:t>
            </w:r>
            <w:r>
              <w:rPr>
                <w:rFonts w:ascii="Times New Roman" w:hAnsi="Times New Roman" w:eastAsia="宋体" w:cs="Times New Roman"/>
                <w:color w:val="auto"/>
                <w:kern w:val="0"/>
                <w:sz w:val="24"/>
                <w:szCs w:val="24"/>
              </w:rPr>
              <w:t>污染防治措施</w:t>
            </w:r>
          </w:p>
          <w:p w14:paraId="7AF3327C">
            <w:pPr>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rPr>
              <w:t>施工期产生的废水主要为</w:t>
            </w:r>
            <w:r>
              <w:rPr>
                <w:rFonts w:hint="eastAsia" w:ascii="Times New Roman" w:hAnsi="Times New Roman" w:eastAsia="宋体" w:cs="Times New Roman"/>
                <w:color w:val="auto"/>
                <w:kern w:val="0"/>
                <w:sz w:val="24"/>
                <w:szCs w:val="24"/>
                <w:lang w:eastAsia="zh-CN"/>
              </w:rPr>
              <w:t>生活污水和</w:t>
            </w:r>
            <w:r>
              <w:rPr>
                <w:rFonts w:hint="eastAsia" w:ascii="Times New Roman" w:hAnsi="Times New Roman" w:eastAsia="宋体" w:cs="Times New Roman"/>
                <w:color w:val="auto"/>
                <w:kern w:val="0"/>
                <w:sz w:val="24"/>
                <w:szCs w:val="24"/>
                <w:lang w:val="en-US" w:eastAsia="zh-CN"/>
              </w:rPr>
              <w:t>气液分离器废水。</w:t>
            </w:r>
            <w:r>
              <w:rPr>
                <w:rFonts w:ascii="Times New Roman" w:hAnsi="Times New Roman" w:eastAsia="宋体" w:cs="Times New Roman"/>
                <w:color w:val="auto"/>
                <w:kern w:val="0"/>
                <w:sz w:val="24"/>
                <w:szCs w:val="24"/>
              </w:rPr>
              <w:t>生活污水经化粪池</w:t>
            </w:r>
            <w:r>
              <w:rPr>
                <w:rFonts w:hint="eastAsia" w:ascii="Times New Roman" w:hAnsi="Times New Roman" w:eastAsia="宋体" w:cs="Times New Roman"/>
                <w:color w:val="auto"/>
                <w:kern w:val="0"/>
                <w:sz w:val="24"/>
                <w:szCs w:val="24"/>
                <w:lang w:eastAsia="zh-CN"/>
              </w:rPr>
              <w:t>预处理后定期</w:t>
            </w:r>
            <w:r>
              <w:rPr>
                <w:rFonts w:ascii="Times New Roman" w:hAnsi="Times New Roman" w:eastAsia="宋体" w:cs="Times New Roman"/>
                <w:color w:val="auto"/>
                <w:kern w:val="0"/>
                <w:sz w:val="24"/>
                <w:szCs w:val="24"/>
              </w:rPr>
              <w:t>清掏用于农田施肥。</w:t>
            </w:r>
            <w:r>
              <w:rPr>
                <w:rFonts w:hint="eastAsia" w:ascii="Times New Roman" w:hAnsi="Times New Roman" w:eastAsia="宋体" w:cs="Times New Roman"/>
                <w:color w:val="auto"/>
                <w:kern w:val="0"/>
                <w:sz w:val="24"/>
                <w:szCs w:val="24"/>
                <w:lang w:val="en-US" w:eastAsia="zh-CN"/>
              </w:rPr>
              <w:t>气液分离器废水经收集后</w:t>
            </w:r>
            <w:r>
              <w:rPr>
                <w:rFonts w:hint="eastAsia" w:ascii="Times New Roman" w:hAnsi="Times New Roman" w:eastAsia="宋体" w:cs="Times New Roman"/>
                <w:color w:val="auto"/>
                <w:kern w:val="0"/>
                <w:sz w:val="24"/>
                <w:szCs w:val="24"/>
                <w:lang w:eastAsia="zh-CN"/>
              </w:rPr>
              <w:t>进入潘一选煤厂生活污水处理站处理后回用于潘一选煤厂生产</w:t>
            </w:r>
            <w:r>
              <w:rPr>
                <w:rFonts w:hint="eastAsia" w:ascii="Times New Roman" w:hAnsi="Times New Roman" w:eastAsia="宋体" w:cs="Times New Roman"/>
                <w:color w:val="auto"/>
                <w:kern w:val="0"/>
                <w:sz w:val="24"/>
                <w:szCs w:val="24"/>
                <w:lang w:val="en-US" w:eastAsia="zh-CN"/>
              </w:rPr>
              <w:t>，不外排</w:t>
            </w:r>
            <w:r>
              <w:rPr>
                <w:rFonts w:hint="eastAsia" w:ascii="Times New Roman" w:hAnsi="Times New Roman" w:eastAsia="宋体" w:cs="Times New Roman"/>
                <w:color w:val="auto"/>
                <w:kern w:val="0"/>
                <w:sz w:val="24"/>
                <w:szCs w:val="24"/>
                <w:lang w:eastAsia="zh-CN"/>
              </w:rPr>
              <w:t>。</w:t>
            </w:r>
          </w:p>
          <w:p w14:paraId="0DD642FE">
            <w:pPr>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lang w:val="en-US" w:eastAsia="zh-CN"/>
              </w:rPr>
              <w:t>项目所在区域为</w:t>
            </w:r>
            <w:r>
              <w:rPr>
                <w:rFonts w:hint="eastAsia" w:ascii="Times New Roman" w:hAnsi="Times New Roman" w:eastAsia="宋体" w:cs="Times New Roman"/>
                <w:color w:val="auto"/>
                <w:kern w:val="2"/>
                <w:sz w:val="24"/>
                <w:szCs w:val="24"/>
                <w:highlight w:val="none"/>
                <w:lang w:val="en-US" w:eastAsia="zh-CN" w:bidi="ar-SA"/>
              </w:rPr>
              <w:t>农田生态系统占绝对优势，区域内大部分为人工植被，因此施工生活污水用于农田施肥是可行的。</w:t>
            </w:r>
          </w:p>
          <w:p w14:paraId="1F55F349">
            <w:pPr>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潘一选煤生活污水处理站位于潘一东瓦斯发电站南侧，设计处理规模2000m</w:t>
            </w:r>
            <w:r>
              <w:rPr>
                <w:rFonts w:hint="eastAsia" w:ascii="Times New Roman" w:hAnsi="Times New Roman" w:eastAsia="宋体" w:cs="Times New Roman"/>
                <w:color w:val="auto"/>
                <w:kern w:val="0"/>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/d，污水处理工艺为生物接触氧化法，目前污水处理量881-1000m</w:t>
            </w:r>
            <w:r>
              <w:rPr>
                <w:rFonts w:hint="eastAsia" w:ascii="Times New Roman" w:hAnsi="Times New Roman" w:eastAsia="宋体" w:cs="Times New Roman"/>
                <w:color w:val="auto"/>
                <w:kern w:val="0"/>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/d，本项目施工期气液分离器废水排放量为0.3m</w:t>
            </w:r>
            <w:r>
              <w:rPr>
                <w:rFonts w:hint="eastAsia" w:ascii="Times New Roman" w:hAnsi="Times New Roman" w:eastAsia="宋体" w:cs="Times New Roman"/>
                <w:color w:val="auto"/>
                <w:kern w:val="0"/>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/d，排放量很小，污染因子为COD、SS，不会对污水处理站水量和水质造成冲击影响，处理后的水用于潘一选煤厂生产用水，无废水外排。</w:t>
            </w:r>
          </w:p>
          <w:p w14:paraId="454D6B8D">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（3）施工噪声污染</w:t>
            </w:r>
            <w:r>
              <w:rPr>
                <w:rFonts w:ascii="Times New Roman" w:hAnsi="Times New Roman" w:eastAsia="宋体" w:cs="Times New Roman"/>
                <w:color w:val="auto"/>
                <w:kern w:val="0"/>
                <w:sz w:val="24"/>
                <w:szCs w:val="24"/>
              </w:rPr>
              <w:t>防治措施</w:t>
            </w:r>
          </w:p>
          <w:p w14:paraId="1F43942D">
            <w:pPr>
              <w:spacing w:line="360" w:lineRule="auto"/>
              <w:ind w:firstLine="480" w:firstLineChars="200"/>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为减轻项目施工对周边环境的影响，评价提出如下措施加以控制：</w:t>
            </w:r>
          </w:p>
          <w:p w14:paraId="5C35E1BC">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施工期建设单位应严格遵守执行《中华人民共和国环境噪声污染防治法》和地方的环境噪声污染防治规定以及《建筑噪声施工场界环境噪声排放标准》（GB12523-2011）标准，规范施工行为，加强施工管理。施工单位应注意选用效率高、噪声低的机械设备，并注意维修养护和正确使用，对动力机械设备进行定期的维修、养护，使设备保持最佳工作状态，避免由于设备性能差而导致噪声增强现象的发生；</w:t>
            </w:r>
          </w:p>
          <w:p w14:paraId="67FBCFA4">
            <w:pPr>
              <w:autoSpaceDE w:val="0"/>
              <w:autoSpaceDN w:val="0"/>
              <w:spacing w:line="360" w:lineRule="auto"/>
              <w:ind w:firstLine="480" w:firstLineChars="200"/>
              <w:rPr>
                <w:rFonts w:hint="eastAsia"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rPr>
              <w:t>施工单位应精心组织施工，合理安排施工布局，</w:t>
            </w:r>
            <w:r>
              <w:rPr>
                <w:rFonts w:hint="eastAsia" w:ascii="Times New Roman" w:hAnsi="Times New Roman" w:eastAsia="宋体" w:cs="Times New Roman"/>
                <w:color w:val="auto"/>
                <w:kern w:val="0"/>
                <w:sz w:val="24"/>
                <w:szCs w:val="24"/>
                <w:lang w:eastAsia="zh-CN"/>
              </w:rPr>
              <w:t>将钻机、固控系统、泥浆泵等</w:t>
            </w:r>
            <w:r>
              <w:rPr>
                <w:rFonts w:hint="eastAsia" w:ascii="Times New Roman" w:hAnsi="Times New Roman" w:eastAsia="宋体" w:cs="Times New Roman"/>
                <w:color w:val="auto"/>
                <w:kern w:val="0"/>
                <w:sz w:val="24"/>
                <w:szCs w:val="24"/>
              </w:rPr>
              <w:t>高噪声</w:t>
            </w:r>
            <w:r>
              <w:rPr>
                <w:rFonts w:hint="eastAsia" w:ascii="Times New Roman" w:hAnsi="Times New Roman" w:eastAsia="宋体" w:cs="Times New Roman"/>
                <w:color w:val="auto"/>
                <w:kern w:val="0"/>
                <w:sz w:val="24"/>
                <w:szCs w:val="24"/>
                <w:lang w:eastAsia="zh-CN"/>
              </w:rPr>
              <w:t>设备布置</w:t>
            </w:r>
            <w:r>
              <w:rPr>
                <w:rFonts w:hint="eastAsia" w:ascii="Times New Roman" w:hAnsi="Times New Roman" w:eastAsia="宋体" w:cs="Times New Roman"/>
                <w:color w:val="auto"/>
                <w:kern w:val="0"/>
                <w:sz w:val="24"/>
                <w:szCs w:val="24"/>
                <w:highlight w:val="none"/>
                <w:lang w:eastAsia="zh-CN"/>
              </w:rPr>
              <w:t>在施工场地西侧，尽量</w:t>
            </w:r>
            <w:r>
              <w:rPr>
                <w:rFonts w:hint="eastAsia" w:ascii="Times New Roman" w:hAnsi="Times New Roman" w:eastAsia="宋体" w:cs="Times New Roman"/>
                <w:color w:val="auto"/>
                <w:kern w:val="0"/>
                <w:sz w:val="24"/>
                <w:szCs w:val="24"/>
                <w:highlight w:val="none"/>
              </w:rPr>
              <w:t>远离声敏感点</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rPr>
              <w:t>合理安排施工时间，避免高噪声施工机械在同一区域内使用，减少高噪声设备的夜间作业时间；</w:t>
            </w:r>
          </w:p>
          <w:p w14:paraId="419EC9BB">
            <w:pPr>
              <w:spacing w:line="360" w:lineRule="auto"/>
              <w:ind w:firstLine="480" w:firstLineChars="200"/>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采用声屏障措施：</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施工时可根据作业情况选择</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在施工场地周围设置临时隔音围挡结构，最大程度的减少对</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声环境</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敏感点的不利影响</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34C1E739">
            <w:pPr>
              <w:spacing w:line="360" w:lineRule="auto"/>
              <w:ind w:firstLine="480" w:firstLineChars="200"/>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highlight w:val="none"/>
              </w:rPr>
              <w:t>降低车辆交通噪声：运输车辆应选择周边敏感场少的运输路线，尽量远离集中居民区，运输活动应尽量安排在白天进行，施工期应加强管理，杜绝超载、超速，在途经环境敏感区域时，应减速慢行，禁止鸣笛，降低车辆交通噪声；</w:t>
            </w:r>
          </w:p>
          <w:p w14:paraId="249E0813">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（4）施工</w:t>
            </w:r>
            <w:r>
              <w:rPr>
                <w:rFonts w:ascii="Times New Roman" w:hAnsi="Times New Roman" w:eastAsia="宋体" w:cs="Times New Roman"/>
                <w:color w:val="auto"/>
                <w:kern w:val="0"/>
                <w:sz w:val="24"/>
                <w:szCs w:val="24"/>
              </w:rPr>
              <w:t>固体废物污染防治措施</w:t>
            </w:r>
          </w:p>
          <w:p w14:paraId="31E89606">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本项目产生的固体废物主要为一般固废</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生活垃圾</w:t>
            </w:r>
            <w:r>
              <w:rPr>
                <w:rFonts w:hint="eastAsia" w:ascii="Times New Roman" w:hAnsi="Times New Roman" w:eastAsia="宋体" w:cs="Times New Roman"/>
                <w:color w:val="auto"/>
                <w:kern w:val="0"/>
                <w:sz w:val="24"/>
                <w:szCs w:val="24"/>
                <w:lang w:eastAsia="zh-CN"/>
              </w:rPr>
              <w:t>和危险废物</w:t>
            </w:r>
            <w:r>
              <w:rPr>
                <w:rFonts w:hint="eastAsia" w:ascii="Times New Roman" w:hAnsi="Times New Roman" w:eastAsia="宋体" w:cs="Times New Roman"/>
                <w:bCs/>
                <w:color w:val="auto"/>
                <w:sz w:val="24"/>
                <w:szCs w:val="24"/>
                <w:lang w:eastAsia="zh-CN"/>
              </w:rPr>
              <w:t>。</w:t>
            </w:r>
          </w:p>
          <w:p w14:paraId="3BB161DD">
            <w:pPr>
              <w:autoSpaceDE w:val="0"/>
              <w:autoSpaceDN w:val="0"/>
              <w:spacing w:line="360" w:lineRule="auto"/>
              <w:ind w:firstLine="480" w:firstLineChars="200"/>
              <w:rPr>
                <w:rFonts w:hint="eastAsia" w:ascii="Times New Roman" w:hAnsi="Times New Roman" w:eastAsia="宋体" w:cs="Times New Roman"/>
                <w:color w:val="auto"/>
                <w:kern w:val="0"/>
                <w:sz w:val="24"/>
                <w:szCs w:val="21"/>
                <w:lang w:eastAsia="zh-CN"/>
              </w:rPr>
            </w:pPr>
            <w:r>
              <w:rPr>
                <w:rFonts w:ascii="Times New Roman" w:hAnsi="Times New Roman" w:eastAsia="宋体" w:cs="Times New Roman"/>
                <w:color w:val="auto"/>
                <w:kern w:val="0"/>
                <w:sz w:val="24"/>
                <w:szCs w:val="21"/>
              </w:rPr>
              <w:t>一般固废：</w:t>
            </w:r>
            <w:r>
              <w:rPr>
                <w:rFonts w:hint="eastAsia" w:ascii="Times New Roman" w:hAnsi="Times New Roman" w:eastAsia="宋体" w:cs="Times New Roman"/>
                <w:bCs/>
                <w:color w:val="auto"/>
                <w:sz w:val="24"/>
                <w:szCs w:val="24"/>
                <w:lang w:eastAsia="zh-CN"/>
              </w:rPr>
              <w:t>废</w:t>
            </w:r>
            <w:r>
              <w:rPr>
                <w:rFonts w:hint="eastAsia" w:ascii="Times New Roman" w:hAnsi="Times New Roman" w:eastAsia="宋体" w:cs="Times New Roman"/>
                <w:color w:val="auto"/>
                <w:sz w:val="24"/>
                <w:szCs w:val="24"/>
                <w:highlight w:val="none"/>
                <w:lang w:eastAsia="zh-CN"/>
              </w:rPr>
              <w:t>泥浆暂存于</w:t>
            </w:r>
            <w:r>
              <w:rPr>
                <w:rFonts w:hint="eastAsia" w:ascii="Times New Roman" w:hAnsi="Times New Roman" w:eastAsia="宋体" w:cs="Times New Roman"/>
                <w:bCs/>
                <w:color w:val="auto"/>
                <w:sz w:val="24"/>
                <w:szCs w:val="24"/>
                <w:lang w:eastAsia="zh-CN"/>
              </w:rPr>
              <w:t>废浆池中</w:t>
            </w:r>
            <w:r>
              <w:rPr>
                <w:rFonts w:hint="eastAsia" w:ascii="Times New Roman" w:hAnsi="Times New Roman" w:eastAsia="宋体" w:cs="Times New Roman"/>
                <w:bCs/>
                <w:color w:val="auto"/>
                <w:sz w:val="24"/>
                <w:szCs w:val="24"/>
                <w:lang w:val="en-US" w:eastAsia="zh-CN"/>
              </w:rPr>
              <w:t>，施工完成后加入固化剂固化后用于周</w:t>
            </w:r>
            <w:r>
              <w:rPr>
                <w:rFonts w:hint="eastAsia" w:ascii="Times New Roman" w:hAnsi="Times New Roman" w:eastAsia="宋体" w:cs="Times New Roman"/>
                <w:color w:val="auto"/>
                <w:kern w:val="0"/>
                <w:sz w:val="24"/>
                <w:szCs w:val="24"/>
                <w:highlight w:val="none"/>
                <w:lang w:val="en-US" w:eastAsia="zh-CN" w:bidi="ar-SA"/>
              </w:rPr>
              <w:t>边道路填筑或者交第三方公司综合利用。钻井</w:t>
            </w:r>
            <w:r>
              <w:rPr>
                <w:rFonts w:hint="eastAsia" w:ascii="Times New Roman" w:hAnsi="Times New Roman" w:eastAsia="宋体" w:cs="Times New Roman"/>
                <w:color w:val="auto"/>
                <w:sz w:val="24"/>
                <w:szCs w:val="24"/>
                <w:highlight w:val="none"/>
                <w:lang w:eastAsia="zh-CN"/>
              </w:rPr>
              <w:t>岩屑</w:t>
            </w:r>
            <w:r>
              <w:rPr>
                <w:rFonts w:ascii="Times New Roman" w:hAnsi="Times New Roman" w:eastAsia="宋体" w:cs="Times New Roman"/>
                <w:bCs/>
                <w:color w:val="auto"/>
                <w:sz w:val="24"/>
                <w:szCs w:val="24"/>
              </w:rPr>
              <w:t>暂存于</w:t>
            </w:r>
            <w:r>
              <w:rPr>
                <w:rFonts w:hint="eastAsia" w:ascii="Times New Roman" w:hAnsi="Times New Roman" w:eastAsia="宋体" w:cs="Times New Roman"/>
                <w:bCs/>
                <w:color w:val="auto"/>
                <w:sz w:val="24"/>
                <w:szCs w:val="24"/>
                <w:lang w:eastAsia="zh-CN"/>
              </w:rPr>
              <w:t>场地砂池中，自然干化用于</w:t>
            </w:r>
            <w:r>
              <w:rPr>
                <w:rFonts w:hint="eastAsia" w:ascii="Times New Roman" w:hAnsi="Times New Roman" w:eastAsia="宋体" w:cs="Times New Roman"/>
                <w:color w:val="auto"/>
                <w:kern w:val="0"/>
                <w:sz w:val="24"/>
                <w:szCs w:val="24"/>
                <w:highlight w:val="none"/>
                <w:lang w:val="en-US" w:eastAsia="zh-CN" w:bidi="ar-SA"/>
              </w:rPr>
              <w:t>周边道路填筑。</w:t>
            </w:r>
            <w:r>
              <w:rPr>
                <w:rFonts w:ascii="Times New Roman" w:hAnsi="Times New Roman" w:eastAsia="宋体" w:cs="Times New Roman"/>
                <w:color w:val="auto"/>
                <w:kern w:val="0"/>
                <w:sz w:val="24"/>
                <w:szCs w:val="21"/>
              </w:rPr>
              <w:t>废包装材料集中收集后外售</w:t>
            </w:r>
            <w:r>
              <w:rPr>
                <w:rFonts w:hint="eastAsia" w:ascii="Times New Roman" w:hAnsi="Times New Roman" w:eastAsia="宋体" w:cs="Times New Roman"/>
                <w:color w:val="auto"/>
                <w:kern w:val="0"/>
                <w:sz w:val="24"/>
                <w:szCs w:val="21"/>
              </w:rPr>
              <w:t>处置</w:t>
            </w:r>
            <w:r>
              <w:rPr>
                <w:rFonts w:hint="eastAsia" w:ascii="Times New Roman" w:hAnsi="Times New Roman" w:eastAsia="宋体" w:cs="Times New Roman"/>
                <w:color w:val="auto"/>
                <w:kern w:val="0"/>
                <w:sz w:val="24"/>
                <w:szCs w:val="21"/>
                <w:lang w:eastAsia="zh-CN"/>
              </w:rPr>
              <w:t>，</w:t>
            </w:r>
            <w:r>
              <w:rPr>
                <w:rFonts w:hint="eastAsia" w:ascii="Times New Roman" w:hAnsi="Times New Roman" w:eastAsia="宋体" w:cs="Times New Roman"/>
                <w:color w:val="auto"/>
                <w:sz w:val="24"/>
                <w:szCs w:val="24"/>
              </w:rPr>
              <w:t>废包装</w:t>
            </w:r>
            <w:r>
              <w:rPr>
                <w:rFonts w:hint="eastAsia" w:ascii="Times New Roman" w:hAnsi="Times New Roman" w:eastAsia="宋体" w:cs="Times New Roman"/>
                <w:color w:val="auto"/>
                <w:sz w:val="24"/>
                <w:szCs w:val="24"/>
                <w:lang w:eastAsia="zh-CN"/>
              </w:rPr>
              <w:t>袋</w:t>
            </w:r>
            <w:r>
              <w:rPr>
                <w:rFonts w:hint="eastAsia" w:ascii="Times New Roman" w:hAnsi="宋体" w:eastAsia="宋体" w:cs="Times New Roman"/>
                <w:color w:val="auto"/>
                <w:sz w:val="24"/>
              </w:rPr>
              <w:t>拆包</w:t>
            </w:r>
            <w:r>
              <w:rPr>
                <w:rFonts w:hint="eastAsia" w:ascii="Times New Roman" w:hAnsi="宋体" w:eastAsia="宋体" w:cs="Times New Roman"/>
                <w:color w:val="auto"/>
                <w:sz w:val="24"/>
                <w:lang w:eastAsia="zh-CN"/>
              </w:rPr>
              <w:t>后即外售给综合利用人员，施工场地不存储</w:t>
            </w:r>
            <w:r>
              <w:rPr>
                <w:rFonts w:hint="eastAsia" w:ascii="Times New Roman" w:hAnsi="Times New Roman" w:eastAsia="宋体" w:cs="Times New Roman"/>
                <w:color w:val="auto"/>
                <w:kern w:val="0"/>
                <w:sz w:val="24"/>
                <w:szCs w:val="21"/>
                <w:lang w:eastAsia="zh-CN"/>
              </w:rPr>
              <w:t>。</w:t>
            </w:r>
            <w:r>
              <w:rPr>
                <w:rFonts w:hint="eastAsia" w:ascii="Times New Roman" w:hAnsi="Times New Roman" w:eastAsia="宋体" w:cs="Times New Roman"/>
                <w:bCs/>
                <w:color w:val="auto"/>
                <w:sz w:val="24"/>
                <w:szCs w:val="24"/>
                <w:lang w:val="en-US" w:eastAsia="zh-CN"/>
              </w:rPr>
              <w:t>施工过程中各池体开挖及定向钻施工过程中会产生部分工程弃土，暂存于厂区西北角弃土堆放区，施工完成后用于场区整平。</w:t>
            </w:r>
            <w:r>
              <w:rPr>
                <w:rFonts w:ascii="Times New Roman" w:hAnsi="Times New Roman" w:eastAsia="宋体" w:cs="Times New Roman"/>
                <w:color w:val="auto"/>
                <w:kern w:val="0"/>
                <w:sz w:val="24"/>
                <w:szCs w:val="21"/>
              </w:rPr>
              <w:t>生活垃圾依托附近居民垃圾桶统一收集后，由环卫部门清运</w:t>
            </w:r>
            <w:r>
              <w:rPr>
                <w:rFonts w:hint="eastAsia" w:ascii="Times New Roman" w:hAnsi="Times New Roman" w:eastAsia="宋体" w:cs="Times New Roman"/>
                <w:color w:val="auto"/>
                <w:kern w:val="0"/>
                <w:sz w:val="24"/>
                <w:szCs w:val="21"/>
                <w:lang w:eastAsia="zh-CN"/>
              </w:rPr>
              <w:t>。</w:t>
            </w:r>
          </w:p>
          <w:p w14:paraId="3F13916F">
            <w:pPr>
              <w:autoSpaceDE w:val="0"/>
              <w:autoSpaceDN w:val="0"/>
              <w:spacing w:line="360" w:lineRule="auto"/>
              <w:ind w:firstLine="480" w:firstLineChars="200"/>
              <w:rPr>
                <w:rFonts w:hint="eastAsia"/>
                <w:color w:val="auto"/>
                <w:sz w:val="24"/>
                <w:szCs w:val="24"/>
                <w:highlight w:val="none"/>
                <w:vertAlign w:val="baseline"/>
                <w:lang w:val="en-US" w:eastAsia="zh-CN"/>
              </w:rPr>
            </w:pPr>
            <w:r>
              <w:rPr>
                <w:rFonts w:ascii="Times New Roman" w:hAnsi="Times New Roman" w:eastAsia="宋体" w:cs="Times New Roman"/>
                <w:color w:val="auto"/>
                <w:kern w:val="0"/>
                <w:sz w:val="24"/>
                <w:szCs w:val="21"/>
              </w:rPr>
              <w:t>危险废物：废含油抹布和废含油手套</w:t>
            </w:r>
            <w:r>
              <w:rPr>
                <w:rFonts w:hint="eastAsia"/>
                <w:color w:val="auto"/>
                <w:sz w:val="24"/>
                <w:szCs w:val="24"/>
                <w:highlight w:val="none"/>
                <w:vertAlign w:val="baseline"/>
                <w:lang w:val="en-US" w:eastAsia="zh-CN"/>
              </w:rPr>
              <w:t>收集后暂存于潘一东瓦斯发电站内的危废暂存间，定期交有资质的单位处置。</w:t>
            </w:r>
          </w:p>
          <w:p w14:paraId="206CC36C">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项目危险废物管理要求：</w:t>
            </w:r>
          </w:p>
          <w:p w14:paraId="27A70634">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项目对</w:t>
            </w:r>
            <w:r>
              <w:rPr>
                <w:rFonts w:ascii="Times New Roman" w:hAnsi="Times New Roman" w:eastAsia="宋体" w:cs="Times New Roman"/>
                <w:color w:val="auto"/>
                <w:kern w:val="0"/>
                <w:sz w:val="24"/>
                <w:szCs w:val="21"/>
              </w:rPr>
              <w:t>废含油抹布和废含油手套</w:t>
            </w:r>
            <w:r>
              <w:rPr>
                <w:rFonts w:ascii="Times New Roman" w:hAnsi="Times New Roman" w:eastAsia="宋体" w:cs="Times New Roman"/>
                <w:color w:val="auto"/>
                <w:kern w:val="0"/>
                <w:sz w:val="24"/>
                <w:szCs w:val="24"/>
              </w:rPr>
              <w:t>的收集、贮存和运输应满足《危险废物收集、贮存、运输技术规范》（HJ2025-2012）相关要求，本次评价提出相关管理措施如下：</w:t>
            </w:r>
          </w:p>
          <w:p w14:paraId="3456B529">
            <w:pPr>
              <w:autoSpaceDE w:val="0"/>
              <w:autoSpaceDN w:val="0"/>
              <w:spacing w:line="360" w:lineRule="auto"/>
              <w:ind w:firstLine="482" w:firstLineChars="200"/>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收集</w:t>
            </w:r>
          </w:p>
          <w:p w14:paraId="26BB46A4">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采用专用容器进行收集，严格按照相关规定在产生源收集，并保证收集所用</w:t>
            </w:r>
            <w:r>
              <w:rPr>
                <w:rFonts w:hint="eastAsia" w:ascii="Times New Roman" w:hAnsi="Times New Roman" w:eastAsia="宋体" w:cs="Times New Roman"/>
                <w:color w:val="auto"/>
                <w:kern w:val="0"/>
                <w:sz w:val="24"/>
                <w:szCs w:val="24"/>
                <w:lang w:eastAsia="zh-CN"/>
              </w:rPr>
              <w:t>容器</w:t>
            </w:r>
            <w:r>
              <w:rPr>
                <w:rFonts w:ascii="Times New Roman" w:hAnsi="Times New Roman" w:eastAsia="宋体" w:cs="Times New Roman"/>
                <w:color w:val="auto"/>
                <w:kern w:val="0"/>
                <w:sz w:val="24"/>
                <w:szCs w:val="24"/>
              </w:rPr>
              <w:t>完好无损，无腐蚀、损毁或其他导致其使用能效减弱的缺陷，设置警示标识，并及时安全转运或处理处置。</w:t>
            </w:r>
          </w:p>
          <w:p w14:paraId="44EDECA7">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②</w:t>
            </w:r>
            <w:r>
              <w:rPr>
                <w:rFonts w:ascii="Times New Roman" w:hAnsi="Times New Roman" w:eastAsia="宋体" w:cs="Times New Roman"/>
                <w:color w:val="auto"/>
                <w:kern w:val="0"/>
                <w:sz w:val="24"/>
                <w:szCs w:val="24"/>
              </w:rPr>
              <w:t>禁止将一般固废、生活垃圾等混入危险废物收集设施内。</w:t>
            </w:r>
          </w:p>
          <w:p w14:paraId="1F02CDBA">
            <w:pPr>
              <w:autoSpaceDE w:val="0"/>
              <w:autoSpaceDN w:val="0"/>
              <w:spacing w:line="360" w:lineRule="auto"/>
              <w:ind w:firstLine="482" w:firstLineChars="200"/>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暂存</w:t>
            </w:r>
          </w:p>
          <w:p w14:paraId="2F588696">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sz w:val="24"/>
                <w:szCs w:val="24"/>
                <w:lang w:val="en-US" w:eastAsia="zh-CN"/>
              </w:rPr>
              <w:t>本项目危废</w:t>
            </w:r>
            <w:r>
              <w:rPr>
                <w:rFonts w:hint="eastAsia"/>
                <w:color w:val="auto"/>
                <w:sz w:val="24"/>
                <w:szCs w:val="24"/>
                <w:highlight w:val="none"/>
                <w:vertAlign w:val="baseline"/>
                <w:lang w:val="en-US" w:eastAsia="zh-CN"/>
              </w:rPr>
              <w:t>暂存于潘一东瓦斯发电站内的危废暂存间</w:t>
            </w:r>
            <w:r>
              <w:rPr>
                <w:rFonts w:ascii="Times New Roman" w:hAnsi="Times New Roman" w:eastAsia="宋体" w:cs="Times New Roman"/>
                <w:color w:val="auto"/>
                <w:kern w:val="0"/>
                <w:sz w:val="24"/>
                <w:szCs w:val="24"/>
              </w:rPr>
              <w:t>，危险废物暂存间的设置应满足《危险废物收集贮存运输技术规范》（HJ2025-2012）和</w:t>
            </w:r>
            <w:r>
              <w:rPr>
                <w:rFonts w:ascii="Times New Roman" w:cs="Times New Roman"/>
                <w:color w:val="auto"/>
                <w:kern w:val="0"/>
                <w:sz w:val="24"/>
                <w:szCs w:val="24"/>
              </w:rPr>
              <w:t>《危险废物贮存污染控制标准》（</w:t>
            </w:r>
            <w:r>
              <w:rPr>
                <w:rFonts w:ascii="Times New Roman" w:hAnsi="Times New Roman" w:cs="Times New Roman"/>
                <w:color w:val="auto"/>
                <w:kern w:val="0"/>
                <w:sz w:val="24"/>
                <w:szCs w:val="24"/>
              </w:rPr>
              <w:t>GB18597-2023</w:t>
            </w:r>
            <w:r>
              <w:rPr>
                <w:rFonts w:ascii="Times New Roman" w:cs="Times New Roman"/>
                <w:color w:val="auto"/>
                <w:kern w:val="0"/>
                <w:sz w:val="24"/>
                <w:szCs w:val="24"/>
              </w:rPr>
              <w:t>）中</w:t>
            </w:r>
            <w:r>
              <w:rPr>
                <w:rFonts w:ascii="Times New Roman" w:hAnsi="Times New Roman" w:eastAsia="宋体" w:cs="Times New Roman"/>
                <w:color w:val="auto"/>
                <w:kern w:val="0"/>
                <w:sz w:val="24"/>
                <w:szCs w:val="24"/>
              </w:rPr>
              <w:t>的环保要求。</w:t>
            </w:r>
          </w:p>
          <w:p w14:paraId="0049588F">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危险废物暂存间选址、设计、标识、运行、安全防护和关闭等措施应按照《危险废物贮存控制标准》的相关要求进行，对危险废物暂存间按要求进行重点防渗，即采用“</w:t>
            </w:r>
            <w:r>
              <w:rPr>
                <w:rFonts w:hint="eastAsia" w:ascii="Times New Roman" w:hAnsi="Times New Roman" w:eastAsia="宋体" w:cs="Times New Roman"/>
                <w:color w:val="auto"/>
                <w:kern w:val="0"/>
                <w:sz w:val="24"/>
                <w:szCs w:val="24"/>
              </w:rPr>
              <w:t>15cm抗</w:t>
            </w:r>
            <w:r>
              <w:rPr>
                <w:rFonts w:ascii="Times New Roman" w:hAnsi="Times New Roman" w:eastAsia="宋体" w:cs="Times New Roman"/>
                <w:color w:val="auto"/>
                <w:kern w:val="0"/>
                <w:sz w:val="24"/>
                <w:szCs w:val="24"/>
              </w:rPr>
              <w:t>渗混凝土+</w:t>
            </w:r>
            <w:r>
              <w:rPr>
                <w:rFonts w:hint="eastAsia" w:ascii="Times New Roman" w:hAnsi="Times New Roman" w:eastAsia="宋体" w:cs="Times New Roman"/>
                <w:color w:val="auto"/>
                <w:kern w:val="0"/>
                <w:sz w:val="24"/>
                <w:szCs w:val="24"/>
              </w:rPr>
              <w:t>2mmHDPE膜或等效材料</w:t>
            </w:r>
            <w:r>
              <w:rPr>
                <w:rFonts w:ascii="Times New Roman" w:hAnsi="Times New Roman" w:eastAsia="宋体" w:cs="Times New Roman"/>
                <w:color w:val="auto"/>
                <w:kern w:val="0"/>
                <w:sz w:val="24"/>
                <w:szCs w:val="24"/>
              </w:rPr>
              <w:t>”进行防渗，确保渗透系数不大于10</w:t>
            </w:r>
            <w:r>
              <w:rPr>
                <w:rFonts w:ascii="Times New Roman" w:hAnsi="Times New Roman" w:eastAsia="宋体" w:cs="Times New Roman"/>
                <w:color w:val="auto"/>
                <w:kern w:val="0"/>
                <w:sz w:val="24"/>
                <w:szCs w:val="24"/>
                <w:vertAlign w:val="superscript"/>
              </w:rPr>
              <w:t>-10</w:t>
            </w:r>
            <w:r>
              <w:rPr>
                <w:rFonts w:ascii="Times New Roman" w:hAnsi="Times New Roman" w:eastAsia="宋体" w:cs="Times New Roman"/>
                <w:color w:val="auto"/>
                <w:kern w:val="0"/>
                <w:sz w:val="24"/>
                <w:szCs w:val="24"/>
              </w:rPr>
              <w:t>cm/s</w:t>
            </w:r>
            <w:r>
              <w:rPr>
                <w:rFonts w:hint="eastAsia" w:ascii="Times New Roman" w:hAnsi="Times New Roman" w:eastAsia="宋体" w:cs="Times New Roman"/>
                <w:color w:val="auto"/>
                <w:kern w:val="0"/>
                <w:sz w:val="24"/>
                <w:szCs w:val="24"/>
              </w:rPr>
              <w:t>。</w:t>
            </w:r>
          </w:p>
          <w:p w14:paraId="2368B0B9">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②</w:t>
            </w:r>
            <w:r>
              <w:rPr>
                <w:rFonts w:ascii="Times New Roman" w:hAnsi="Times New Roman" w:eastAsia="宋体" w:cs="Times New Roman"/>
                <w:color w:val="auto"/>
                <w:kern w:val="0"/>
                <w:sz w:val="24"/>
                <w:szCs w:val="24"/>
              </w:rPr>
              <w:t>危险废物暂存间内的危险废物需做到及时外运妥善处置，确保场内有足够接纳能力，避免场内危险废物暂存容量超过负荷导致收贮不合理，造成危废</w:t>
            </w:r>
            <w:r>
              <w:rPr>
                <w:rFonts w:hint="eastAsia" w:ascii="Times New Roman" w:hAnsi="Times New Roman" w:eastAsia="宋体" w:cs="Times New Roman"/>
                <w:color w:val="auto"/>
                <w:kern w:val="0"/>
                <w:sz w:val="24"/>
                <w:szCs w:val="24"/>
              </w:rPr>
              <w:t>泄漏</w:t>
            </w:r>
            <w:r>
              <w:rPr>
                <w:rFonts w:ascii="Times New Roman" w:hAnsi="Times New Roman" w:eastAsia="宋体" w:cs="Times New Roman"/>
                <w:color w:val="auto"/>
                <w:kern w:val="0"/>
                <w:sz w:val="24"/>
                <w:szCs w:val="24"/>
              </w:rPr>
              <w:t>。</w:t>
            </w:r>
          </w:p>
          <w:p w14:paraId="0E4A5BCB">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③</w:t>
            </w:r>
            <w:r>
              <w:rPr>
                <w:rFonts w:ascii="Times New Roman" w:hAnsi="Times New Roman" w:eastAsia="宋体" w:cs="Times New Roman"/>
                <w:color w:val="auto"/>
                <w:kern w:val="0"/>
                <w:sz w:val="24"/>
                <w:szCs w:val="24"/>
              </w:rPr>
              <w:t>危险废物贮存设施必须按照GB15562.2</w:t>
            </w:r>
            <w:r>
              <w:rPr>
                <w:rFonts w:hint="eastAsia" w:ascii="Times New Roman" w:hAnsi="Times New Roman" w:eastAsia="宋体" w:cs="Times New Roman"/>
                <w:color w:val="auto"/>
                <w:kern w:val="0"/>
                <w:sz w:val="24"/>
                <w:szCs w:val="24"/>
              </w:rPr>
              <w:t>-1995</w:t>
            </w:r>
            <w:r>
              <w:rPr>
                <w:rFonts w:ascii="Times New Roman" w:hAnsi="Times New Roman" w:eastAsia="宋体" w:cs="Times New Roman"/>
                <w:color w:val="auto"/>
                <w:kern w:val="0"/>
                <w:sz w:val="24"/>
                <w:szCs w:val="24"/>
              </w:rPr>
              <w:t>的规定设置警示标志。</w:t>
            </w:r>
          </w:p>
          <w:p w14:paraId="10C157EB">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④</w:t>
            </w:r>
            <w:r>
              <w:rPr>
                <w:rFonts w:ascii="Times New Roman" w:hAnsi="Times New Roman" w:eastAsia="宋体" w:cs="Times New Roman"/>
                <w:color w:val="auto"/>
                <w:kern w:val="0"/>
                <w:sz w:val="24"/>
                <w:szCs w:val="24"/>
              </w:rPr>
              <w:t>危险废物暂存设施要进行防风、防雨、防晒、防流失。</w:t>
            </w:r>
          </w:p>
          <w:p w14:paraId="2DF27F17">
            <w:pPr>
              <w:autoSpaceDE w:val="0"/>
              <w:autoSpaceDN w:val="0"/>
              <w:spacing w:line="360" w:lineRule="auto"/>
              <w:ind w:firstLine="482" w:firstLineChars="200"/>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转运</w:t>
            </w:r>
          </w:p>
          <w:p w14:paraId="0A0FF0D1">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危险废物运输应由持有危险废物经营许可证的单位按照其许可证的经营范围组织实施，承担危险废物运输的单位应获得交通运输部门颁发的危险货物运输资质。公路运输应按照《道路危险货物运输管理规定》、JT617及JT618执行，危险废物须用危险货物专用车辆进行运输，并按《道路运输危险货物车辆标志》（GB13392-2005）设置车辆标志。</w:t>
            </w:r>
          </w:p>
          <w:p w14:paraId="30535D9D">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②</w:t>
            </w:r>
            <w:r>
              <w:rPr>
                <w:rFonts w:ascii="Times New Roman" w:hAnsi="Times New Roman" w:eastAsia="宋体" w:cs="Times New Roman"/>
                <w:color w:val="auto"/>
                <w:kern w:val="0"/>
                <w:sz w:val="24"/>
                <w:szCs w:val="24"/>
              </w:rPr>
              <w:t>转移、运输时应按照《危险废物转移联单管理办法》的规定填写危险废物转移联单；如实记录转移起始位置、数量、车辆车牌号、经办人员等信息。</w:t>
            </w:r>
          </w:p>
          <w:p w14:paraId="6CAEE22E">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③</w:t>
            </w:r>
            <w:r>
              <w:rPr>
                <w:rFonts w:ascii="Times New Roman" w:hAnsi="Times New Roman" w:eastAsia="宋体" w:cs="Times New Roman"/>
                <w:color w:val="auto"/>
                <w:kern w:val="0"/>
                <w:sz w:val="24"/>
                <w:szCs w:val="24"/>
              </w:rPr>
              <w:t>危险废物运输路线应避开饮用水源保护区、生态红线区、自然保护区、人口密城镇等特殊环境敏感区。</w:t>
            </w:r>
          </w:p>
          <w:p w14:paraId="0326745A">
            <w:pPr>
              <w:autoSpaceDE w:val="0"/>
              <w:autoSpaceDN w:val="0"/>
              <w:spacing w:line="360" w:lineRule="auto"/>
              <w:ind w:firstLine="480" w:firstLineChars="200"/>
              <w:rPr>
                <w:rFonts w:hint="eastAsia" w:ascii="Times New Roman" w:hAnsi="Times New Roman" w:eastAsia="宋体" w:cs="Times New Roman"/>
                <w:color w:val="auto"/>
                <w:kern w:val="0"/>
                <w:sz w:val="24"/>
                <w:szCs w:val="21"/>
                <w:lang w:eastAsia="zh-CN"/>
              </w:rPr>
            </w:pPr>
            <w:r>
              <w:rPr>
                <w:rFonts w:hint="eastAsia" w:ascii="Times New Roman" w:hAnsi="Times New Roman" w:eastAsia="宋体" w:cs="Times New Roman"/>
                <w:color w:val="auto"/>
                <w:kern w:val="0"/>
                <w:sz w:val="24"/>
                <w:szCs w:val="21"/>
                <w:lang w:eastAsia="zh-CN"/>
              </w:rPr>
              <w:t>项目施工过程中应加强废弃泥浆的管理，严禁随意丢弃和排放，避免对周边环境造成污染。</w:t>
            </w:r>
          </w:p>
          <w:p w14:paraId="1701F5E7">
            <w:pPr>
              <w:autoSpaceDE w:val="0"/>
              <w:autoSpaceDN w:val="0"/>
              <w:spacing w:line="360" w:lineRule="auto"/>
              <w:rPr>
                <w:rFonts w:ascii="宋体" w:hAnsi="宋体" w:eastAsia="宋体" w:cs="宋体"/>
                <w:bCs/>
                <w:color w:val="auto"/>
                <w:spacing w:val="10"/>
                <w:kern w:val="0"/>
                <w:sz w:val="24"/>
                <w:szCs w:val="21"/>
              </w:rPr>
            </w:pPr>
          </w:p>
        </w:tc>
      </w:tr>
      <w:tr w14:paraId="14E3B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753" w:type="dxa"/>
            <w:tcMar>
              <w:left w:w="28" w:type="dxa"/>
              <w:right w:w="28" w:type="dxa"/>
            </w:tcMar>
            <w:vAlign w:val="center"/>
          </w:tcPr>
          <w:p w14:paraId="0558ED33">
            <w:pPr>
              <w:jc w:val="center"/>
              <w:rPr>
                <w:rFonts w:ascii="宋体" w:hAnsi="宋体" w:eastAsia="宋体" w:cs="宋体"/>
                <w:bCs/>
                <w:color w:val="auto"/>
                <w:spacing w:val="10"/>
                <w:sz w:val="24"/>
                <w:szCs w:val="24"/>
              </w:rPr>
            </w:pPr>
            <w:r>
              <w:rPr>
                <w:rFonts w:hint="eastAsia" w:ascii="宋体" w:hAnsi="宋体" w:eastAsia="宋体" w:cs="宋体"/>
                <w:bCs/>
                <w:color w:val="auto"/>
                <w:spacing w:val="10"/>
                <w:sz w:val="24"/>
                <w:szCs w:val="24"/>
              </w:rPr>
              <w:t>运营期生态环境保护措施</w:t>
            </w:r>
          </w:p>
        </w:tc>
        <w:tc>
          <w:tcPr>
            <w:tcW w:w="8457" w:type="dxa"/>
            <w:vAlign w:val="center"/>
          </w:tcPr>
          <w:p w14:paraId="28487800">
            <w:pPr>
              <w:spacing w:line="360" w:lineRule="auto"/>
              <w:ind w:firstLine="520" w:firstLineChars="200"/>
              <w:rPr>
                <w:rFonts w:ascii="Times New Roman" w:hAnsi="Times New Roman" w:eastAsia="宋体" w:cs="Times New Roman"/>
                <w:bCs/>
                <w:color w:val="auto"/>
                <w:spacing w:val="10"/>
                <w:sz w:val="24"/>
                <w:szCs w:val="24"/>
              </w:rPr>
            </w:pPr>
            <w:r>
              <w:rPr>
                <w:rFonts w:hint="eastAsia" w:ascii="Times New Roman" w:hAnsi="Times New Roman" w:eastAsia="宋体" w:cs="Times New Roman"/>
                <w:bCs/>
                <w:color w:val="auto"/>
                <w:spacing w:val="10"/>
                <w:sz w:val="24"/>
                <w:szCs w:val="24"/>
                <w:lang w:eastAsia="zh-CN"/>
              </w:rPr>
              <w:t>项目施工完成后即</w:t>
            </w:r>
            <w:r>
              <w:rPr>
                <w:rFonts w:hint="eastAsia" w:ascii="Times New Roman" w:hAnsi="Times New Roman" w:eastAsia="宋体" w:cs="Times New Roman"/>
                <w:bCs/>
                <w:color w:val="auto"/>
                <w:spacing w:val="10"/>
                <w:sz w:val="24"/>
                <w:szCs w:val="24"/>
              </w:rPr>
              <w:t>进行现场清理和生态恢复工作</w:t>
            </w:r>
            <w:r>
              <w:rPr>
                <w:rFonts w:hint="eastAsia" w:ascii="Times New Roman" w:hAnsi="Times New Roman" w:eastAsia="宋体" w:cs="Times New Roman"/>
                <w:bCs/>
                <w:color w:val="auto"/>
                <w:spacing w:val="10"/>
                <w:sz w:val="24"/>
                <w:szCs w:val="24"/>
                <w:lang w:eastAsia="zh-CN"/>
              </w:rPr>
              <w:t>，</w:t>
            </w:r>
            <w:r>
              <w:rPr>
                <w:rFonts w:hint="eastAsia" w:ascii="宋体" w:hAnsi="宋体" w:eastAsia="宋体" w:cs="宋体"/>
                <w:bCs/>
                <w:color w:val="auto"/>
                <w:spacing w:val="10"/>
                <w:sz w:val="24"/>
                <w:szCs w:val="24"/>
              </w:rPr>
              <w:t>运营期</w:t>
            </w:r>
            <w:r>
              <w:rPr>
                <w:rFonts w:ascii="Times New Roman" w:hAnsi="Times New Roman" w:eastAsia="宋体" w:cs="Times New Roman"/>
                <w:bCs/>
                <w:color w:val="auto"/>
                <w:spacing w:val="10"/>
                <w:sz w:val="24"/>
                <w:szCs w:val="24"/>
              </w:rPr>
              <w:t>现场无“三废”、噪声排放</w:t>
            </w:r>
            <w:r>
              <w:rPr>
                <w:rFonts w:hint="eastAsia" w:ascii="Times New Roman" w:hAnsi="Times New Roman" w:eastAsia="宋体" w:cs="Times New Roman"/>
                <w:bCs/>
                <w:color w:val="auto"/>
                <w:spacing w:val="10"/>
                <w:sz w:val="24"/>
                <w:szCs w:val="24"/>
              </w:rPr>
              <w:t>，</w:t>
            </w:r>
            <w:r>
              <w:rPr>
                <w:rFonts w:hint="eastAsia" w:ascii="Times New Roman" w:hAnsi="Times New Roman" w:eastAsia="宋体" w:cs="Times New Roman"/>
                <w:bCs/>
                <w:color w:val="auto"/>
                <w:spacing w:val="10"/>
                <w:sz w:val="24"/>
                <w:szCs w:val="24"/>
                <w:lang w:eastAsia="zh-CN"/>
              </w:rPr>
              <w:t>不会对</w:t>
            </w:r>
            <w:r>
              <w:rPr>
                <w:rFonts w:ascii="Times New Roman" w:hAnsi="Times New Roman" w:eastAsia="宋体" w:cs="Times New Roman"/>
                <w:bCs/>
                <w:color w:val="auto"/>
                <w:spacing w:val="10"/>
                <w:sz w:val="24"/>
                <w:szCs w:val="24"/>
              </w:rPr>
              <w:t>生态环境</w:t>
            </w:r>
            <w:r>
              <w:rPr>
                <w:rFonts w:hint="eastAsia" w:ascii="Times New Roman" w:hAnsi="Times New Roman" w:eastAsia="宋体" w:cs="Times New Roman"/>
                <w:bCs/>
                <w:color w:val="auto"/>
                <w:spacing w:val="10"/>
                <w:sz w:val="24"/>
                <w:szCs w:val="24"/>
                <w:lang w:eastAsia="zh-CN"/>
              </w:rPr>
              <w:t>产生</w:t>
            </w:r>
            <w:r>
              <w:rPr>
                <w:rFonts w:ascii="Times New Roman" w:hAnsi="Times New Roman" w:eastAsia="宋体" w:cs="Times New Roman"/>
                <w:bCs/>
                <w:color w:val="auto"/>
                <w:spacing w:val="10"/>
                <w:sz w:val="24"/>
                <w:szCs w:val="24"/>
              </w:rPr>
              <w:t>影响。</w:t>
            </w:r>
          </w:p>
        </w:tc>
      </w:tr>
      <w:tr w14:paraId="10265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53" w:type="dxa"/>
            <w:tcMar>
              <w:left w:w="28" w:type="dxa"/>
              <w:right w:w="28" w:type="dxa"/>
            </w:tcMar>
            <w:vAlign w:val="center"/>
          </w:tcPr>
          <w:p w14:paraId="5396A108">
            <w:pPr>
              <w:jc w:val="center"/>
              <w:rPr>
                <w:rFonts w:ascii="Times New Roman" w:hAnsi="Times New Roman" w:eastAsia="宋体" w:cs="Times New Roman"/>
                <w:bCs/>
                <w:color w:val="auto"/>
                <w:spacing w:val="10"/>
                <w:sz w:val="24"/>
                <w:szCs w:val="24"/>
              </w:rPr>
            </w:pPr>
            <w:r>
              <w:rPr>
                <w:rFonts w:ascii="Times New Roman" w:hAnsi="宋体" w:eastAsia="宋体" w:cs="Times New Roman"/>
                <w:bCs/>
                <w:color w:val="auto"/>
                <w:spacing w:val="10"/>
                <w:sz w:val="24"/>
                <w:szCs w:val="24"/>
              </w:rPr>
              <w:t>其他</w:t>
            </w:r>
          </w:p>
        </w:tc>
        <w:tc>
          <w:tcPr>
            <w:tcW w:w="8457" w:type="dxa"/>
            <w:vAlign w:val="center"/>
          </w:tcPr>
          <w:p w14:paraId="4D795575">
            <w:pPr>
              <w:spacing w:line="360" w:lineRule="auto"/>
              <w:ind w:firstLine="480" w:firstLineChars="200"/>
              <w:rPr>
                <w:rFonts w:hint="eastAsia"/>
                <w:color w:val="auto"/>
                <w:sz w:val="24"/>
                <w:lang w:val="en-US" w:eastAsia="zh-CN"/>
              </w:rPr>
            </w:pPr>
            <w:bookmarkStart w:id="84" w:name="_Toc370674124"/>
            <w:bookmarkStart w:id="85" w:name="_Toc372753908"/>
            <w:bookmarkStart w:id="86" w:name="_Toc370671506"/>
            <w:bookmarkStart w:id="87" w:name="_Toc4103"/>
            <w:bookmarkStart w:id="88" w:name="_Toc370673919"/>
            <w:r>
              <w:rPr>
                <w:rFonts w:hint="eastAsia"/>
                <w:color w:val="auto"/>
                <w:sz w:val="24"/>
                <w:lang w:val="en-US" w:eastAsia="zh-CN"/>
              </w:rPr>
              <w:t>环保管理</w:t>
            </w:r>
          </w:p>
          <w:p w14:paraId="0BB93AD2">
            <w:pPr>
              <w:spacing w:line="360" w:lineRule="auto"/>
              <w:ind w:firstLine="480" w:firstLineChars="200"/>
              <w:rPr>
                <w:rFonts w:ascii="Times New Roman" w:hAnsi="Times New Roman" w:cs="Times New Roman"/>
                <w:color w:val="auto"/>
                <w:sz w:val="24"/>
              </w:rPr>
            </w:pPr>
            <w:r>
              <w:rPr>
                <w:rFonts w:ascii="Times New Roman" w:cs="Times New Roman"/>
                <w:color w:val="auto"/>
                <w:sz w:val="24"/>
              </w:rPr>
              <w:t>加强环境管理是执行有关环境保护法规的重要手段，也是实现建设项目社会效益、经济效益、环境效益协调发展的必要保障。通过环境管理，可以监控本项目对区域地表水、环境空气、声环境和生态环境的影响，为本区域的环境管理、污染防治和生态保护提供依据。</w:t>
            </w:r>
          </w:p>
          <w:bookmarkEnd w:id="84"/>
          <w:bookmarkEnd w:id="85"/>
          <w:bookmarkEnd w:id="86"/>
          <w:bookmarkEnd w:id="87"/>
          <w:bookmarkEnd w:id="88"/>
          <w:p w14:paraId="38639325">
            <w:pPr>
              <w:spacing w:line="360" w:lineRule="auto"/>
              <w:ind w:firstLine="480" w:firstLineChars="200"/>
              <w:rPr>
                <w:rFonts w:ascii="Times New Roman" w:hAnsi="Times New Roman" w:cs="Times New Roman"/>
                <w:color w:val="auto"/>
                <w:sz w:val="24"/>
              </w:rPr>
            </w:pPr>
            <w:r>
              <w:rPr>
                <w:rFonts w:ascii="Times New Roman" w:cs="Times New Roman"/>
                <w:color w:val="auto"/>
                <w:sz w:val="24"/>
              </w:rPr>
              <w:t>（</w:t>
            </w:r>
            <w:r>
              <w:rPr>
                <w:rFonts w:ascii="Times New Roman" w:hAnsi="Times New Roman" w:cs="Times New Roman"/>
                <w:color w:val="auto"/>
                <w:sz w:val="24"/>
              </w:rPr>
              <w:t>1</w:t>
            </w:r>
            <w:r>
              <w:rPr>
                <w:rFonts w:ascii="Times New Roman" w:cs="Times New Roman"/>
                <w:color w:val="auto"/>
                <w:sz w:val="24"/>
              </w:rPr>
              <w:t>）管理机构</w:t>
            </w:r>
          </w:p>
          <w:p w14:paraId="29F75D0B">
            <w:pPr>
              <w:spacing w:line="360" w:lineRule="auto"/>
              <w:ind w:firstLine="480" w:firstLineChars="200"/>
              <w:rPr>
                <w:rFonts w:ascii="Times New Roman" w:hAnsi="Times New Roman" w:cs="Times New Roman"/>
                <w:color w:val="auto"/>
                <w:sz w:val="24"/>
              </w:rPr>
            </w:pPr>
            <w:r>
              <w:rPr>
                <w:rFonts w:ascii="Times New Roman" w:cs="Times New Roman"/>
                <w:color w:val="auto"/>
                <w:sz w:val="24"/>
              </w:rPr>
              <w:t>本项目的建设和管理单位均应成立相关职能部门，委任专职人员管理本项目的环保工作。具体工作包括：负责本项目在设计、施工各个阶段的环境管理资料和审批资料的收集和归档，为项目竣工环保验收提供相关的环保文件资料。与各级生态环境主管部门、行业主管部门的协调工作，协助专业单位做好施工期环保措施的设计和施工。</w:t>
            </w:r>
          </w:p>
          <w:p w14:paraId="134A8988">
            <w:pPr>
              <w:spacing w:line="360" w:lineRule="auto"/>
              <w:ind w:firstLine="480" w:firstLineChars="200"/>
              <w:rPr>
                <w:rFonts w:ascii="Times New Roman" w:hAnsi="Times New Roman" w:cs="Times New Roman"/>
                <w:color w:val="auto"/>
                <w:sz w:val="24"/>
              </w:rPr>
            </w:pPr>
            <w:r>
              <w:rPr>
                <w:rFonts w:ascii="Times New Roman" w:cs="Times New Roman"/>
                <w:color w:val="auto"/>
                <w:sz w:val="24"/>
              </w:rPr>
              <w:t>（</w:t>
            </w:r>
            <w:r>
              <w:rPr>
                <w:rFonts w:ascii="Times New Roman" w:hAnsi="Times New Roman" w:cs="Times New Roman"/>
                <w:color w:val="auto"/>
                <w:sz w:val="24"/>
              </w:rPr>
              <w:t>2</w:t>
            </w:r>
            <w:r>
              <w:rPr>
                <w:rFonts w:ascii="Times New Roman" w:cs="Times New Roman"/>
                <w:color w:val="auto"/>
                <w:sz w:val="24"/>
              </w:rPr>
              <w:t>）机构人员要求</w:t>
            </w:r>
          </w:p>
          <w:p w14:paraId="6EAB9F07">
            <w:pPr>
              <w:spacing w:line="360" w:lineRule="auto"/>
              <w:ind w:firstLine="480" w:firstLineChars="200"/>
              <w:rPr>
                <w:rFonts w:ascii="宋体" w:hAnsi="宋体" w:eastAsia="宋体" w:cs="Times New Roman"/>
                <w:b/>
                <w:bCs/>
                <w:color w:val="auto"/>
                <w:spacing w:val="10"/>
                <w:sz w:val="24"/>
                <w:szCs w:val="24"/>
              </w:rPr>
            </w:pPr>
            <w:r>
              <w:rPr>
                <w:rFonts w:ascii="Times New Roman" w:cs="Times New Roman"/>
                <w:color w:val="auto"/>
                <w:sz w:val="24"/>
              </w:rPr>
              <w:t>施工期承担现场监督任务的项目公司有关人员，人员应具备必要的环保知识和环保意识，并具备钻井项目环境管理经验。</w:t>
            </w:r>
          </w:p>
        </w:tc>
      </w:tr>
      <w:tr w14:paraId="1BFD36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14:paraId="5EB3BAF7">
            <w:pPr>
              <w:jc w:val="center"/>
              <w:rPr>
                <w:rFonts w:ascii="宋体" w:hAnsi="宋体" w:eastAsia="宋体" w:cs="宋体"/>
                <w:bCs/>
                <w:color w:val="auto"/>
                <w:spacing w:val="10"/>
                <w:sz w:val="24"/>
                <w:szCs w:val="24"/>
              </w:rPr>
            </w:pPr>
            <w:r>
              <w:rPr>
                <w:rFonts w:hint="eastAsia" w:ascii="宋体" w:hAnsi="宋体" w:eastAsia="宋体" w:cs="Times New Roman"/>
                <w:bCs/>
                <w:color w:val="auto"/>
                <w:sz w:val="24"/>
                <w:szCs w:val="24"/>
              </w:rPr>
              <w:t>环保投资</w:t>
            </w:r>
          </w:p>
        </w:tc>
        <w:tc>
          <w:tcPr>
            <w:tcW w:w="8457" w:type="dxa"/>
          </w:tcPr>
          <w:p w14:paraId="2292EEB5">
            <w:pPr>
              <w:spacing w:line="360" w:lineRule="auto"/>
              <w:ind w:firstLine="480" w:firstLineChars="200"/>
              <w:rPr>
                <w:rFonts w:ascii="Times New Roman" w:cs="Times New Roman"/>
                <w:color w:val="auto"/>
                <w:sz w:val="24"/>
              </w:rPr>
            </w:pPr>
            <w:r>
              <w:rPr>
                <w:rFonts w:ascii="Times New Roman" w:cs="Times New Roman"/>
                <w:color w:val="auto"/>
                <w:sz w:val="24"/>
              </w:rPr>
              <w:t>项目环保投</w:t>
            </w:r>
            <w:r>
              <w:rPr>
                <w:rFonts w:ascii="Times New Roman" w:cs="Times New Roman"/>
                <w:color w:val="auto"/>
                <w:sz w:val="24"/>
                <w:highlight w:val="none"/>
              </w:rPr>
              <w:t>资</w:t>
            </w:r>
            <w:r>
              <w:rPr>
                <w:rFonts w:hint="eastAsia" w:ascii="Times New Roman" w:cs="Times New Roman"/>
                <w:color w:val="auto"/>
                <w:sz w:val="24"/>
                <w:highlight w:val="none"/>
                <w:lang w:val="en-US" w:eastAsia="zh-CN"/>
              </w:rPr>
              <w:t>61</w:t>
            </w:r>
            <w:r>
              <w:rPr>
                <w:rFonts w:ascii="Times New Roman" w:cs="Times New Roman"/>
                <w:color w:val="auto"/>
                <w:sz w:val="24"/>
                <w:highlight w:val="none"/>
              </w:rPr>
              <w:t>万元</w:t>
            </w:r>
            <w:r>
              <w:rPr>
                <w:rFonts w:ascii="Times New Roman" w:cs="Times New Roman"/>
                <w:color w:val="auto"/>
                <w:sz w:val="24"/>
              </w:rPr>
              <w:t>，占总投资</w:t>
            </w:r>
            <w:r>
              <w:rPr>
                <w:rFonts w:hint="eastAsia" w:ascii="Times New Roman" w:cs="Times New Roman"/>
                <w:color w:val="auto"/>
                <w:sz w:val="24"/>
                <w:lang w:val="en-US" w:eastAsia="zh-CN"/>
              </w:rPr>
              <w:t>10036</w:t>
            </w:r>
            <w:r>
              <w:rPr>
                <w:rFonts w:ascii="Times New Roman" w:cs="Times New Roman"/>
                <w:color w:val="auto"/>
                <w:sz w:val="24"/>
              </w:rPr>
              <w:t>万元的</w:t>
            </w:r>
            <w:r>
              <w:rPr>
                <w:rFonts w:hint="eastAsia" w:ascii="Times New Roman" w:cs="Times New Roman"/>
                <w:color w:val="auto"/>
                <w:sz w:val="24"/>
                <w:lang w:val="en-US" w:eastAsia="zh-CN"/>
              </w:rPr>
              <w:t>0.61</w:t>
            </w:r>
            <w:r>
              <w:rPr>
                <w:rFonts w:ascii="Times New Roman" w:cs="Times New Roman"/>
                <w:color w:val="auto"/>
                <w:sz w:val="24"/>
              </w:rPr>
              <w:t>%，环保投资估算详见下表。</w:t>
            </w:r>
          </w:p>
          <w:p w14:paraId="775CE4F1">
            <w:pPr>
              <w:pStyle w:val="95"/>
              <w:numPr>
                <w:ilvl w:val="1"/>
                <w:numId w:val="2"/>
              </w:numPr>
              <w:tabs>
                <w:tab w:val="left" w:pos="2100"/>
                <w:tab w:val="clear" w:pos="1440"/>
              </w:tabs>
              <w:spacing w:line="240" w:lineRule="auto"/>
              <w:ind w:left="3300" w:leftChars="0" w:hanging="1200" w:firstLineChars="0"/>
              <w:jc w:val="both"/>
              <w:rPr>
                <w:rFonts w:ascii="Times New Roman" w:hAnsi="Times New Roman" w:eastAsia="黑体" w:cs="Times New Roman"/>
                <w:color w:val="auto"/>
                <w:sz w:val="24"/>
                <w:szCs w:val="24"/>
              </w:rPr>
            </w:pPr>
            <w:r>
              <w:rPr>
                <w:rFonts w:hint="eastAsia" w:ascii="宋体" w:eastAsia="宋体" w:cs="宋体"/>
                <w:color w:val="auto"/>
                <w:sz w:val="24"/>
                <w:szCs w:val="24"/>
                <w:lang w:val="en-US" w:eastAsia="zh-CN"/>
              </w:rPr>
              <w:t xml:space="preserve"> </w:t>
            </w:r>
            <w:r>
              <w:rPr>
                <w:rFonts w:hint="eastAsia" w:ascii="宋体" w:hAnsi="宋体" w:eastAsia="宋体" w:cs="宋体"/>
                <w:color w:val="auto"/>
                <w:sz w:val="24"/>
                <w:szCs w:val="24"/>
              </w:rPr>
              <w:t>环保投资一览表</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6"/>
              <w:gridCol w:w="673"/>
              <w:gridCol w:w="774"/>
              <w:gridCol w:w="5593"/>
              <w:gridCol w:w="785"/>
            </w:tblGrid>
            <w:tr w14:paraId="6C05D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63" w:type="dxa"/>
                  <w:gridSpan w:val="3"/>
                  <w:vAlign w:val="center"/>
                </w:tcPr>
                <w:p w14:paraId="1B5AAC3F">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项目</w:t>
                  </w:r>
                </w:p>
              </w:tc>
              <w:tc>
                <w:tcPr>
                  <w:tcW w:w="5593" w:type="dxa"/>
                  <w:vAlign w:val="center"/>
                </w:tcPr>
                <w:p w14:paraId="04331146">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环保措施</w:t>
                  </w:r>
                </w:p>
              </w:tc>
              <w:tc>
                <w:tcPr>
                  <w:tcW w:w="785" w:type="dxa"/>
                  <w:vAlign w:val="center"/>
                </w:tcPr>
                <w:p w14:paraId="0A97B816">
                  <w:pPr>
                    <w:spacing w:line="276" w:lineRule="auto"/>
                    <w:ind w:left="-105" w:leftChars="-50" w:right="-105" w:rightChars="-50"/>
                    <w:jc w:val="center"/>
                    <w:rPr>
                      <w:rFonts w:ascii="Times New Roman" w:hAnsi="Times New Roman" w:eastAsia="宋体" w:cs="Times New Roman"/>
                      <w:color w:val="auto"/>
                      <w:szCs w:val="24"/>
                    </w:rPr>
                  </w:pPr>
                  <w:r>
                    <w:rPr>
                      <w:rFonts w:ascii="Times New Roman" w:hAnsi="Times New Roman" w:eastAsia="宋体" w:cs="Times New Roman"/>
                      <w:color w:val="auto"/>
                      <w:szCs w:val="24"/>
                    </w:rPr>
                    <w:t>投资</w:t>
                  </w:r>
                </w:p>
                <w:p w14:paraId="7F3276B3">
                  <w:pPr>
                    <w:spacing w:line="276" w:lineRule="auto"/>
                    <w:ind w:left="-105" w:leftChars="-50" w:right="-105" w:rightChars="-50"/>
                    <w:jc w:val="center"/>
                    <w:rPr>
                      <w:rFonts w:ascii="Times New Roman" w:hAnsi="Times New Roman" w:eastAsia="宋体" w:cs="Times New Roman"/>
                      <w:color w:val="auto"/>
                      <w:szCs w:val="24"/>
                    </w:rPr>
                  </w:pPr>
                  <w:r>
                    <w:rPr>
                      <w:rFonts w:ascii="Times New Roman" w:hAnsi="Times New Roman" w:eastAsia="宋体" w:cs="Times New Roman"/>
                      <w:color w:val="auto"/>
                      <w:szCs w:val="24"/>
                    </w:rPr>
                    <w:t>（万元）</w:t>
                  </w:r>
                </w:p>
              </w:tc>
            </w:tr>
            <w:tr w14:paraId="0145F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416" w:type="dxa"/>
                  <w:vMerge w:val="restart"/>
                  <w:vAlign w:val="center"/>
                </w:tcPr>
                <w:p w14:paraId="31BAE6A1">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施</w:t>
                  </w:r>
                </w:p>
                <w:p w14:paraId="658D1F58">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工</w:t>
                  </w:r>
                </w:p>
                <w:p w14:paraId="3A48A718">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期</w:t>
                  </w:r>
                </w:p>
              </w:tc>
              <w:tc>
                <w:tcPr>
                  <w:tcW w:w="673" w:type="dxa"/>
                  <w:vAlign w:val="center"/>
                </w:tcPr>
                <w:p w14:paraId="400C5B9C">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废气</w:t>
                  </w:r>
                </w:p>
              </w:tc>
              <w:tc>
                <w:tcPr>
                  <w:tcW w:w="774" w:type="dxa"/>
                  <w:vAlign w:val="center"/>
                </w:tcPr>
                <w:p w14:paraId="27278DA0">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扬尘治理</w:t>
                  </w:r>
                </w:p>
              </w:tc>
              <w:tc>
                <w:tcPr>
                  <w:tcW w:w="5593" w:type="dxa"/>
                  <w:vAlign w:val="center"/>
                </w:tcPr>
                <w:p w14:paraId="09DE3920">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设置封闭围挡、定期洒水、加强机械设备维护、加强车辆管理、使用清洁能源、堆放场所遮挡、毡布覆盖</w:t>
                  </w:r>
                </w:p>
              </w:tc>
              <w:tc>
                <w:tcPr>
                  <w:tcW w:w="785" w:type="dxa"/>
                  <w:vAlign w:val="center"/>
                </w:tcPr>
                <w:p w14:paraId="63EA611A">
                  <w:pPr>
                    <w:spacing w:line="276" w:lineRule="auto"/>
                    <w:jc w:val="center"/>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lang w:val="en-US" w:eastAsia="zh-CN"/>
                    </w:rPr>
                    <w:t>2</w:t>
                  </w:r>
                </w:p>
              </w:tc>
            </w:tr>
            <w:tr w14:paraId="74A8D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16" w:type="dxa"/>
                  <w:vMerge w:val="continue"/>
                  <w:vAlign w:val="center"/>
                </w:tcPr>
                <w:p w14:paraId="474ACE1D">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p>
              </w:tc>
              <w:tc>
                <w:tcPr>
                  <w:tcW w:w="673" w:type="dxa"/>
                  <w:vAlign w:val="center"/>
                </w:tcPr>
                <w:p w14:paraId="6DC4EAE5">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废水</w:t>
                  </w:r>
                </w:p>
              </w:tc>
              <w:tc>
                <w:tcPr>
                  <w:tcW w:w="774" w:type="dxa"/>
                  <w:vAlign w:val="center"/>
                </w:tcPr>
                <w:p w14:paraId="34C7C4E6">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废水</w:t>
                  </w:r>
                </w:p>
              </w:tc>
              <w:tc>
                <w:tcPr>
                  <w:tcW w:w="5593" w:type="dxa"/>
                  <w:shd w:val="clear" w:color="auto" w:fill="auto"/>
                  <w:vAlign w:val="center"/>
                </w:tcPr>
                <w:p w14:paraId="51C3EA79">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eastAsia" w:ascii="Times New Roman" w:hAnsi="Times New Roman" w:eastAsia="宋体" w:cs="Times New Roman"/>
                      <w:color w:val="auto"/>
                      <w:spacing w:val="0"/>
                      <w:kern w:val="0"/>
                      <w:sz w:val="20"/>
                      <w:szCs w:val="20"/>
                      <w:lang w:val="en-US" w:eastAsia="zh-CN" w:bidi="ar"/>
                    </w:rPr>
                    <w:t>现场设置</w:t>
                  </w:r>
                  <w:r>
                    <w:rPr>
                      <w:rFonts w:hint="default" w:ascii="Times New Roman" w:hAnsi="Times New Roman" w:eastAsia="宋体" w:cs="Times New Roman"/>
                      <w:color w:val="auto"/>
                      <w:spacing w:val="0"/>
                      <w:kern w:val="0"/>
                      <w:sz w:val="20"/>
                      <w:szCs w:val="20"/>
                      <w:lang w:val="en-US" w:eastAsia="zh-CN" w:bidi="ar"/>
                    </w:rPr>
                    <w:t>化粪池</w:t>
                  </w:r>
                  <w:r>
                    <w:rPr>
                      <w:rFonts w:hint="eastAsia" w:ascii="Times New Roman" w:hAnsi="Times New Roman" w:eastAsia="宋体" w:cs="Times New Roman"/>
                      <w:color w:val="auto"/>
                      <w:spacing w:val="0"/>
                      <w:kern w:val="0"/>
                      <w:sz w:val="20"/>
                      <w:szCs w:val="20"/>
                      <w:lang w:val="en-US" w:eastAsia="zh-CN" w:bidi="ar"/>
                    </w:rPr>
                    <w:t>，</w:t>
                  </w:r>
                  <w:r>
                    <w:rPr>
                      <w:rFonts w:hint="default" w:ascii="Times New Roman" w:hAnsi="Times New Roman" w:eastAsia="宋体" w:cs="Times New Roman"/>
                      <w:color w:val="auto"/>
                      <w:spacing w:val="0"/>
                      <w:kern w:val="0"/>
                      <w:sz w:val="20"/>
                      <w:szCs w:val="20"/>
                      <w:lang w:val="en-US" w:eastAsia="zh-CN" w:bidi="ar"/>
                    </w:rPr>
                    <w:t>气液分离器废水经收集后进入潘一选煤厂生活污水处理站处理</w:t>
                  </w:r>
                </w:p>
              </w:tc>
              <w:tc>
                <w:tcPr>
                  <w:tcW w:w="785" w:type="dxa"/>
                  <w:shd w:val="clear" w:color="auto" w:fill="auto"/>
                  <w:vAlign w:val="center"/>
                </w:tcPr>
                <w:p w14:paraId="3DE90FE4">
                  <w:pPr>
                    <w:spacing w:line="276" w:lineRule="auto"/>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szCs w:val="24"/>
                      <w:lang w:val="en-US" w:eastAsia="zh-CN"/>
                    </w:rPr>
                    <w:t>3</w:t>
                  </w:r>
                </w:p>
              </w:tc>
            </w:tr>
            <w:tr w14:paraId="1267D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 w:type="dxa"/>
                  <w:vMerge w:val="continue"/>
                  <w:vAlign w:val="center"/>
                </w:tcPr>
                <w:p w14:paraId="24459511">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p>
              </w:tc>
              <w:tc>
                <w:tcPr>
                  <w:tcW w:w="673" w:type="dxa"/>
                  <w:vAlign w:val="center"/>
                </w:tcPr>
                <w:p w14:paraId="4D618043">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噪声</w:t>
                  </w:r>
                </w:p>
              </w:tc>
              <w:tc>
                <w:tcPr>
                  <w:tcW w:w="774" w:type="dxa"/>
                  <w:vAlign w:val="center"/>
                </w:tcPr>
                <w:p w14:paraId="584195BD">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施工机械噪声</w:t>
                  </w:r>
                </w:p>
              </w:tc>
              <w:tc>
                <w:tcPr>
                  <w:tcW w:w="5593" w:type="dxa"/>
                  <w:vAlign w:val="center"/>
                </w:tcPr>
                <w:p w14:paraId="5D8721FE">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合理安排施工时间，合理布局施工场地，加强施工管理；选用效率高、噪声低的机械设备，并对机械设备进行定期的维修、养护</w:t>
                  </w:r>
                </w:p>
              </w:tc>
              <w:tc>
                <w:tcPr>
                  <w:tcW w:w="785" w:type="dxa"/>
                  <w:vAlign w:val="center"/>
                </w:tcPr>
                <w:p w14:paraId="65D512A7">
                  <w:pPr>
                    <w:spacing w:line="276" w:lineRule="auto"/>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2</w:t>
                  </w:r>
                </w:p>
              </w:tc>
            </w:tr>
            <w:tr w14:paraId="704E8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 w:type="dxa"/>
                  <w:vMerge w:val="continue"/>
                  <w:vAlign w:val="center"/>
                </w:tcPr>
                <w:p w14:paraId="24353834">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p>
              </w:tc>
              <w:tc>
                <w:tcPr>
                  <w:tcW w:w="673" w:type="dxa"/>
                  <w:vMerge w:val="restart"/>
                  <w:vAlign w:val="center"/>
                </w:tcPr>
                <w:p w14:paraId="4FF029CE">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固体</w:t>
                  </w:r>
                </w:p>
                <w:p w14:paraId="1C03A8B5">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废物</w:t>
                  </w:r>
                </w:p>
              </w:tc>
              <w:tc>
                <w:tcPr>
                  <w:tcW w:w="774" w:type="dxa"/>
                  <w:vAlign w:val="center"/>
                </w:tcPr>
                <w:p w14:paraId="3BD9BE6E">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一般固废</w:t>
                  </w:r>
                </w:p>
              </w:tc>
              <w:tc>
                <w:tcPr>
                  <w:tcW w:w="5593" w:type="dxa"/>
                  <w:vAlign w:val="center"/>
                </w:tcPr>
                <w:p w14:paraId="50FFEA77">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eastAsia" w:ascii="Times New Roman" w:hAnsi="Times New Roman" w:eastAsia="宋体" w:cs="Times New Roman"/>
                      <w:color w:val="auto"/>
                      <w:spacing w:val="0"/>
                      <w:kern w:val="0"/>
                      <w:sz w:val="20"/>
                      <w:szCs w:val="20"/>
                      <w:lang w:val="en-US" w:eastAsia="zh-CN" w:bidi="ar"/>
                    </w:rPr>
                    <w:t>废泥浆暂存于废浆池中，施工完成后加入固化剂固化后用于周边道路填筑或者交给第三方公司综合利用。钻井岩屑</w:t>
                  </w:r>
                  <w:r>
                    <w:rPr>
                      <w:rFonts w:hint="default" w:ascii="Times New Roman" w:hAnsi="Times New Roman" w:eastAsia="宋体" w:cs="Times New Roman"/>
                      <w:color w:val="auto"/>
                      <w:spacing w:val="0"/>
                      <w:kern w:val="0"/>
                      <w:sz w:val="20"/>
                      <w:szCs w:val="20"/>
                      <w:lang w:val="en-US" w:eastAsia="zh-CN" w:bidi="ar"/>
                    </w:rPr>
                    <w:t>暂存于</w:t>
                  </w:r>
                  <w:r>
                    <w:rPr>
                      <w:rFonts w:hint="eastAsia" w:ascii="Times New Roman" w:hAnsi="Times New Roman" w:eastAsia="宋体" w:cs="Times New Roman"/>
                      <w:color w:val="auto"/>
                      <w:spacing w:val="0"/>
                      <w:kern w:val="0"/>
                      <w:sz w:val="20"/>
                      <w:szCs w:val="20"/>
                      <w:lang w:val="en-US" w:eastAsia="zh-CN" w:bidi="ar"/>
                    </w:rPr>
                    <w:t>场地砂池中，自然干化用于周边道路填筑。</w:t>
                  </w:r>
                  <w:r>
                    <w:rPr>
                      <w:rFonts w:hint="default" w:ascii="Times New Roman" w:hAnsi="Times New Roman" w:eastAsia="宋体" w:cs="Times New Roman"/>
                      <w:color w:val="auto"/>
                      <w:spacing w:val="0"/>
                      <w:kern w:val="0"/>
                      <w:sz w:val="20"/>
                      <w:szCs w:val="20"/>
                      <w:lang w:val="en-US" w:eastAsia="zh-CN" w:bidi="ar"/>
                    </w:rPr>
                    <w:t>废包装材料集中收集后外售</w:t>
                  </w:r>
                  <w:r>
                    <w:rPr>
                      <w:rFonts w:hint="eastAsia" w:ascii="Times New Roman" w:hAnsi="Times New Roman" w:eastAsia="宋体" w:cs="Times New Roman"/>
                      <w:color w:val="auto"/>
                      <w:spacing w:val="0"/>
                      <w:kern w:val="0"/>
                      <w:sz w:val="20"/>
                      <w:szCs w:val="20"/>
                      <w:lang w:val="en-US" w:eastAsia="zh-CN" w:bidi="ar"/>
                    </w:rPr>
                    <w:t>处置，废包装袋拆包后即外售给综合利用人员，施工场地不存储。工程弃土暂存于厂区西北角弃土堆放区，施工完成后用于场区整平。</w:t>
                  </w:r>
                </w:p>
              </w:tc>
              <w:tc>
                <w:tcPr>
                  <w:tcW w:w="785" w:type="dxa"/>
                  <w:vAlign w:val="center"/>
                </w:tcPr>
                <w:p w14:paraId="78E42845">
                  <w:pPr>
                    <w:spacing w:line="276" w:lineRule="auto"/>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2</w:t>
                  </w:r>
                </w:p>
              </w:tc>
            </w:tr>
            <w:tr w14:paraId="65634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416" w:type="dxa"/>
                  <w:vMerge w:val="continue"/>
                  <w:vAlign w:val="center"/>
                </w:tcPr>
                <w:p w14:paraId="3E2D1920">
                  <w:pPr>
                    <w:spacing w:line="276" w:lineRule="auto"/>
                    <w:ind w:left="-105" w:leftChars="-50" w:right="-105" w:rightChars="-50"/>
                    <w:jc w:val="center"/>
                    <w:rPr>
                      <w:rFonts w:ascii="Times New Roman" w:hAnsi="Times New Roman" w:eastAsia="宋体" w:cs="Times New Roman"/>
                      <w:color w:val="auto"/>
                      <w:szCs w:val="24"/>
                    </w:rPr>
                  </w:pPr>
                </w:p>
              </w:tc>
              <w:tc>
                <w:tcPr>
                  <w:tcW w:w="673" w:type="dxa"/>
                  <w:vMerge w:val="continue"/>
                  <w:vAlign w:val="center"/>
                </w:tcPr>
                <w:p w14:paraId="43C6DEEC">
                  <w:pPr>
                    <w:spacing w:line="276" w:lineRule="auto"/>
                    <w:ind w:left="-105" w:leftChars="-50" w:right="-105" w:rightChars="-50"/>
                    <w:jc w:val="center"/>
                    <w:rPr>
                      <w:rFonts w:ascii="Times New Roman" w:hAnsi="Times New Roman" w:eastAsia="宋体" w:cs="Times New Roman"/>
                      <w:color w:val="auto"/>
                      <w:szCs w:val="24"/>
                    </w:rPr>
                  </w:pPr>
                </w:p>
              </w:tc>
              <w:tc>
                <w:tcPr>
                  <w:tcW w:w="774" w:type="dxa"/>
                  <w:vAlign w:val="center"/>
                </w:tcPr>
                <w:p w14:paraId="5FA3309E">
                  <w:pPr>
                    <w:adjustRightInd w:val="0"/>
                    <w:snapToGrid w:val="0"/>
                    <w:jc w:val="center"/>
                    <w:rPr>
                      <w:rFonts w:hint="eastAsia" w:ascii="Times New Roman" w:hAnsi="Times New Roman" w:eastAsia="宋体" w:cs="Times New Roman"/>
                      <w:color w:val="auto"/>
                      <w:spacing w:val="0"/>
                      <w:kern w:val="0"/>
                      <w:sz w:val="20"/>
                      <w:szCs w:val="20"/>
                      <w:lang w:val="en-US" w:eastAsia="zh-CN" w:bidi="ar"/>
                    </w:rPr>
                  </w:pPr>
                  <w:r>
                    <w:rPr>
                      <w:rFonts w:hint="eastAsia" w:ascii="Times New Roman" w:hAnsi="Times New Roman" w:eastAsia="宋体" w:cs="Times New Roman"/>
                      <w:color w:val="auto"/>
                      <w:spacing w:val="0"/>
                      <w:kern w:val="0"/>
                      <w:sz w:val="20"/>
                      <w:szCs w:val="20"/>
                      <w:lang w:val="en-US" w:eastAsia="zh-CN" w:bidi="ar"/>
                    </w:rPr>
                    <w:t>危险废物</w:t>
                  </w:r>
                </w:p>
              </w:tc>
              <w:tc>
                <w:tcPr>
                  <w:tcW w:w="5593" w:type="dxa"/>
                  <w:vAlign w:val="center"/>
                </w:tcPr>
                <w:p w14:paraId="53222226">
                  <w:pPr>
                    <w:adjustRightInd w:val="0"/>
                    <w:snapToGrid w:val="0"/>
                    <w:jc w:val="center"/>
                    <w:rPr>
                      <w:rFonts w:hint="eastAsia" w:ascii="Times New Roman" w:hAnsi="Times New Roman" w:eastAsia="宋体" w:cs="Times New Roman"/>
                      <w:color w:val="auto"/>
                      <w:spacing w:val="0"/>
                      <w:kern w:val="0"/>
                      <w:sz w:val="20"/>
                      <w:szCs w:val="20"/>
                      <w:lang w:val="en-US" w:eastAsia="zh-CN" w:bidi="ar"/>
                    </w:rPr>
                  </w:pPr>
                  <w:r>
                    <w:rPr>
                      <w:rFonts w:hint="eastAsia" w:ascii="Times New Roman" w:hAnsi="Times New Roman" w:eastAsia="宋体" w:cs="Times New Roman"/>
                      <w:color w:val="auto"/>
                      <w:spacing w:val="0"/>
                      <w:kern w:val="0"/>
                      <w:sz w:val="20"/>
                      <w:szCs w:val="20"/>
                      <w:lang w:val="en-US" w:eastAsia="zh-CN" w:bidi="ar"/>
                    </w:rPr>
                    <w:t>依托潘一东瓦斯发电站内的危废暂存间暂存，定期交有资质的单位处置</w:t>
                  </w:r>
                </w:p>
              </w:tc>
              <w:tc>
                <w:tcPr>
                  <w:tcW w:w="785" w:type="dxa"/>
                  <w:vAlign w:val="center"/>
                </w:tcPr>
                <w:p w14:paraId="3FE7A617">
                  <w:pPr>
                    <w:spacing w:line="276" w:lineRule="auto"/>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1</w:t>
                  </w:r>
                </w:p>
              </w:tc>
            </w:tr>
            <w:tr w14:paraId="72DC6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16" w:type="dxa"/>
                  <w:vMerge w:val="continue"/>
                  <w:vAlign w:val="center"/>
                </w:tcPr>
                <w:p w14:paraId="0D411E26">
                  <w:pPr>
                    <w:spacing w:line="276" w:lineRule="auto"/>
                    <w:ind w:left="-105" w:leftChars="-50" w:right="-105" w:rightChars="-50"/>
                    <w:jc w:val="center"/>
                    <w:rPr>
                      <w:rFonts w:ascii="Times New Roman" w:hAnsi="Times New Roman" w:eastAsia="宋体" w:cs="Times New Roman"/>
                      <w:color w:val="auto"/>
                      <w:szCs w:val="24"/>
                    </w:rPr>
                  </w:pPr>
                </w:p>
              </w:tc>
              <w:tc>
                <w:tcPr>
                  <w:tcW w:w="673" w:type="dxa"/>
                  <w:vMerge w:val="continue"/>
                  <w:vAlign w:val="center"/>
                </w:tcPr>
                <w:p w14:paraId="5B39471B">
                  <w:pPr>
                    <w:spacing w:line="276" w:lineRule="auto"/>
                    <w:ind w:left="-105" w:leftChars="-50" w:right="-105" w:rightChars="-50"/>
                    <w:jc w:val="center"/>
                    <w:rPr>
                      <w:rFonts w:ascii="Times New Roman" w:hAnsi="Times New Roman" w:eastAsia="宋体" w:cs="Times New Roman"/>
                      <w:color w:val="auto"/>
                      <w:szCs w:val="24"/>
                    </w:rPr>
                  </w:pPr>
                </w:p>
              </w:tc>
              <w:tc>
                <w:tcPr>
                  <w:tcW w:w="774" w:type="dxa"/>
                  <w:vAlign w:val="center"/>
                </w:tcPr>
                <w:p w14:paraId="7BCE959E">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生活垃圾</w:t>
                  </w:r>
                </w:p>
              </w:tc>
              <w:tc>
                <w:tcPr>
                  <w:tcW w:w="5593" w:type="dxa"/>
                  <w:vAlign w:val="center"/>
                </w:tcPr>
                <w:p w14:paraId="2DED145A">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生活垃圾依托附近居民区垃圾桶统一收集后，由环卫部门清运</w:t>
                  </w:r>
                </w:p>
              </w:tc>
              <w:tc>
                <w:tcPr>
                  <w:tcW w:w="785" w:type="dxa"/>
                  <w:vAlign w:val="center"/>
                </w:tcPr>
                <w:p w14:paraId="092613CA">
                  <w:pPr>
                    <w:spacing w:line="276" w:lineRule="auto"/>
                    <w:jc w:val="center"/>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lang w:val="en-US" w:eastAsia="zh-CN"/>
                    </w:rPr>
                    <w:t>1</w:t>
                  </w:r>
                </w:p>
              </w:tc>
            </w:tr>
            <w:tr w14:paraId="58BA4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416" w:type="dxa"/>
                  <w:vMerge w:val="continue"/>
                  <w:vAlign w:val="center"/>
                </w:tcPr>
                <w:p w14:paraId="60DD57C3">
                  <w:pPr>
                    <w:spacing w:line="276" w:lineRule="auto"/>
                    <w:ind w:left="-105" w:leftChars="-50" w:right="-105" w:rightChars="-50"/>
                    <w:jc w:val="center"/>
                    <w:rPr>
                      <w:rFonts w:ascii="Times New Roman" w:hAnsi="Times New Roman" w:eastAsia="宋体" w:cs="Times New Roman"/>
                      <w:color w:val="auto"/>
                      <w:szCs w:val="24"/>
                    </w:rPr>
                  </w:pPr>
                </w:p>
              </w:tc>
              <w:tc>
                <w:tcPr>
                  <w:tcW w:w="673" w:type="dxa"/>
                  <w:vAlign w:val="center"/>
                </w:tcPr>
                <w:p w14:paraId="6E74A5C5">
                  <w:pPr>
                    <w:spacing w:line="276" w:lineRule="auto"/>
                    <w:ind w:left="-105" w:leftChars="-50" w:right="-105" w:rightChars="-50"/>
                    <w:jc w:val="center"/>
                    <w:rPr>
                      <w:rFonts w:ascii="Times New Roman" w:hAnsi="Times New Roman" w:eastAsia="宋体" w:cs="Times New Roman"/>
                      <w:color w:val="auto"/>
                      <w:szCs w:val="24"/>
                    </w:rPr>
                  </w:pPr>
                  <w:r>
                    <w:rPr>
                      <w:rFonts w:ascii="Times New Roman" w:hAnsi="Times New Roman" w:eastAsia="宋体" w:cs="Times New Roman"/>
                      <w:color w:val="auto"/>
                      <w:szCs w:val="24"/>
                    </w:rPr>
                    <w:t>生态</w:t>
                  </w:r>
                </w:p>
                <w:p w14:paraId="3D6AC3C7">
                  <w:pPr>
                    <w:spacing w:line="276" w:lineRule="auto"/>
                    <w:ind w:left="-105" w:leftChars="-50" w:right="-105" w:rightChars="-50"/>
                    <w:jc w:val="center"/>
                    <w:rPr>
                      <w:rFonts w:ascii="Times New Roman" w:hAnsi="Times New Roman" w:eastAsia="宋体" w:cs="Times New Roman"/>
                      <w:color w:val="auto"/>
                      <w:szCs w:val="24"/>
                    </w:rPr>
                  </w:pPr>
                  <w:r>
                    <w:rPr>
                      <w:rFonts w:ascii="Times New Roman" w:hAnsi="Times New Roman" w:eastAsia="宋体" w:cs="Times New Roman"/>
                      <w:color w:val="auto"/>
                      <w:szCs w:val="24"/>
                    </w:rPr>
                    <w:t>恢复</w:t>
                  </w:r>
                </w:p>
              </w:tc>
              <w:tc>
                <w:tcPr>
                  <w:tcW w:w="774" w:type="dxa"/>
                  <w:vAlign w:val="center"/>
                </w:tcPr>
                <w:p w14:paraId="6095D5D6">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生态恢复</w:t>
                  </w:r>
                </w:p>
              </w:tc>
              <w:tc>
                <w:tcPr>
                  <w:tcW w:w="5593" w:type="dxa"/>
                  <w:vAlign w:val="center"/>
                </w:tcPr>
                <w:p w14:paraId="76F32D7F">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施工作业区域地貌恢复、植被恢复等</w:t>
                  </w:r>
                </w:p>
              </w:tc>
              <w:tc>
                <w:tcPr>
                  <w:tcW w:w="785" w:type="dxa"/>
                  <w:vAlign w:val="center"/>
                </w:tcPr>
                <w:p w14:paraId="427EDCB0">
                  <w:pPr>
                    <w:spacing w:line="276" w:lineRule="auto"/>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50</w:t>
                  </w:r>
                </w:p>
              </w:tc>
            </w:tr>
            <w:tr w14:paraId="01316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456" w:type="dxa"/>
                  <w:gridSpan w:val="4"/>
                  <w:vAlign w:val="center"/>
                </w:tcPr>
                <w:p w14:paraId="228F40D4">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合计</w:t>
                  </w:r>
                </w:p>
              </w:tc>
              <w:tc>
                <w:tcPr>
                  <w:tcW w:w="785" w:type="dxa"/>
                  <w:vAlign w:val="center"/>
                </w:tcPr>
                <w:p w14:paraId="2C01AA31">
                  <w:pPr>
                    <w:spacing w:line="276" w:lineRule="auto"/>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61</w:t>
                  </w:r>
                </w:p>
              </w:tc>
            </w:tr>
          </w:tbl>
          <w:p w14:paraId="71322AB8">
            <w:pPr>
              <w:rPr>
                <w:rFonts w:ascii="宋体" w:hAnsi="宋体" w:eastAsia="宋体" w:cs="宋体"/>
                <w:bCs/>
                <w:color w:val="auto"/>
                <w:spacing w:val="10"/>
                <w:szCs w:val="21"/>
              </w:rPr>
            </w:pPr>
          </w:p>
          <w:p w14:paraId="1DF6275A">
            <w:pPr>
              <w:rPr>
                <w:rFonts w:ascii="宋体" w:hAnsi="宋体" w:eastAsia="宋体" w:cs="宋体"/>
                <w:bCs/>
                <w:color w:val="auto"/>
                <w:spacing w:val="10"/>
                <w:szCs w:val="21"/>
              </w:rPr>
            </w:pPr>
          </w:p>
          <w:p w14:paraId="67112782">
            <w:pPr>
              <w:rPr>
                <w:rFonts w:ascii="宋体" w:hAnsi="宋体" w:eastAsia="宋体" w:cs="宋体"/>
                <w:bCs/>
                <w:color w:val="auto"/>
                <w:spacing w:val="10"/>
                <w:szCs w:val="21"/>
              </w:rPr>
            </w:pPr>
          </w:p>
        </w:tc>
      </w:tr>
    </w:tbl>
    <w:p w14:paraId="5F842AEA">
      <w:pPr>
        <w:rPr>
          <w:rFonts w:hint="eastAsia" w:ascii="黑体" w:hAnsi="黑体" w:eastAsia="黑体" w:cs="Times New Roman"/>
          <w:snapToGrid w:val="0"/>
          <w:color w:val="000000" w:themeColor="text1"/>
          <w:kern w:val="0"/>
          <w:sz w:val="30"/>
          <w:szCs w:val="30"/>
          <w14:textFill>
            <w14:solidFill>
              <w14:schemeClr w14:val="tx1"/>
            </w14:solidFill>
          </w14:textFill>
        </w:rPr>
      </w:pPr>
      <w:r>
        <w:rPr>
          <w:rFonts w:hint="eastAsia" w:ascii="黑体" w:hAnsi="黑体" w:eastAsia="黑体" w:cs="Times New Roman"/>
          <w:snapToGrid w:val="0"/>
          <w:color w:val="000000" w:themeColor="text1"/>
          <w:kern w:val="0"/>
          <w:sz w:val="30"/>
          <w:szCs w:val="30"/>
          <w14:textFill>
            <w14:solidFill>
              <w14:schemeClr w14:val="tx1"/>
            </w14:solidFill>
          </w14:textFill>
        </w:rPr>
        <w:br w:type="page"/>
      </w:r>
    </w:p>
    <w:p w14:paraId="3A7ADB3D">
      <w:pPr>
        <w:widowControl/>
        <w:spacing w:before="100" w:beforeAutospacing="1" w:after="100" w:afterAutospacing="1"/>
        <w:jc w:val="center"/>
        <w:outlineLvl w:val="0"/>
        <w:rPr>
          <w:rFonts w:ascii="黑体" w:hAnsi="黑体" w:eastAsia="黑体" w:cs="Times New Roman"/>
          <w:snapToGrid w:val="0"/>
          <w:color w:val="000000" w:themeColor="text1"/>
          <w:kern w:val="0"/>
          <w:sz w:val="30"/>
          <w:szCs w:val="30"/>
          <w14:textFill>
            <w14:solidFill>
              <w14:schemeClr w14:val="tx1"/>
            </w14:solidFill>
          </w14:textFill>
        </w:rPr>
      </w:pPr>
      <w:r>
        <w:rPr>
          <w:rFonts w:hint="eastAsia" w:ascii="黑体" w:hAnsi="黑体" w:eastAsia="黑体" w:cs="Times New Roman"/>
          <w:snapToGrid w:val="0"/>
          <w:color w:val="000000" w:themeColor="text1"/>
          <w:kern w:val="0"/>
          <w:sz w:val="30"/>
          <w:szCs w:val="30"/>
          <w14:textFill>
            <w14:solidFill>
              <w14:schemeClr w14:val="tx1"/>
            </w14:solidFill>
          </w14:textFill>
        </w:rPr>
        <w:t>六、生态环境保护措施监督检查清单</w:t>
      </w:r>
    </w:p>
    <w:tbl>
      <w:tblPr>
        <w:tblStyle w:val="2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3255"/>
        <w:gridCol w:w="2383"/>
        <w:gridCol w:w="1211"/>
        <w:gridCol w:w="1107"/>
      </w:tblGrid>
      <w:tr w14:paraId="38A55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Merge w:val="restart"/>
            <w:tcBorders>
              <w:tl2br w:val="single" w:color="auto" w:sz="4" w:space="0"/>
            </w:tcBorders>
            <w:vAlign w:val="center"/>
          </w:tcPr>
          <w:p w14:paraId="431E9709">
            <w:pPr>
              <w:widowControl/>
              <w:adjustRightInd w:val="0"/>
              <w:snapToGrid w:val="0"/>
              <w:spacing w:beforeLines="30" w:line="276" w:lineRule="auto"/>
              <w:jc w:val="right"/>
              <w:outlineLvl w:val="0"/>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宋体" w:eastAsia="宋体" w:cs="Times New Roman"/>
                <w:b/>
                <w:color w:val="000000" w:themeColor="text1"/>
                <w:sz w:val="24"/>
                <w:szCs w:val="24"/>
                <w14:textFill>
                  <w14:solidFill>
                    <w14:schemeClr w14:val="tx1"/>
                  </w14:solidFill>
                </w14:textFill>
              </w:rPr>
              <w:t>内容</w:t>
            </w:r>
          </w:p>
          <w:p w14:paraId="032EE768">
            <w:pPr>
              <w:widowControl/>
              <w:adjustRightInd w:val="0"/>
              <w:snapToGrid w:val="0"/>
              <w:spacing w:line="276" w:lineRule="auto"/>
              <w:jc w:val="left"/>
              <w:outlineLvl w:val="0"/>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宋体" w:eastAsia="宋体" w:cs="Times New Roman"/>
                <w:b/>
                <w:color w:val="000000" w:themeColor="text1"/>
                <w:sz w:val="24"/>
                <w:szCs w:val="24"/>
                <w14:textFill>
                  <w14:solidFill>
                    <w14:schemeClr w14:val="tx1"/>
                  </w14:solidFill>
                </w14:textFill>
              </w:rPr>
              <w:t>要素</w:t>
            </w:r>
          </w:p>
        </w:tc>
        <w:tc>
          <w:tcPr>
            <w:tcW w:w="3050" w:type="pct"/>
            <w:gridSpan w:val="2"/>
            <w:vAlign w:val="center"/>
          </w:tcPr>
          <w:p w14:paraId="72D52824">
            <w:pPr>
              <w:widowControl/>
              <w:adjustRightInd w:val="0"/>
              <w:snapToGrid w:val="0"/>
              <w:spacing w:line="276" w:lineRule="auto"/>
              <w:jc w:val="center"/>
              <w:outlineLvl w:val="0"/>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宋体" w:eastAsia="宋体" w:cs="Times New Roman"/>
                <w:b/>
                <w:color w:val="000000" w:themeColor="text1"/>
                <w:sz w:val="24"/>
                <w:szCs w:val="24"/>
                <w14:textFill>
                  <w14:solidFill>
                    <w14:schemeClr w14:val="tx1"/>
                  </w14:solidFill>
                </w14:textFill>
              </w:rPr>
              <w:t>施工期</w:t>
            </w:r>
          </w:p>
        </w:tc>
        <w:tc>
          <w:tcPr>
            <w:tcW w:w="1254" w:type="pct"/>
            <w:gridSpan w:val="2"/>
            <w:vAlign w:val="center"/>
          </w:tcPr>
          <w:p w14:paraId="21C69721">
            <w:pPr>
              <w:widowControl/>
              <w:adjustRightInd w:val="0"/>
              <w:snapToGrid w:val="0"/>
              <w:spacing w:line="276" w:lineRule="auto"/>
              <w:jc w:val="center"/>
              <w:outlineLvl w:val="0"/>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宋体" w:eastAsia="宋体" w:cs="Times New Roman"/>
                <w:b/>
                <w:color w:val="000000" w:themeColor="text1"/>
                <w:sz w:val="24"/>
                <w:szCs w:val="24"/>
                <w14:textFill>
                  <w14:solidFill>
                    <w14:schemeClr w14:val="tx1"/>
                  </w14:solidFill>
                </w14:textFill>
              </w:rPr>
              <w:t>运营期</w:t>
            </w:r>
          </w:p>
        </w:tc>
      </w:tr>
      <w:tr w14:paraId="35E2D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Merge w:val="continue"/>
            <w:vAlign w:val="center"/>
          </w:tcPr>
          <w:p w14:paraId="32F0121E">
            <w:pPr>
              <w:widowControl/>
              <w:adjustRightInd w:val="0"/>
              <w:snapToGrid w:val="0"/>
              <w:spacing w:line="276" w:lineRule="auto"/>
              <w:ind w:firstLine="840"/>
              <w:jc w:val="center"/>
              <w:outlineLvl w:val="0"/>
              <w:rPr>
                <w:rFonts w:ascii="Times New Roman" w:hAnsi="Times New Roman" w:eastAsia="宋体" w:cs="Times New Roman"/>
                <w:b/>
                <w:color w:val="000000" w:themeColor="text1"/>
                <w:sz w:val="24"/>
                <w:szCs w:val="24"/>
                <w14:textFill>
                  <w14:solidFill>
                    <w14:schemeClr w14:val="tx1"/>
                  </w14:solidFill>
                </w14:textFill>
              </w:rPr>
            </w:pPr>
          </w:p>
        </w:tc>
        <w:tc>
          <w:tcPr>
            <w:tcW w:w="1761" w:type="pct"/>
            <w:vAlign w:val="center"/>
          </w:tcPr>
          <w:p w14:paraId="08214D7F">
            <w:pPr>
              <w:widowControl/>
              <w:adjustRightInd w:val="0"/>
              <w:snapToGrid w:val="0"/>
              <w:spacing w:line="276" w:lineRule="auto"/>
              <w:jc w:val="center"/>
              <w:outlineLvl w:val="0"/>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宋体" w:eastAsia="宋体" w:cs="Times New Roman"/>
                <w:b/>
                <w:color w:val="000000" w:themeColor="text1"/>
                <w:sz w:val="24"/>
                <w:szCs w:val="24"/>
                <w14:textFill>
                  <w14:solidFill>
                    <w14:schemeClr w14:val="tx1"/>
                  </w14:solidFill>
                </w14:textFill>
              </w:rPr>
              <w:t>环境保护措施</w:t>
            </w:r>
          </w:p>
        </w:tc>
        <w:tc>
          <w:tcPr>
            <w:tcW w:w="1289" w:type="pct"/>
            <w:vAlign w:val="center"/>
          </w:tcPr>
          <w:p w14:paraId="1F14710C">
            <w:pPr>
              <w:widowControl/>
              <w:adjustRightInd w:val="0"/>
              <w:snapToGrid w:val="0"/>
              <w:spacing w:line="276" w:lineRule="auto"/>
              <w:jc w:val="center"/>
              <w:outlineLvl w:val="0"/>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宋体" w:eastAsia="宋体" w:cs="Times New Roman"/>
                <w:b/>
                <w:color w:val="000000" w:themeColor="text1"/>
                <w:sz w:val="24"/>
                <w:szCs w:val="24"/>
                <w14:textFill>
                  <w14:solidFill>
                    <w14:schemeClr w14:val="tx1"/>
                  </w14:solidFill>
                </w14:textFill>
              </w:rPr>
              <w:t>验收要求</w:t>
            </w:r>
          </w:p>
        </w:tc>
        <w:tc>
          <w:tcPr>
            <w:tcW w:w="655" w:type="pct"/>
            <w:vAlign w:val="center"/>
          </w:tcPr>
          <w:p w14:paraId="15CF57D5">
            <w:pPr>
              <w:widowControl/>
              <w:adjustRightInd w:val="0"/>
              <w:snapToGrid w:val="0"/>
              <w:spacing w:line="276" w:lineRule="auto"/>
              <w:jc w:val="center"/>
              <w:outlineLvl w:val="0"/>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宋体" w:eastAsia="宋体" w:cs="Times New Roman"/>
                <w:b/>
                <w:color w:val="000000" w:themeColor="text1"/>
                <w:sz w:val="24"/>
                <w:szCs w:val="24"/>
                <w14:textFill>
                  <w14:solidFill>
                    <w14:schemeClr w14:val="tx1"/>
                  </w14:solidFill>
                </w14:textFill>
              </w:rPr>
              <w:t>环境保护措施</w:t>
            </w:r>
          </w:p>
        </w:tc>
        <w:tc>
          <w:tcPr>
            <w:tcW w:w="598" w:type="pct"/>
            <w:vAlign w:val="center"/>
          </w:tcPr>
          <w:p w14:paraId="336E1B7A">
            <w:pPr>
              <w:widowControl/>
              <w:adjustRightInd w:val="0"/>
              <w:snapToGrid w:val="0"/>
              <w:spacing w:line="276" w:lineRule="auto"/>
              <w:jc w:val="center"/>
              <w:outlineLvl w:val="0"/>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宋体" w:eastAsia="宋体" w:cs="Times New Roman"/>
                <w:b/>
                <w:color w:val="000000" w:themeColor="text1"/>
                <w:sz w:val="24"/>
                <w:szCs w:val="24"/>
                <w14:textFill>
                  <w14:solidFill>
                    <w14:schemeClr w14:val="tx1"/>
                  </w14:solidFill>
                </w14:textFill>
              </w:rPr>
              <w:t>验收要求</w:t>
            </w:r>
          </w:p>
        </w:tc>
      </w:tr>
      <w:tr w14:paraId="2D5D3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Align w:val="center"/>
          </w:tcPr>
          <w:p w14:paraId="270D73CE">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陆生生态</w:t>
            </w:r>
          </w:p>
        </w:tc>
        <w:tc>
          <w:tcPr>
            <w:tcW w:w="1761" w:type="pct"/>
            <w:shd w:val="clear" w:color="auto" w:fill="auto"/>
            <w:vAlign w:val="center"/>
          </w:tcPr>
          <w:p w14:paraId="295FD7C5">
            <w:pPr>
              <w:widowControl/>
              <w:jc w:val="left"/>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color w:val="auto"/>
                <w:sz w:val="24"/>
                <w:szCs w:val="24"/>
                <w:lang w:val="en-US" w:eastAsia="zh-CN"/>
              </w:rPr>
              <w:t>严格控制施工活动范围，减少项目占地影响；</w:t>
            </w:r>
            <w:r>
              <w:rPr>
                <w:rFonts w:hint="default" w:ascii="Times New Roman" w:hAnsi="Times New Roman" w:cs="Times New Roman"/>
                <w:color w:val="auto"/>
                <w:sz w:val="24"/>
                <w:szCs w:val="24"/>
                <w:lang w:eastAsia="zh-CN"/>
              </w:rPr>
              <w:t>项目施工时</w:t>
            </w:r>
            <w:r>
              <w:rPr>
                <w:rFonts w:hint="eastAsia" w:cs="Times New Roman"/>
                <w:color w:val="auto"/>
                <w:sz w:val="24"/>
                <w:szCs w:val="24"/>
                <w:lang w:eastAsia="zh-CN"/>
              </w:rPr>
              <w:t>严格落实</w:t>
            </w:r>
            <w:r>
              <w:rPr>
                <w:rFonts w:hint="default" w:ascii="Times New Roman" w:hAnsi="Times New Roman" w:cs="Times New Roman"/>
                <w:color w:val="auto"/>
                <w:sz w:val="24"/>
                <w:szCs w:val="24"/>
              </w:rPr>
              <w:t>水土保持</w:t>
            </w:r>
            <w:r>
              <w:rPr>
                <w:rFonts w:hint="default" w:ascii="Times New Roman" w:hAnsi="Times New Roman" w:eastAsia="宋体" w:cs="Times New Roman"/>
                <w:color w:val="auto"/>
                <w:sz w:val="24"/>
                <w:szCs w:val="24"/>
                <w:lang w:val="en-US" w:eastAsia="zh-CN"/>
              </w:rPr>
              <w:t>防护措施，以防雨水冲刷造成水土流失；</w:t>
            </w:r>
            <w:r>
              <w:rPr>
                <w:rFonts w:hint="eastAsia" w:ascii="Times New Roman" w:hAnsi="Times New Roman" w:eastAsia="宋体" w:cs="Times New Roman"/>
                <w:color w:val="auto"/>
                <w:sz w:val="24"/>
                <w:szCs w:val="24"/>
                <w:lang w:val="en-US" w:eastAsia="zh-CN"/>
              </w:rPr>
              <w:t>施工前土壤要分层开挖、分别堆放、分层回填。</w:t>
            </w:r>
            <w:r>
              <w:rPr>
                <w:rFonts w:hint="default" w:ascii="Times New Roman" w:hAnsi="Times New Roman" w:eastAsia="宋体" w:cs="Times New Roman"/>
                <w:color w:val="auto"/>
                <w:sz w:val="24"/>
                <w:szCs w:val="24"/>
                <w:lang w:val="en-US" w:eastAsia="zh-CN"/>
              </w:rPr>
              <w:t>施工结束后，</w:t>
            </w:r>
            <w:r>
              <w:rPr>
                <w:rFonts w:hint="eastAsia" w:ascii="Times New Roman" w:hAnsi="Times New Roman" w:eastAsia="宋体" w:cs="Times New Roman"/>
                <w:color w:val="auto"/>
                <w:sz w:val="24"/>
                <w:szCs w:val="24"/>
                <w:lang w:val="en-US" w:eastAsia="zh-CN"/>
              </w:rPr>
              <w:t>及时进行土地复垦，</w:t>
            </w:r>
            <w:r>
              <w:rPr>
                <w:rFonts w:hint="default" w:ascii="Times New Roman" w:hAnsi="Times New Roman" w:eastAsia="宋体" w:cs="Times New Roman"/>
                <w:color w:val="auto"/>
                <w:sz w:val="24"/>
                <w:szCs w:val="24"/>
                <w:lang w:val="en-US" w:eastAsia="zh-CN"/>
              </w:rPr>
              <w:t>恢复</w:t>
            </w:r>
            <w:r>
              <w:rPr>
                <w:rFonts w:hint="eastAsia" w:ascii="Times New Roman" w:hAnsi="Times New Roman" w:eastAsia="宋体" w:cs="Times New Roman"/>
                <w:color w:val="auto"/>
                <w:sz w:val="24"/>
                <w:szCs w:val="24"/>
                <w:lang w:val="en-US" w:eastAsia="zh-CN"/>
              </w:rPr>
              <w:t>场区</w:t>
            </w:r>
            <w:r>
              <w:rPr>
                <w:rFonts w:hint="default" w:ascii="Times New Roman" w:hAnsi="Times New Roman" w:eastAsia="宋体" w:cs="Times New Roman"/>
                <w:color w:val="auto"/>
                <w:sz w:val="24"/>
                <w:szCs w:val="24"/>
                <w:lang w:val="en-US" w:eastAsia="zh-CN"/>
              </w:rPr>
              <w:t>原状。</w:t>
            </w:r>
          </w:p>
        </w:tc>
        <w:tc>
          <w:tcPr>
            <w:tcW w:w="1289" w:type="pct"/>
            <w:shd w:val="clear" w:color="auto" w:fill="auto"/>
            <w:vAlign w:val="center"/>
          </w:tcPr>
          <w:p w14:paraId="32D543E7">
            <w:pPr>
              <w:widowControl/>
              <w:jc w:val="left"/>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在批复的占地范围内进行施工，</w:t>
            </w:r>
            <w:r>
              <w:rPr>
                <w:rFonts w:hint="eastAsia" w:cs="Times New Roman"/>
                <w:color w:val="auto"/>
                <w:sz w:val="24"/>
                <w:szCs w:val="24"/>
                <w:lang w:eastAsia="zh-CN"/>
              </w:rPr>
              <w:t>严格落实</w:t>
            </w:r>
            <w:r>
              <w:rPr>
                <w:rFonts w:hint="default" w:ascii="Times New Roman" w:hAnsi="Times New Roman" w:cs="Times New Roman"/>
                <w:color w:val="auto"/>
                <w:sz w:val="24"/>
                <w:szCs w:val="24"/>
              </w:rPr>
              <w:t>水土保持</w:t>
            </w:r>
            <w:r>
              <w:rPr>
                <w:rFonts w:hint="default" w:ascii="Times New Roman" w:hAnsi="Times New Roman" w:eastAsia="宋体" w:cs="Times New Roman"/>
                <w:color w:val="auto"/>
                <w:sz w:val="24"/>
                <w:szCs w:val="24"/>
                <w:lang w:val="en-US" w:eastAsia="zh-CN"/>
              </w:rPr>
              <w:t>防护措施</w:t>
            </w:r>
            <w:r>
              <w:rPr>
                <w:rFonts w:hint="eastAsia" w:ascii="Times New Roman" w:hAnsi="Times New Roman" w:eastAsia="宋体" w:cs="Times New Roman"/>
                <w:color w:val="auto"/>
                <w:sz w:val="24"/>
                <w:szCs w:val="24"/>
                <w:lang w:val="en-US" w:eastAsia="zh-CN"/>
              </w:rPr>
              <w:t>，表土分层开挖、分区堆放、分层回填，</w:t>
            </w:r>
            <w:r>
              <w:rPr>
                <w:rFonts w:hint="default" w:ascii="Times New Roman" w:hAnsi="Times New Roman" w:cs="Times New Roman"/>
                <w:color w:val="auto"/>
                <w:sz w:val="24"/>
                <w:szCs w:val="24"/>
              </w:rPr>
              <w:t>施工完成后</w:t>
            </w:r>
            <w:r>
              <w:rPr>
                <w:rFonts w:hint="eastAsia" w:ascii="Times New Roman" w:hAnsi="Times New Roman" w:cs="Times New Roman"/>
                <w:color w:val="auto"/>
                <w:sz w:val="24"/>
                <w:szCs w:val="24"/>
                <w:lang w:eastAsia="zh-CN"/>
              </w:rPr>
              <w:t>及时</w:t>
            </w:r>
            <w:r>
              <w:rPr>
                <w:rFonts w:hint="default" w:ascii="Times New Roman" w:hAnsi="Times New Roman" w:cs="Times New Roman"/>
                <w:color w:val="auto"/>
                <w:sz w:val="24"/>
                <w:szCs w:val="24"/>
              </w:rPr>
              <w:t>恢复场地原状</w:t>
            </w:r>
            <w:r>
              <w:rPr>
                <w:rFonts w:hint="eastAsia" w:ascii="Times New Roman" w:hAnsi="Times New Roman" w:cs="Times New Roman"/>
                <w:color w:val="auto"/>
                <w:sz w:val="24"/>
                <w:szCs w:val="24"/>
                <w:lang w:eastAsia="zh-CN"/>
              </w:rPr>
              <w:t>。</w:t>
            </w:r>
          </w:p>
        </w:tc>
        <w:tc>
          <w:tcPr>
            <w:tcW w:w="655" w:type="pct"/>
            <w:vAlign w:val="center"/>
          </w:tcPr>
          <w:p w14:paraId="59391C20">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p>
        </w:tc>
        <w:tc>
          <w:tcPr>
            <w:tcW w:w="598" w:type="pct"/>
            <w:vAlign w:val="center"/>
          </w:tcPr>
          <w:p w14:paraId="3A641040">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p>
        </w:tc>
      </w:tr>
      <w:tr w14:paraId="36D16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Align w:val="center"/>
          </w:tcPr>
          <w:p w14:paraId="098881F4">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地表水环境</w:t>
            </w:r>
          </w:p>
        </w:tc>
        <w:tc>
          <w:tcPr>
            <w:tcW w:w="1761" w:type="pct"/>
            <w:vAlign w:val="center"/>
          </w:tcPr>
          <w:p w14:paraId="241DA8D5">
            <w:pPr>
              <w:spacing w:line="276" w:lineRule="auto"/>
              <w:jc w:val="center"/>
              <w:rPr>
                <w:rFonts w:hint="eastAsia" w:ascii="Times New Roman" w:hAnsi="Times New Roman" w:eastAsia="宋体" w:cs="Times New Roman"/>
                <w:color w:val="000000" w:themeColor="text1"/>
                <w:kern w:val="4"/>
                <w:sz w:val="24"/>
                <w:szCs w:val="24"/>
                <w:lang w:eastAsia="zh-CN"/>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项目</w:t>
            </w:r>
            <w:r>
              <w:rPr>
                <w:rFonts w:hint="eastAsia" w:ascii="Times New Roman" w:hAnsi="Times New Roman" w:eastAsia="宋体" w:cs="Times New Roman"/>
                <w:bCs/>
                <w:color w:val="000000" w:themeColor="text1"/>
                <w:sz w:val="24"/>
                <w:szCs w:val="24"/>
                <w:lang w:eastAsia="zh-CN"/>
                <w14:textFill>
                  <w14:solidFill>
                    <w14:schemeClr w14:val="tx1"/>
                  </w14:solidFill>
                </w14:textFill>
              </w:rPr>
              <w:t>无</w:t>
            </w:r>
            <w:r>
              <w:rPr>
                <w:rFonts w:ascii="Times New Roman" w:hAnsi="Times New Roman" w:eastAsia="宋体" w:cs="Times New Roman"/>
                <w:bCs/>
                <w:color w:val="000000" w:themeColor="text1"/>
                <w:sz w:val="24"/>
                <w:szCs w:val="24"/>
                <w14:textFill>
                  <w14:solidFill>
                    <w14:schemeClr w14:val="tx1"/>
                  </w14:solidFill>
                </w14:textFill>
              </w:rPr>
              <w:t>钻井废水</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外排</w:t>
            </w:r>
            <w:r>
              <w:rPr>
                <w:rFonts w:ascii="Times New Roman" w:hAnsi="Times New Roman" w:eastAsia="宋体" w:cs="Times New Roman"/>
                <w:bCs/>
                <w:color w:val="000000" w:themeColor="text1"/>
                <w:sz w:val="24"/>
                <w:szCs w:val="24"/>
                <w14:textFill>
                  <w14:solidFill>
                    <w14:schemeClr w14:val="tx1"/>
                  </w14:solidFill>
                </w14:textFill>
              </w:rPr>
              <w:t>、生活污水</w:t>
            </w:r>
            <w:r>
              <w:rPr>
                <w:rFonts w:ascii="Times New Roman" w:hAnsi="Times New Roman" w:eastAsia="宋体" w:cs="Times New Roman"/>
                <w:color w:val="000000" w:themeColor="text1"/>
                <w:sz w:val="24"/>
                <w:szCs w:val="24"/>
                <w14:textFill>
                  <w14:solidFill>
                    <w14:schemeClr w14:val="tx1"/>
                  </w14:solidFill>
                </w14:textFill>
              </w:rPr>
              <w:t>经化粪池</w:t>
            </w:r>
            <w:r>
              <w:rPr>
                <w:rFonts w:hint="eastAsia" w:ascii="Times New Roman" w:hAnsi="Times New Roman" w:eastAsia="宋体" w:cs="Times New Roman"/>
                <w:color w:val="000000" w:themeColor="text1"/>
                <w:sz w:val="24"/>
                <w:szCs w:val="24"/>
                <w:lang w:eastAsia="zh-CN"/>
                <w14:textFill>
                  <w14:solidFill>
                    <w14:schemeClr w14:val="tx1"/>
                  </w14:solidFill>
                </w14:textFill>
              </w:rPr>
              <w:t>预处理后定期</w:t>
            </w:r>
            <w:r>
              <w:rPr>
                <w:rFonts w:ascii="Times New Roman" w:hAnsi="Times New Roman" w:eastAsia="宋体" w:cs="Times New Roman"/>
                <w:color w:val="000000" w:themeColor="text1"/>
                <w:sz w:val="24"/>
                <w:szCs w:val="24"/>
                <w14:textFill>
                  <w14:solidFill>
                    <w14:schemeClr w14:val="tx1"/>
                  </w14:solidFill>
                </w14:textFill>
              </w:rPr>
              <w:t>清掏用作农田施肥</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tc>
        <w:tc>
          <w:tcPr>
            <w:tcW w:w="1289" w:type="pct"/>
            <w:vAlign w:val="center"/>
          </w:tcPr>
          <w:p w14:paraId="726DBD9A">
            <w:pPr>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施工废水、施工生活污水禁止外排至地表水环境</w:t>
            </w:r>
          </w:p>
        </w:tc>
        <w:tc>
          <w:tcPr>
            <w:tcW w:w="655" w:type="pct"/>
            <w:vAlign w:val="center"/>
          </w:tcPr>
          <w:p w14:paraId="33371608">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p>
        </w:tc>
        <w:tc>
          <w:tcPr>
            <w:tcW w:w="598" w:type="pct"/>
            <w:vAlign w:val="center"/>
          </w:tcPr>
          <w:p w14:paraId="001FACF9">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p>
        </w:tc>
      </w:tr>
      <w:tr w14:paraId="4291F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Align w:val="center"/>
          </w:tcPr>
          <w:p w14:paraId="7745FE3B">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地下水及土壤环境</w:t>
            </w:r>
          </w:p>
        </w:tc>
        <w:tc>
          <w:tcPr>
            <w:tcW w:w="1761" w:type="pct"/>
            <w:vAlign w:val="center"/>
          </w:tcPr>
          <w:p w14:paraId="761E0FB0">
            <w:pPr>
              <w:spacing w:line="24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Cs/>
                <w:color w:val="000000" w:themeColor="text1"/>
                <w:sz w:val="24"/>
                <w:szCs w:val="24"/>
                <w14:textFill>
                  <w14:solidFill>
                    <w14:schemeClr w14:val="tx1"/>
                  </w14:solidFill>
                </w14:textFill>
              </w:rPr>
              <w:t>泥浆添加剂</w:t>
            </w:r>
            <w:r>
              <w:rPr>
                <w:rFonts w:hint="eastAsia" w:ascii="Times New Roman" w:hAnsi="Times New Roman" w:eastAsia="宋体" w:cs="Times New Roman"/>
                <w:bCs/>
                <w:color w:val="000000" w:themeColor="text1"/>
                <w:sz w:val="24"/>
                <w:szCs w:val="24"/>
                <w:lang w:eastAsia="zh-CN"/>
                <w14:textFill>
                  <w14:solidFill>
                    <w14:schemeClr w14:val="tx1"/>
                  </w14:solidFill>
                </w14:textFill>
              </w:rPr>
              <w:t>不得含</w:t>
            </w:r>
            <w:r>
              <w:rPr>
                <w:rFonts w:hint="eastAsia" w:ascii="Times New Roman" w:hAnsi="Times New Roman" w:eastAsia="宋体" w:cs="Times New Roman"/>
                <w:bCs/>
                <w:color w:val="000000" w:themeColor="text1"/>
                <w:sz w:val="24"/>
                <w:szCs w:val="24"/>
                <w14:textFill>
                  <w14:solidFill>
                    <w14:schemeClr w14:val="tx1"/>
                  </w14:solidFill>
                </w14:textFill>
              </w:rPr>
              <w:t>有毒有害成分，</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固井</w:t>
            </w:r>
            <w:r>
              <w:rPr>
                <w:rFonts w:hint="eastAsia" w:ascii="Times New Roman" w:hAnsi="Times New Roman" w:eastAsia="宋体" w:cs="Times New Roman"/>
                <w:bCs/>
                <w:color w:val="000000" w:themeColor="text1"/>
                <w:sz w:val="24"/>
                <w:szCs w:val="24"/>
                <w14:textFill>
                  <w14:solidFill>
                    <w14:schemeClr w14:val="tx1"/>
                  </w14:solidFill>
                </w14:textFill>
              </w:rPr>
              <w:t>用水泥为普通/复合硅酸盐水泥，质量符合国家标准。钻井过程中采取水泥固井，</w:t>
            </w:r>
            <w:r>
              <w:rPr>
                <w:rFonts w:hint="default" w:ascii="Times New Roman" w:hAnsi="Times New Roman" w:eastAsia="宋体" w:cs="Times New Roman"/>
                <w:bCs/>
                <w:color w:val="000000" w:themeColor="text1"/>
                <w:sz w:val="24"/>
                <w:szCs w:val="24"/>
                <w14:textFill>
                  <w14:solidFill>
                    <w14:schemeClr w14:val="tx1"/>
                  </w14:solidFill>
                </w14:textFill>
              </w:rPr>
              <w:t>钻孔</w:t>
            </w:r>
            <w:r>
              <w:rPr>
                <w:rFonts w:hint="eastAsia" w:ascii="Times New Roman" w:hAnsi="Times New Roman" w:eastAsia="宋体" w:cs="Times New Roman"/>
                <w:bCs/>
                <w:color w:val="000000" w:themeColor="text1"/>
                <w:sz w:val="24"/>
                <w:szCs w:val="24"/>
                <w14:textFill>
                  <w14:solidFill>
                    <w14:schemeClr w14:val="tx1"/>
                  </w14:solidFill>
                </w14:textFill>
              </w:rPr>
              <w:t>过程中下入石油</w:t>
            </w:r>
            <w:r>
              <w:rPr>
                <w:rFonts w:hint="default" w:ascii="Times New Roman" w:hAnsi="Times New Roman" w:eastAsia="宋体" w:cs="Times New Roman"/>
                <w:bCs/>
                <w:color w:val="000000" w:themeColor="text1"/>
                <w:sz w:val="24"/>
                <w:szCs w:val="24"/>
                <w14:textFill>
                  <w14:solidFill>
                    <w14:schemeClr w14:val="tx1"/>
                  </w14:solidFill>
                </w14:textFill>
              </w:rPr>
              <w:t>套管，</w:t>
            </w:r>
            <w:r>
              <w:rPr>
                <w:rFonts w:hint="eastAsia" w:ascii="Times New Roman" w:hAnsi="Times New Roman" w:eastAsia="宋体" w:cs="Times New Roman"/>
                <w:bCs/>
                <w:color w:val="000000" w:themeColor="text1"/>
                <w:sz w:val="24"/>
                <w:szCs w:val="24"/>
                <w14:textFill>
                  <w14:solidFill>
                    <w14:schemeClr w14:val="tx1"/>
                  </w14:solidFill>
                </w14:textFill>
              </w:rPr>
              <w:t>并用水泥固结牢固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14:textFill>
                  <w14:solidFill>
                    <w14:schemeClr w14:val="tx1"/>
                  </w14:solidFill>
                </w14:textFill>
              </w:rPr>
              <w:t>隔离松散地层，减少地下水涌出。</w:t>
            </w:r>
          </w:p>
        </w:tc>
        <w:tc>
          <w:tcPr>
            <w:tcW w:w="1289" w:type="pct"/>
            <w:vAlign w:val="center"/>
          </w:tcPr>
          <w:p w14:paraId="77ECE28B">
            <w:pPr>
              <w:spacing w:line="276" w:lineRule="auto"/>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c>
          <w:tcPr>
            <w:tcW w:w="655" w:type="pct"/>
            <w:vAlign w:val="center"/>
          </w:tcPr>
          <w:p w14:paraId="63568843">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p>
        </w:tc>
        <w:tc>
          <w:tcPr>
            <w:tcW w:w="598" w:type="pct"/>
            <w:vAlign w:val="center"/>
          </w:tcPr>
          <w:p w14:paraId="6AD82D08">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p>
        </w:tc>
      </w:tr>
      <w:tr w14:paraId="435F4B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Align w:val="center"/>
          </w:tcPr>
          <w:p w14:paraId="3813F093">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声环境</w:t>
            </w:r>
          </w:p>
        </w:tc>
        <w:tc>
          <w:tcPr>
            <w:tcW w:w="1761" w:type="pct"/>
            <w:vAlign w:val="center"/>
          </w:tcPr>
          <w:p w14:paraId="1158E2C2">
            <w:pPr>
              <w:spacing w:line="276" w:lineRule="auto"/>
              <w:jc w:val="center"/>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合理安排施工时间，合理布局施工场地，选用</w:t>
            </w:r>
            <w:r>
              <w:rPr>
                <w:rFonts w:hint="eastAsia" w:ascii="Times New Roman" w:hAnsi="Times New Roman" w:eastAsia="宋体" w:cs="Times New Roman"/>
                <w:color w:val="000000" w:themeColor="text1"/>
                <w:sz w:val="24"/>
                <w:szCs w:val="24"/>
                <w:lang w:eastAsia="zh-CN"/>
                <w14:textFill>
                  <w14:solidFill>
                    <w14:schemeClr w14:val="tx1"/>
                  </w14:solidFill>
                </w14:textFill>
              </w:rPr>
              <w:t>低噪声设备</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加强现场管理等措施。</w:t>
            </w:r>
          </w:p>
        </w:tc>
        <w:tc>
          <w:tcPr>
            <w:tcW w:w="1289" w:type="pct"/>
            <w:vAlign w:val="center"/>
          </w:tcPr>
          <w:p w14:paraId="0A78ACD6">
            <w:pPr>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满足《建筑施工场界环境噪声排放标准》（GB12523-2011）中昼间70dB(A)，夜间55dB(A)</w:t>
            </w:r>
          </w:p>
        </w:tc>
        <w:tc>
          <w:tcPr>
            <w:tcW w:w="655" w:type="pct"/>
            <w:vAlign w:val="center"/>
          </w:tcPr>
          <w:p w14:paraId="18ABB470">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p>
        </w:tc>
        <w:tc>
          <w:tcPr>
            <w:tcW w:w="598" w:type="pct"/>
            <w:vAlign w:val="center"/>
          </w:tcPr>
          <w:p w14:paraId="3BC5789D">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p>
        </w:tc>
      </w:tr>
      <w:tr w14:paraId="234BE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Align w:val="center"/>
          </w:tcPr>
          <w:p w14:paraId="090FDE6B">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大气环境</w:t>
            </w:r>
          </w:p>
        </w:tc>
        <w:tc>
          <w:tcPr>
            <w:tcW w:w="1761" w:type="pct"/>
            <w:vAlign w:val="center"/>
          </w:tcPr>
          <w:p w14:paraId="3FBACFD7">
            <w:pPr>
              <w:autoSpaceDE w:val="0"/>
              <w:autoSpaceDN w:val="0"/>
              <w:spacing w:line="240" w:lineRule="auto"/>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①</w:t>
            </w:r>
            <w:r>
              <w:rPr>
                <w:rFonts w:ascii="Times New Roman" w:hAnsi="Times New Roman" w:eastAsia="宋体" w:cs="Times New Roman"/>
                <w:color w:val="000000" w:themeColor="text1"/>
                <w:kern w:val="0"/>
                <w:sz w:val="24"/>
                <w:szCs w:val="24"/>
                <w14:textFill>
                  <w14:solidFill>
                    <w14:schemeClr w14:val="tx1"/>
                  </w14:solidFill>
                </w14:textFill>
              </w:rPr>
              <w:t>现场封闭管理百分之百</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施工现场硬质围挡应连续设置，施工场地围挡不低于1.8m，做到坚固、平稳、整洁、美观。</w:t>
            </w:r>
          </w:p>
          <w:p w14:paraId="1775B4DA">
            <w:pPr>
              <w:autoSpaceDE w:val="0"/>
              <w:autoSpaceDN w:val="0"/>
              <w:spacing w:line="24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②</w:t>
            </w:r>
            <w:r>
              <w:rPr>
                <w:rFonts w:ascii="Times New Roman" w:hAnsi="Times New Roman" w:eastAsia="宋体" w:cs="Times New Roman"/>
                <w:color w:val="000000" w:themeColor="text1"/>
                <w:kern w:val="0"/>
                <w:sz w:val="24"/>
                <w:szCs w:val="24"/>
                <w14:textFill>
                  <w14:solidFill>
                    <w14:schemeClr w14:val="tx1"/>
                  </w14:solidFill>
                </w14:textFill>
              </w:rPr>
              <w:t>渣土物料蓬盖百分之百</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施工现场内裸露的场地和集中堆放的土方应采取覆盖、固化或绿化等防尘措施。易产生扬尘的物料要篷盖。</w:t>
            </w:r>
          </w:p>
          <w:p w14:paraId="26FD6826">
            <w:pPr>
              <w:autoSpaceDE w:val="0"/>
              <w:autoSpaceDN w:val="0"/>
              <w:spacing w:line="24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③</w:t>
            </w:r>
            <w:r>
              <w:rPr>
                <w:rFonts w:ascii="Times New Roman" w:hAnsi="Times New Roman" w:eastAsia="宋体" w:cs="Times New Roman"/>
                <w:color w:val="000000" w:themeColor="text1"/>
                <w:kern w:val="0"/>
                <w:sz w:val="24"/>
                <w:szCs w:val="24"/>
                <w14:textFill>
                  <w14:solidFill>
                    <w14:schemeClr w14:val="tx1"/>
                  </w14:solidFill>
                </w14:textFill>
              </w:rPr>
              <w:t>洒水清扫保洁百分之百</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5B0A4938">
            <w:pPr>
              <w:autoSpaceDE w:val="0"/>
              <w:autoSpaceDN w:val="0"/>
              <w:spacing w:line="24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④</w:t>
            </w:r>
            <w:r>
              <w:rPr>
                <w:rFonts w:ascii="Times New Roman" w:hAnsi="Times New Roman" w:eastAsia="宋体" w:cs="Times New Roman"/>
                <w:color w:val="000000" w:themeColor="text1"/>
                <w:kern w:val="0"/>
                <w:sz w:val="24"/>
                <w:szCs w:val="24"/>
                <w14:textFill>
                  <w14:solidFill>
                    <w14:schemeClr w14:val="tx1"/>
                  </w14:solidFill>
                </w14:textFill>
              </w:rPr>
              <w:t>物料密闭运输百分之百</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易产生扬尘的原料和渣土应采取密闭搬运、存储或采用防尘布苫盖等防尘措施。严禁熔融沥青、焚烧垃圾等有毒有害物质，禁止无牌无证车辆进入施工现场。</w:t>
            </w:r>
          </w:p>
          <w:p w14:paraId="244C7558">
            <w:pPr>
              <w:autoSpaceDE w:val="0"/>
              <w:autoSpaceDN w:val="0"/>
              <w:spacing w:line="24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⑤施工车辆在易起尘路段运输时</w:t>
            </w:r>
            <w:r>
              <w:rPr>
                <w:rFonts w:ascii="Times New Roman" w:hAnsi="Times New Roman" w:eastAsia="宋体" w:cs="Times New Roman"/>
                <w:color w:val="000000" w:themeColor="text1"/>
                <w:kern w:val="0"/>
                <w:sz w:val="24"/>
                <w:szCs w:val="24"/>
                <w14:textFill>
                  <w14:solidFill>
                    <w14:schemeClr w14:val="tx1"/>
                  </w14:solidFill>
                </w14:textFill>
              </w:rPr>
              <w:t>限制车速</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设置限速标志</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车速越慢，扬尘量越小。避免大风天气作业进行水泥</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装卸、搅拌</w:t>
            </w:r>
            <w:r>
              <w:rPr>
                <w:rFonts w:ascii="Times New Roman" w:hAnsi="Times New Roman" w:eastAsia="宋体" w:cs="Times New Roman"/>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土方</w:t>
            </w:r>
            <w:r>
              <w:rPr>
                <w:rFonts w:ascii="Times New Roman" w:hAnsi="Times New Roman" w:eastAsia="宋体" w:cs="Times New Roman"/>
                <w:color w:val="000000" w:themeColor="text1"/>
                <w:kern w:val="0"/>
                <w:sz w:val="24"/>
                <w:szCs w:val="24"/>
                <w14:textFill>
                  <w14:solidFill>
                    <w14:schemeClr w14:val="tx1"/>
                  </w14:solidFill>
                </w14:textFill>
              </w:rPr>
              <w:t>等的作业，对水泥</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等粉状物料</w:t>
            </w:r>
            <w:r>
              <w:rPr>
                <w:rFonts w:ascii="Times New Roman" w:hAnsi="Times New Roman" w:eastAsia="宋体" w:cs="Times New Roman"/>
                <w:color w:val="000000" w:themeColor="text1"/>
                <w:kern w:val="0"/>
                <w:sz w:val="24"/>
                <w:szCs w:val="24"/>
                <w14:textFill>
                  <w14:solidFill>
                    <w14:schemeClr w14:val="tx1"/>
                  </w14:solidFill>
                </w14:textFill>
              </w:rPr>
              <w:t>堆放</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在材料棚内，严禁</w:t>
            </w:r>
            <w:r>
              <w:rPr>
                <w:rFonts w:ascii="Times New Roman" w:hAnsi="Times New Roman" w:eastAsia="宋体" w:cs="Times New Roman"/>
                <w:color w:val="000000" w:themeColor="text1"/>
                <w:kern w:val="0"/>
                <w:sz w:val="24"/>
                <w:szCs w:val="24"/>
                <w14:textFill>
                  <w14:solidFill>
                    <w14:schemeClr w14:val="tx1"/>
                  </w14:solidFill>
                </w14:textFill>
              </w:rPr>
              <w:t>露天堆放。</w:t>
            </w:r>
          </w:p>
          <w:p w14:paraId="33B349E2">
            <w:pPr>
              <w:spacing w:line="240" w:lineRule="auto"/>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⑥</w:t>
            </w:r>
            <w:r>
              <w:rPr>
                <w:rFonts w:ascii="Times New Roman" w:hAnsi="Times New Roman" w:eastAsia="宋体" w:cs="Times New Roman"/>
                <w:color w:val="000000" w:themeColor="text1"/>
                <w:kern w:val="0"/>
                <w:sz w:val="24"/>
                <w:szCs w:val="24"/>
                <w14:textFill>
                  <w14:solidFill>
                    <w14:schemeClr w14:val="tx1"/>
                  </w14:solidFill>
                </w14:textFill>
              </w:rPr>
              <w:t>结合《安徽省大气污染防治行动计划实施方案》《大气污染防治行动计划》（国发〔2013〕37号）、《安徽省建筑工程施工和预拌混凝土生产扬尘污染防治标准（试行）》《淮南市扬尘污染防治</w:t>
            </w:r>
            <w:r>
              <w:rPr>
                <w:rFonts w:hint="eastAsia" w:ascii="Times New Roman" w:hAnsi="Times New Roman" w:eastAsia="宋体" w:cs="Times New Roman"/>
                <w:color w:val="000000" w:themeColor="text1"/>
                <w:kern w:val="0"/>
                <w:sz w:val="24"/>
                <w:szCs w:val="24"/>
                <w14:textFill>
                  <w14:solidFill>
                    <w14:schemeClr w14:val="tx1"/>
                  </w14:solidFill>
                </w14:textFill>
              </w:rPr>
              <w:t>条例</w:t>
            </w:r>
            <w:r>
              <w:rPr>
                <w:rFonts w:ascii="Times New Roman" w:hAnsi="Times New Roman" w:eastAsia="宋体" w:cs="Times New Roman"/>
                <w:color w:val="000000" w:themeColor="text1"/>
                <w:kern w:val="0"/>
                <w:sz w:val="24"/>
                <w:szCs w:val="24"/>
                <w14:textFill>
                  <w14:solidFill>
                    <w14:schemeClr w14:val="tx1"/>
                  </w14:solidFill>
                </w14:textFill>
              </w:rPr>
              <w:t>》中相关要求，加强现场管理，做好文明标化施工，采取配置工地滞尘防护网、设置围挡和硬化道路，选用合格的施工车辆，禁止使用淘汰、报废车辆进行施工等措施</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最大程度减少扬尘对周围大气环境的</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影响。</w:t>
            </w:r>
          </w:p>
        </w:tc>
        <w:tc>
          <w:tcPr>
            <w:tcW w:w="1289" w:type="pct"/>
            <w:vAlign w:val="center"/>
          </w:tcPr>
          <w:p w14:paraId="2BA83129">
            <w:pPr>
              <w:spacing w:line="276" w:lineRule="auto"/>
              <w:jc w:val="center"/>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本项目施工期废气颗粒物执行执行</w:t>
            </w:r>
            <w:r>
              <w:rPr>
                <w:rFonts w:hint="eastAsia" w:ascii="Times New Roman" w:hAnsi="Times New Roman" w:eastAsia="宋体" w:cs="Times New Roman"/>
                <w:color w:val="000000" w:themeColor="text1"/>
                <w:sz w:val="24"/>
                <w:szCs w:val="24"/>
                <w14:textFill>
                  <w14:solidFill>
                    <w14:schemeClr w14:val="tx1"/>
                  </w14:solidFill>
                </w14:textFill>
              </w:rPr>
              <w:t>安徽省《施工场地颗粒物排放标准》（</w:t>
            </w:r>
            <w:r>
              <w:rPr>
                <w:rFonts w:ascii="Times New Roman" w:hAnsi="Times New Roman" w:eastAsia="宋体" w:cs="Times New Roman"/>
                <w:color w:val="000000" w:themeColor="text1"/>
                <w:sz w:val="24"/>
                <w:szCs w:val="24"/>
                <w14:textFill>
                  <w14:solidFill>
                    <w14:schemeClr w14:val="tx1"/>
                  </w14:solidFill>
                </w14:textFill>
              </w:rPr>
              <w:t>DB34/4811-2024</w:t>
            </w:r>
            <w:r>
              <w:rPr>
                <w:rFonts w:hint="eastAsia" w:ascii="Times New Roman" w:hAnsi="Times New Roman" w:eastAsia="宋体" w:cs="Times New Roman"/>
                <w:color w:val="000000" w:themeColor="text1"/>
                <w:sz w:val="24"/>
                <w:szCs w:val="24"/>
                <w14:textFill>
                  <w14:solidFill>
                    <w14:schemeClr w14:val="tx1"/>
                  </w14:solidFill>
                </w14:textFill>
              </w:rPr>
              <w:t>）</w:t>
            </w:r>
          </w:p>
        </w:tc>
        <w:tc>
          <w:tcPr>
            <w:tcW w:w="655" w:type="pct"/>
            <w:vAlign w:val="center"/>
          </w:tcPr>
          <w:p w14:paraId="1F9AB1AA">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p>
        </w:tc>
        <w:tc>
          <w:tcPr>
            <w:tcW w:w="598" w:type="pct"/>
            <w:vAlign w:val="center"/>
          </w:tcPr>
          <w:p w14:paraId="2FE2BDB3">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p>
        </w:tc>
      </w:tr>
      <w:tr w14:paraId="3A638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Align w:val="center"/>
          </w:tcPr>
          <w:p w14:paraId="64A104B5">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固体废物</w:t>
            </w:r>
          </w:p>
        </w:tc>
        <w:tc>
          <w:tcPr>
            <w:tcW w:w="1761" w:type="pct"/>
            <w:vAlign w:val="center"/>
          </w:tcPr>
          <w:p w14:paraId="5E7FE0AB">
            <w:pPr>
              <w:autoSpaceDE w:val="0"/>
              <w:autoSpaceDN w:val="0"/>
              <w:spacing w:line="360" w:lineRule="auto"/>
              <w:rPr>
                <w:rFonts w:hint="eastAsia" w:ascii="Times New Roman" w:hAnsi="Times New Roman" w:eastAsia="宋体" w:cs="Times New Roman"/>
                <w:color w:val="000000" w:themeColor="text1"/>
                <w:kern w:val="0"/>
                <w:sz w:val="24"/>
                <w:szCs w:val="21"/>
                <w:lang w:eastAsia="zh-CN"/>
                <w14:textFill>
                  <w14:solidFill>
                    <w14:schemeClr w14:val="tx1"/>
                  </w14:solidFill>
                </w14:textFill>
              </w:rPr>
            </w:pPr>
            <w:r>
              <w:rPr>
                <w:rFonts w:hint="eastAsia" w:ascii="Times New Roman" w:hAnsi="Times New Roman" w:eastAsia="宋体" w:cs="Times New Roman"/>
                <w:bCs/>
                <w:color w:val="000000" w:themeColor="text1"/>
                <w:sz w:val="24"/>
                <w:szCs w:val="24"/>
                <w:lang w:eastAsia="zh-CN"/>
                <w14:textFill>
                  <w14:solidFill>
                    <w14:schemeClr w14:val="tx1"/>
                  </w14:solidFill>
                </w14:textFill>
              </w:rPr>
              <w:t>废泥浆暂存于废浆池中</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，施工完成后加入固化剂固化后用于周</w:t>
            </w:r>
            <w:r>
              <w:rPr>
                <w:rFonts w:hint="eastAsia" w:ascii="Times New Roman" w:hAnsi="Times New Roman" w:eastAsia="宋体" w:cs="Times New Roman"/>
                <w:color w:val="auto"/>
                <w:kern w:val="0"/>
                <w:sz w:val="24"/>
                <w:szCs w:val="24"/>
                <w:highlight w:val="none"/>
                <w:lang w:val="en-US" w:eastAsia="zh-CN" w:bidi="ar-SA"/>
              </w:rPr>
              <w:t>边道路填筑或者交给第三方公司综合利用。钻井</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岩屑</w:t>
            </w:r>
            <w:r>
              <w:rPr>
                <w:rFonts w:ascii="Times New Roman" w:hAnsi="Times New Roman" w:eastAsia="宋体" w:cs="Times New Roman"/>
                <w:bCs/>
                <w:color w:val="000000" w:themeColor="text1"/>
                <w:sz w:val="24"/>
                <w:szCs w:val="24"/>
                <w14:textFill>
                  <w14:solidFill>
                    <w14:schemeClr w14:val="tx1"/>
                  </w14:solidFill>
                </w14:textFill>
              </w:rPr>
              <w:t>暂存于</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场地砂池中，自然干化用于</w:t>
            </w:r>
            <w:r>
              <w:rPr>
                <w:rFonts w:hint="eastAsia" w:ascii="Times New Roman" w:hAnsi="Times New Roman" w:eastAsia="宋体" w:cs="Times New Roman"/>
                <w:color w:val="auto"/>
                <w:kern w:val="0"/>
                <w:sz w:val="24"/>
                <w:szCs w:val="24"/>
                <w:highlight w:val="none"/>
                <w:lang w:val="en-US" w:eastAsia="zh-CN" w:bidi="ar-SA"/>
              </w:rPr>
              <w:t>周边道路填筑。</w:t>
            </w:r>
            <w:r>
              <w:rPr>
                <w:rFonts w:hint="eastAsia" w:ascii="Times New Roman" w:hAnsi="Times New Roman" w:eastAsia="宋体" w:cs="Times New Roman"/>
                <w:color w:val="000000" w:themeColor="text1"/>
                <w:sz w:val="24"/>
                <w:szCs w:val="24"/>
                <w14:textFill>
                  <w14:solidFill>
                    <w14:schemeClr w14:val="tx1"/>
                  </w14:solidFill>
                </w14:textFill>
              </w:rPr>
              <w:t>废包装</w:t>
            </w:r>
            <w:r>
              <w:rPr>
                <w:rFonts w:hint="eastAsia" w:ascii="Times New Roman" w:hAnsi="Times New Roman" w:eastAsia="宋体" w:cs="Times New Roman"/>
                <w:color w:val="000000" w:themeColor="text1"/>
                <w:sz w:val="24"/>
                <w:szCs w:val="24"/>
                <w:lang w:eastAsia="zh-CN"/>
                <w14:textFill>
                  <w14:solidFill>
                    <w14:schemeClr w14:val="tx1"/>
                  </w14:solidFill>
                </w14:textFill>
              </w:rPr>
              <w:t>袋</w:t>
            </w:r>
            <w:r>
              <w:rPr>
                <w:rFonts w:hint="eastAsia" w:ascii="Times New Roman" w:hAnsi="宋体" w:eastAsia="宋体" w:cs="Times New Roman"/>
                <w:color w:val="000000" w:themeColor="text1"/>
                <w:sz w:val="24"/>
                <w14:textFill>
                  <w14:solidFill>
                    <w14:schemeClr w14:val="tx1"/>
                  </w14:solidFill>
                </w14:textFill>
              </w:rPr>
              <w:t>拆包</w:t>
            </w:r>
            <w:r>
              <w:rPr>
                <w:rFonts w:hint="eastAsia" w:ascii="Times New Roman" w:hAnsi="宋体" w:eastAsia="宋体" w:cs="Times New Roman"/>
                <w:color w:val="000000" w:themeColor="text1"/>
                <w:sz w:val="24"/>
                <w:lang w:eastAsia="zh-CN"/>
                <w14:textFill>
                  <w14:solidFill>
                    <w14:schemeClr w14:val="tx1"/>
                  </w14:solidFill>
                </w14:textFill>
              </w:rPr>
              <w:t>后即外售给综合利用人员，施工场地不存储</w:t>
            </w:r>
            <w:r>
              <w:rPr>
                <w:rFonts w:hint="eastAsia" w:ascii="Times New Roman" w:hAnsi="Times New Roman" w:eastAsia="宋体" w:cs="Times New Roman"/>
                <w:color w:val="000000" w:themeColor="text1"/>
                <w:kern w:val="0"/>
                <w:sz w:val="24"/>
                <w:szCs w:val="21"/>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1"/>
                <w:lang w:val="en-US" w:eastAsia="zh-CN"/>
                <w14:textFill>
                  <w14:solidFill>
                    <w14:schemeClr w14:val="tx1"/>
                  </w14:solidFill>
                </w14:textFill>
              </w:rPr>
              <w:t>工程弃土暂存于厂区西北角弃土堆放区，施工完成后用于场区整平。</w:t>
            </w:r>
            <w:r>
              <w:rPr>
                <w:rFonts w:ascii="Times New Roman" w:hAnsi="Times New Roman" w:eastAsia="宋体" w:cs="Times New Roman"/>
                <w:color w:val="000000" w:themeColor="text1"/>
                <w:kern w:val="0"/>
                <w:sz w:val="24"/>
                <w:szCs w:val="21"/>
                <w14:textFill>
                  <w14:solidFill>
                    <w14:schemeClr w14:val="tx1"/>
                  </w14:solidFill>
                </w14:textFill>
              </w:rPr>
              <w:t>生活垃圾依托附近居民垃圾桶统一收集后，由环卫部门清运</w:t>
            </w:r>
            <w:r>
              <w:rPr>
                <w:rFonts w:hint="eastAsia" w:ascii="Times New Roman" w:hAnsi="Times New Roman" w:eastAsia="宋体" w:cs="Times New Roman"/>
                <w:color w:val="000000" w:themeColor="text1"/>
                <w:kern w:val="0"/>
                <w:sz w:val="24"/>
                <w:szCs w:val="21"/>
                <w:lang w:eastAsia="zh-CN"/>
                <w14:textFill>
                  <w14:solidFill>
                    <w14:schemeClr w14:val="tx1"/>
                  </w14:solidFill>
                </w14:textFill>
              </w:rPr>
              <w:t>。</w:t>
            </w:r>
          </w:p>
          <w:p w14:paraId="12D9C724">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1"/>
                <w:lang w:eastAsia="zh-CN"/>
                <w14:textFill>
                  <w14:solidFill>
                    <w14:schemeClr w14:val="tx1"/>
                  </w14:solidFill>
                </w14:textFill>
              </w:rPr>
              <w:t>项目施工过程中应加强废弃泥浆的管理，严禁随意丢弃和排放，避免对周边环境造成污染。</w:t>
            </w:r>
          </w:p>
        </w:tc>
        <w:tc>
          <w:tcPr>
            <w:tcW w:w="1289" w:type="pct"/>
            <w:vAlign w:val="center"/>
          </w:tcPr>
          <w:p w14:paraId="0BDFB2C6">
            <w:pPr>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处置率100%，符合环境卫生及环境保护管理要求</w:t>
            </w:r>
          </w:p>
        </w:tc>
        <w:tc>
          <w:tcPr>
            <w:tcW w:w="655" w:type="pct"/>
            <w:vAlign w:val="center"/>
          </w:tcPr>
          <w:p w14:paraId="7CDA1159">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p>
        </w:tc>
        <w:tc>
          <w:tcPr>
            <w:tcW w:w="598" w:type="pct"/>
            <w:vAlign w:val="center"/>
          </w:tcPr>
          <w:p w14:paraId="50B67500">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p>
        </w:tc>
      </w:tr>
      <w:tr w14:paraId="749CC5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Align w:val="center"/>
          </w:tcPr>
          <w:p w14:paraId="226B58A9">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环境监测</w:t>
            </w:r>
          </w:p>
        </w:tc>
        <w:tc>
          <w:tcPr>
            <w:tcW w:w="1761" w:type="pct"/>
            <w:vAlign w:val="center"/>
          </w:tcPr>
          <w:p w14:paraId="246D8AAC">
            <w:pPr>
              <w:spacing w:line="276" w:lineRule="auto"/>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c>
          <w:tcPr>
            <w:tcW w:w="1289" w:type="pct"/>
            <w:vAlign w:val="center"/>
          </w:tcPr>
          <w:p w14:paraId="76027273">
            <w:pPr>
              <w:spacing w:line="276" w:lineRule="auto"/>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c>
          <w:tcPr>
            <w:tcW w:w="655" w:type="pct"/>
            <w:vAlign w:val="center"/>
          </w:tcPr>
          <w:p w14:paraId="2DCA347E">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p>
        </w:tc>
        <w:tc>
          <w:tcPr>
            <w:tcW w:w="598" w:type="pct"/>
            <w:vAlign w:val="center"/>
          </w:tcPr>
          <w:p w14:paraId="693E0DDF">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p>
        </w:tc>
      </w:tr>
      <w:tr w14:paraId="2C179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Align w:val="center"/>
          </w:tcPr>
          <w:p w14:paraId="61BCFB10">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宋体" w:eastAsia="宋体" w:cs="Times New Roman"/>
                <w:color w:val="000000" w:themeColor="text1"/>
                <w:sz w:val="24"/>
                <w:szCs w:val="24"/>
                <w14:textFill>
                  <w14:solidFill>
                    <w14:schemeClr w14:val="tx1"/>
                  </w14:solidFill>
                </w14:textFill>
              </w:rPr>
              <w:t>其他</w:t>
            </w:r>
          </w:p>
        </w:tc>
        <w:tc>
          <w:tcPr>
            <w:tcW w:w="1761" w:type="pct"/>
            <w:vAlign w:val="center"/>
          </w:tcPr>
          <w:p w14:paraId="7DF3BBFF">
            <w:pPr>
              <w:autoSpaceDE w:val="0"/>
              <w:autoSpaceDN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设立环境保护管理机构；健全环境管理制度</w:t>
            </w:r>
          </w:p>
        </w:tc>
        <w:tc>
          <w:tcPr>
            <w:tcW w:w="1289" w:type="pct"/>
            <w:vAlign w:val="center"/>
          </w:tcPr>
          <w:p w14:paraId="64C86896">
            <w:pPr>
              <w:autoSpaceDE w:val="0"/>
              <w:autoSpaceDN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设立环境保护管理机构；健全环境管理制度</w:t>
            </w:r>
          </w:p>
        </w:tc>
        <w:tc>
          <w:tcPr>
            <w:tcW w:w="655" w:type="pct"/>
            <w:vAlign w:val="center"/>
          </w:tcPr>
          <w:p w14:paraId="36D394C9">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p>
        </w:tc>
        <w:tc>
          <w:tcPr>
            <w:tcW w:w="598" w:type="pct"/>
            <w:vAlign w:val="center"/>
          </w:tcPr>
          <w:p w14:paraId="612480F8">
            <w:pPr>
              <w:adjustRightInd w:val="0"/>
              <w:snapToGrid w:val="0"/>
              <w:spacing w:line="276"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p>
        </w:tc>
      </w:tr>
    </w:tbl>
    <w:p w14:paraId="5651D8C3">
      <w:pPr>
        <w:pStyle w:val="21"/>
        <w:jc w:val="center"/>
        <w:outlineLvl w:val="0"/>
        <w:rPr>
          <w:rFonts w:ascii="黑体" w:hAnsi="黑体" w:eastAsia="黑体"/>
          <w:snapToGrid w:val="0"/>
          <w:color w:val="FF0000"/>
          <w:sz w:val="30"/>
          <w:szCs w:val="30"/>
        </w:rPr>
      </w:pPr>
    </w:p>
    <w:p w14:paraId="68AA03AF">
      <w:pPr>
        <w:pStyle w:val="21"/>
        <w:jc w:val="center"/>
        <w:outlineLvl w:val="0"/>
        <w:rPr>
          <w:rFonts w:ascii="黑体" w:hAnsi="黑体" w:eastAsia="黑体"/>
          <w:snapToGrid w:val="0"/>
          <w:color w:val="FF0000"/>
          <w:sz w:val="30"/>
          <w:szCs w:val="30"/>
        </w:rPr>
      </w:pPr>
    </w:p>
    <w:p w14:paraId="71451C47">
      <w:pPr>
        <w:pStyle w:val="21"/>
        <w:jc w:val="center"/>
        <w:outlineLvl w:val="0"/>
        <w:rPr>
          <w:rFonts w:ascii="黑体" w:hAnsi="黑体" w:eastAsia="黑体"/>
          <w:snapToGrid w:val="0"/>
          <w:color w:val="FF0000"/>
          <w:sz w:val="30"/>
          <w:szCs w:val="30"/>
        </w:rPr>
      </w:pPr>
    </w:p>
    <w:p w14:paraId="3342F299">
      <w:pPr>
        <w:pStyle w:val="21"/>
        <w:jc w:val="center"/>
        <w:outlineLvl w:val="0"/>
        <w:rPr>
          <w:rFonts w:ascii="黑体" w:hAnsi="黑体" w:eastAsia="黑体"/>
          <w:snapToGrid w:val="0"/>
          <w:color w:val="FF0000"/>
          <w:sz w:val="30"/>
          <w:szCs w:val="30"/>
        </w:rPr>
      </w:pPr>
    </w:p>
    <w:p w14:paraId="0057E411">
      <w:pPr>
        <w:rPr>
          <w:rFonts w:hint="eastAsia"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br w:type="page"/>
      </w:r>
    </w:p>
    <w:p w14:paraId="2F39046A">
      <w:pPr>
        <w:pStyle w:val="21"/>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七、结论</w:t>
      </w:r>
    </w:p>
    <w:tbl>
      <w:tblPr>
        <w:tblStyle w:val="25"/>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4F5C02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35" w:hRule="atLeast"/>
          <w:jc w:val="center"/>
        </w:trPr>
        <w:tc>
          <w:tcPr>
            <w:tcW w:w="9289" w:type="dxa"/>
          </w:tcPr>
          <w:p w14:paraId="7A90AA11">
            <w:pPr>
              <w:spacing w:line="360" w:lineRule="auto"/>
              <w:ind w:firstLine="480" w:firstLineChars="200"/>
              <w:rPr>
                <w:rFonts w:ascii="Times New Roman" w:cs="Times New Roman"/>
                <w:bCs/>
                <w:color w:val="000000" w:themeColor="text1"/>
                <w:sz w:val="24"/>
                <w14:textFill>
                  <w14:solidFill>
                    <w14:schemeClr w14:val="tx1"/>
                  </w14:solidFill>
                </w14:textFill>
              </w:rPr>
            </w:pPr>
            <w:r>
              <w:rPr>
                <w:rFonts w:ascii="Times New Roman" w:cs="Times New Roman"/>
                <w:bCs/>
                <w:color w:val="000000" w:themeColor="text1"/>
                <w:sz w:val="24"/>
                <w14:textFill>
                  <w14:solidFill>
                    <w14:schemeClr w14:val="tx1"/>
                  </w14:solidFill>
                </w14:textFill>
              </w:rPr>
              <w:t>综上所述，</w:t>
            </w:r>
            <w:r>
              <w:rPr>
                <w:rFonts w:hint="eastAsia" w:ascii="Times New Roman" w:hAnsi="宋体" w:eastAsia="宋体" w:cs="Times New Roman"/>
                <w:color w:val="000000" w:themeColor="text1"/>
                <w:kern w:val="0"/>
                <w:sz w:val="24"/>
                <w:szCs w:val="24"/>
                <w:lang w:eastAsia="zh-CN"/>
                <w14:textFill>
                  <w14:solidFill>
                    <w14:schemeClr w14:val="tx1"/>
                  </w14:solidFill>
                </w14:textFill>
              </w:rPr>
              <w:t>淮南矿业集团煤层气开发利用有限公司</w:t>
            </w:r>
            <w:r>
              <w:rPr>
                <w:rFonts w:hint="eastAsia" w:ascii="宋体" w:hAnsi="宋体" w:cs="宋体"/>
                <w:color w:val="auto"/>
                <w:kern w:val="0"/>
                <w:sz w:val="24"/>
                <w:szCs w:val="24"/>
                <w:lang w:val="en-US" w:eastAsia="zh-CN" w:bidi="ar"/>
              </w:rPr>
              <w:t>投</w:t>
            </w:r>
            <w:r>
              <w:rPr>
                <w:rFonts w:hint="eastAsia" w:ascii="宋体" w:hAnsi="宋体" w:cs="宋体"/>
                <w:color w:val="auto"/>
                <w:kern w:val="0"/>
                <w:sz w:val="24"/>
                <w:szCs w:val="24"/>
                <w:lang w:bidi="ar"/>
              </w:rPr>
              <w:t>资建设的</w:t>
            </w:r>
            <w:r>
              <w:rPr>
                <w:rFonts w:hint="eastAsia" w:ascii="Times New Roman" w:hAnsi="宋体" w:eastAsia="宋体" w:cs="Times New Roman"/>
                <w:color w:val="000000" w:themeColor="text1"/>
                <w:sz w:val="24"/>
                <w:szCs w:val="24"/>
                <w:lang w:eastAsia="zh-CN"/>
                <w14:textFill>
                  <w14:solidFill>
                    <w14:schemeClr w14:val="tx1"/>
                  </w14:solidFill>
                </w14:textFill>
              </w:rPr>
              <w:t>淮南矿区深部松软低透煤层高瓦斯压力治理工程潘一煤矿21324工作面地面预抽井项目</w:t>
            </w:r>
            <w:r>
              <w:rPr>
                <w:rFonts w:ascii="Times New Roman" w:cs="Times New Roman"/>
                <w:bCs/>
                <w:color w:val="000000" w:themeColor="text1"/>
                <w:sz w:val="24"/>
                <w14:textFill>
                  <w14:solidFill>
                    <w14:schemeClr w14:val="tx1"/>
                  </w14:solidFill>
                </w14:textFill>
              </w:rPr>
              <w:t>建设符合相关产业政策的要求，选址符合相关规划要求，选址合理</w:t>
            </w:r>
            <w:r>
              <w:rPr>
                <w:rFonts w:hint="eastAsia" w:ascii="Times New Roman" w:cs="Times New Roman"/>
                <w:bCs/>
                <w:color w:val="000000" w:themeColor="text1"/>
                <w:sz w:val="24"/>
                <w:lang w:eastAsia="zh-CN"/>
                <w14:textFill>
                  <w14:solidFill>
                    <w14:schemeClr w14:val="tx1"/>
                  </w14:solidFill>
                </w14:textFill>
              </w:rPr>
              <w:t>。</w:t>
            </w:r>
            <w:r>
              <w:rPr>
                <w:rFonts w:hint="eastAsia" w:ascii="宋体" w:hAnsi="宋体" w:cs="宋体"/>
                <w:color w:val="auto"/>
                <w:kern w:val="0"/>
                <w:sz w:val="24"/>
                <w:szCs w:val="24"/>
                <w:lang w:bidi="ar"/>
              </w:rPr>
              <w:t>施工期提出的</w:t>
            </w:r>
            <w:r>
              <w:rPr>
                <w:rFonts w:hint="eastAsia" w:ascii="宋体" w:hAnsi="宋体" w:cs="宋体"/>
                <w:color w:val="auto"/>
                <w:kern w:val="0"/>
                <w:sz w:val="24"/>
                <w:szCs w:val="24"/>
                <w:lang w:eastAsia="zh-CN" w:bidi="ar"/>
              </w:rPr>
              <w:t>生态保护、</w:t>
            </w:r>
            <w:r>
              <w:rPr>
                <w:rFonts w:hint="eastAsia" w:ascii="宋体" w:hAnsi="宋体" w:cs="宋体"/>
                <w:color w:val="auto"/>
                <w:kern w:val="0"/>
                <w:sz w:val="24"/>
                <w:szCs w:val="24"/>
                <w:lang w:bidi="ar"/>
              </w:rPr>
              <w:t>废水、废气、噪声和固体废物治理措施是可行的，只要在项目建设中认真落实设计和评价中提出的污染防治措施，就可使该项目的不利影响控制在环境允许的范围内，项目的建设是必要的。从环境影响的角度而言，本项目环境影响是可以接受的。</w:t>
            </w:r>
          </w:p>
          <w:p w14:paraId="1C15B425">
            <w:pPr>
              <w:spacing w:line="360" w:lineRule="auto"/>
              <w:ind w:firstLine="480" w:firstLineChars="200"/>
              <w:rPr>
                <w:rFonts w:ascii="Times New Roman" w:cs="Times New Roman"/>
                <w:bCs/>
                <w:color w:val="000000" w:themeColor="text1"/>
                <w:sz w:val="24"/>
                <w14:textFill>
                  <w14:solidFill>
                    <w14:schemeClr w14:val="tx1"/>
                  </w14:solidFill>
                </w14:textFill>
              </w:rPr>
            </w:pPr>
          </w:p>
          <w:p w14:paraId="2E3F4CC8">
            <w:pPr>
              <w:spacing w:line="360" w:lineRule="auto"/>
              <w:ind w:firstLine="480" w:firstLineChars="200"/>
              <w:rPr>
                <w:bCs/>
                <w:color w:val="FF0000"/>
                <w:sz w:val="24"/>
              </w:rPr>
            </w:pPr>
          </w:p>
        </w:tc>
      </w:tr>
    </w:tbl>
    <w:p w14:paraId="20704386">
      <w:pPr>
        <w:rPr>
          <w:color w:val="FF0000"/>
        </w:rPr>
      </w:pPr>
    </w:p>
    <w:sectPr>
      <w:headerReference r:id="rId6" w:type="default"/>
      <w:footerReference r:id="rId8" w:type="default"/>
      <w:headerReference r:id="rId7" w:type="even"/>
      <w:pgSz w:w="11906" w:h="16838"/>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
    <w:altName w:val="宋体"/>
    <w:panose1 w:val="00000000000000000000"/>
    <w:charset w:val="86"/>
    <w:family w:val="auto"/>
    <w:pitch w:val="default"/>
    <w:sig w:usb0="00000000"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F7A1B">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51C88">
    <w:pPr>
      <w:pStyle w:val="16"/>
      <w:framePr w:wrap="around" w:vAnchor="text" w:hAnchor="margin" w:xAlign="outside" w:y="1"/>
      <w:rPr>
        <w:rStyle w:val="29"/>
      </w:rPr>
    </w:pPr>
    <w:r>
      <w:fldChar w:fldCharType="begin"/>
    </w:r>
    <w:r>
      <w:rPr>
        <w:rStyle w:val="29"/>
      </w:rPr>
      <w:instrText xml:space="preserve">PAGE  </w:instrText>
    </w:r>
    <w:r>
      <w:fldChar w:fldCharType="end"/>
    </w:r>
  </w:p>
  <w:p w14:paraId="735EB641">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0"/>
        <w:szCs w:val="20"/>
      </w:rPr>
      <w:id w:val="260658563"/>
    </w:sdtPr>
    <w:sdtEndPr>
      <w:rPr>
        <w:rFonts w:ascii="Times New Roman" w:hAnsi="Times New Roman" w:cs="Times New Roman"/>
        <w:sz w:val="20"/>
        <w:szCs w:val="20"/>
      </w:rPr>
    </w:sdtEndPr>
    <w:sdtContent>
      <w:p w14:paraId="151B6819">
        <w:pPr>
          <w:pStyle w:val="16"/>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35</w:t>
        </w:r>
        <w:r>
          <w:rPr>
            <w:rFonts w:ascii="Times New Roman" w:hAnsi="Times New Roman" w:cs="Times New Roman"/>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D1249">
    <w:pPr>
      <w:pStyle w:val="16"/>
      <w:jc w:val="cen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117</w:t>
    </w:r>
    <w:r>
      <w:rPr>
        <w:rFonts w:ascii="Times New Roman" w:hAnsi="Times New Roman" w:cs="Times New Roman"/>
        <w:sz w:val="20"/>
        <w:szCs w:val="20"/>
      </w:rPr>
      <w:fldChar w:fldCharType="end"/>
    </w:r>
  </w:p>
  <w:p w14:paraId="0567FE24">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04D03">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A3ACD">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5BAFD6"/>
    <w:multiLevelType w:val="singleLevel"/>
    <w:tmpl w:val="E85BAFD6"/>
    <w:lvl w:ilvl="0" w:tentative="0">
      <w:start w:val="3"/>
      <w:numFmt w:val="decimal"/>
      <w:suff w:val="nothing"/>
      <w:lvlText w:val="（%1）"/>
      <w:lvlJc w:val="left"/>
    </w:lvl>
  </w:abstractNum>
  <w:abstractNum w:abstractNumId="1">
    <w:nsid w:val="F1E986E3"/>
    <w:multiLevelType w:val="multilevel"/>
    <w:tmpl w:val="F1E986E3"/>
    <w:lvl w:ilvl="0" w:tentative="0">
      <w:start w:val="1"/>
      <w:numFmt w:val="decimal"/>
      <w:lvlText w:val="表%1"/>
      <w:lvlJc w:val="center"/>
      <w:pPr>
        <w:ind w:left="3902" w:hanging="132"/>
      </w:pPr>
      <w:rPr>
        <w:rFonts w:hint="default" w:ascii="Times New Roman" w:hAnsi="Times New Roman" w:cs="Times New Roman"/>
        <w:b/>
        <w:sz w:val="24"/>
        <w:szCs w:val="24"/>
      </w:rPr>
    </w:lvl>
    <w:lvl w:ilvl="1" w:tentative="0">
      <w:start w:val="1"/>
      <w:numFmt w:val="decimal"/>
      <w:lvlText w:val="表%2"/>
      <w:lvlJc w:val="left"/>
      <w:pPr>
        <w:tabs>
          <w:tab w:val="left" w:pos="1440"/>
        </w:tabs>
        <w:ind w:left="3300" w:hanging="360"/>
      </w:pPr>
      <w:rPr>
        <w:rFonts w:hint="default" w:ascii="Times New Roman" w:hAnsi="Times New Roman" w:eastAsia="宋体" w:cs="Times New Roman"/>
        <w:b/>
        <w:bCs/>
        <w:sz w:val="24"/>
        <w:szCs w:val="24"/>
      </w:rPr>
    </w:lvl>
    <w:lvl w:ilvl="2" w:tentative="0">
      <w:start w:val="1"/>
      <w:numFmt w:val="decimal"/>
      <w:lvlText w:val="%3."/>
      <w:lvlJc w:val="left"/>
      <w:pPr>
        <w:tabs>
          <w:tab w:val="left" w:pos="2160"/>
        </w:tabs>
        <w:ind w:left="3131" w:hanging="360"/>
      </w:pPr>
    </w:lvl>
    <w:lvl w:ilvl="3" w:tentative="0">
      <w:start w:val="1"/>
      <w:numFmt w:val="decimal"/>
      <w:lvlText w:val="%4."/>
      <w:lvlJc w:val="left"/>
      <w:pPr>
        <w:tabs>
          <w:tab w:val="left" w:pos="2880"/>
        </w:tabs>
        <w:ind w:left="3851" w:hanging="360"/>
      </w:pPr>
    </w:lvl>
    <w:lvl w:ilvl="4" w:tentative="0">
      <w:start w:val="1"/>
      <w:numFmt w:val="decimal"/>
      <w:lvlText w:val="%5."/>
      <w:lvlJc w:val="left"/>
      <w:pPr>
        <w:tabs>
          <w:tab w:val="left" w:pos="3600"/>
        </w:tabs>
        <w:ind w:left="4571" w:hanging="360"/>
      </w:pPr>
    </w:lvl>
    <w:lvl w:ilvl="5" w:tentative="0">
      <w:start w:val="1"/>
      <w:numFmt w:val="decimal"/>
      <w:lvlText w:val="%6."/>
      <w:lvlJc w:val="left"/>
      <w:pPr>
        <w:tabs>
          <w:tab w:val="left" w:pos="4320"/>
        </w:tabs>
        <w:ind w:left="5291" w:hanging="360"/>
      </w:pPr>
    </w:lvl>
    <w:lvl w:ilvl="6" w:tentative="0">
      <w:start w:val="1"/>
      <w:numFmt w:val="decimal"/>
      <w:lvlText w:val="%7."/>
      <w:lvlJc w:val="left"/>
      <w:pPr>
        <w:tabs>
          <w:tab w:val="left" w:pos="5040"/>
        </w:tabs>
        <w:ind w:left="6011" w:hanging="360"/>
      </w:pPr>
    </w:lvl>
    <w:lvl w:ilvl="7" w:tentative="0">
      <w:start w:val="1"/>
      <w:numFmt w:val="decimal"/>
      <w:lvlText w:val="%8."/>
      <w:lvlJc w:val="left"/>
      <w:pPr>
        <w:tabs>
          <w:tab w:val="left" w:pos="5760"/>
        </w:tabs>
        <w:ind w:left="6731" w:hanging="360"/>
      </w:pPr>
    </w:lvl>
    <w:lvl w:ilvl="8" w:tentative="0">
      <w:start w:val="1"/>
      <w:numFmt w:val="decimal"/>
      <w:lvlText w:val="%9."/>
      <w:lvlJc w:val="left"/>
      <w:pPr>
        <w:tabs>
          <w:tab w:val="left" w:pos="6480"/>
        </w:tabs>
        <w:ind w:left="7451" w:hanging="360"/>
      </w:pPr>
    </w:lvl>
  </w:abstractNum>
  <w:abstractNum w:abstractNumId="2">
    <w:nsid w:val="1D1A7E48"/>
    <w:multiLevelType w:val="singleLevel"/>
    <w:tmpl w:val="1D1A7E48"/>
    <w:lvl w:ilvl="0" w:tentative="0">
      <w:start w:val="2"/>
      <w:numFmt w:val="decimal"/>
      <w:suff w:val="nothing"/>
      <w:lvlText w:val="%1、"/>
      <w:lvlJc w:val="left"/>
    </w:lvl>
  </w:abstractNum>
  <w:abstractNum w:abstractNumId="3">
    <w:nsid w:val="3376A5AA"/>
    <w:multiLevelType w:val="multilevel"/>
    <w:tmpl w:val="3376A5AA"/>
    <w:lvl w:ilvl="0" w:tentative="0">
      <w:start w:val="1"/>
      <w:numFmt w:val="decimal"/>
      <w:suff w:val="nothing"/>
      <w:lvlText w:val="图%1"/>
      <w:lvlJc w:val="left"/>
      <w:pPr>
        <w:tabs>
          <w:tab w:val="left" w:pos="0"/>
        </w:tabs>
        <w:ind w:left="0" w:firstLine="560"/>
      </w:pPr>
      <w:rPr>
        <w:rFonts w:hint="default" w:ascii="Times New Roman" w:hAnsi="Times New Roman" w:eastAsia="宋体"/>
        <w:sz w:val="24"/>
        <w:szCs w:val="24"/>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62"/>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73322DCB"/>
    <w:multiLevelType w:val="singleLevel"/>
    <w:tmpl w:val="73322DCB"/>
    <w:lvl w:ilvl="0" w:tentative="0">
      <w:start w:val="3"/>
      <w:numFmt w:val="decimal"/>
      <w:suff w:val="nothing"/>
      <w:lvlText w:val="%1、"/>
      <w:lvlJc w:val="left"/>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2MGRhOTAyMDA5MmJjYzMyNTY1ZThlZjM3YTI3ZjUifQ=="/>
  </w:docVars>
  <w:rsids>
    <w:rsidRoot w:val="00C04947"/>
    <w:rsid w:val="00000BA1"/>
    <w:rsid w:val="0000107C"/>
    <w:rsid w:val="000045F7"/>
    <w:rsid w:val="00005447"/>
    <w:rsid w:val="00011D5F"/>
    <w:rsid w:val="00012265"/>
    <w:rsid w:val="00015FB8"/>
    <w:rsid w:val="000202C1"/>
    <w:rsid w:val="0002128E"/>
    <w:rsid w:val="0002210E"/>
    <w:rsid w:val="00024A08"/>
    <w:rsid w:val="000264A0"/>
    <w:rsid w:val="00027412"/>
    <w:rsid w:val="0003519F"/>
    <w:rsid w:val="00041A1F"/>
    <w:rsid w:val="00042BA3"/>
    <w:rsid w:val="00045ECA"/>
    <w:rsid w:val="00050520"/>
    <w:rsid w:val="00050F2D"/>
    <w:rsid w:val="000514F9"/>
    <w:rsid w:val="0005461D"/>
    <w:rsid w:val="00054F64"/>
    <w:rsid w:val="00055FD7"/>
    <w:rsid w:val="00056039"/>
    <w:rsid w:val="00056B21"/>
    <w:rsid w:val="0006106C"/>
    <w:rsid w:val="00070437"/>
    <w:rsid w:val="00072B47"/>
    <w:rsid w:val="0007510D"/>
    <w:rsid w:val="00075D57"/>
    <w:rsid w:val="00081B6E"/>
    <w:rsid w:val="000824DB"/>
    <w:rsid w:val="0008413C"/>
    <w:rsid w:val="000903C5"/>
    <w:rsid w:val="00094BCA"/>
    <w:rsid w:val="00097B8A"/>
    <w:rsid w:val="00097BF8"/>
    <w:rsid w:val="000A002F"/>
    <w:rsid w:val="000A2023"/>
    <w:rsid w:val="000B5461"/>
    <w:rsid w:val="000C2D80"/>
    <w:rsid w:val="000C5164"/>
    <w:rsid w:val="000D004A"/>
    <w:rsid w:val="000D098D"/>
    <w:rsid w:val="000D0D9B"/>
    <w:rsid w:val="000D1331"/>
    <w:rsid w:val="000D40C9"/>
    <w:rsid w:val="000D5B96"/>
    <w:rsid w:val="000D691B"/>
    <w:rsid w:val="000E05D0"/>
    <w:rsid w:val="000E0996"/>
    <w:rsid w:val="000E244A"/>
    <w:rsid w:val="000F26C1"/>
    <w:rsid w:val="00100157"/>
    <w:rsid w:val="00103DF3"/>
    <w:rsid w:val="00104371"/>
    <w:rsid w:val="00105C5E"/>
    <w:rsid w:val="001079CF"/>
    <w:rsid w:val="001107C1"/>
    <w:rsid w:val="001166EE"/>
    <w:rsid w:val="00117A51"/>
    <w:rsid w:val="00121791"/>
    <w:rsid w:val="00126622"/>
    <w:rsid w:val="001308E4"/>
    <w:rsid w:val="00130919"/>
    <w:rsid w:val="00131DA8"/>
    <w:rsid w:val="0013584D"/>
    <w:rsid w:val="001366FD"/>
    <w:rsid w:val="001428E0"/>
    <w:rsid w:val="0014372E"/>
    <w:rsid w:val="00143B86"/>
    <w:rsid w:val="001448C1"/>
    <w:rsid w:val="00152E76"/>
    <w:rsid w:val="0015395E"/>
    <w:rsid w:val="00153BE1"/>
    <w:rsid w:val="001578A3"/>
    <w:rsid w:val="001603B8"/>
    <w:rsid w:val="001631B2"/>
    <w:rsid w:val="001631B4"/>
    <w:rsid w:val="00163504"/>
    <w:rsid w:val="00163E45"/>
    <w:rsid w:val="00164EDB"/>
    <w:rsid w:val="00165A49"/>
    <w:rsid w:val="00167B9A"/>
    <w:rsid w:val="00170132"/>
    <w:rsid w:val="00170168"/>
    <w:rsid w:val="00170A97"/>
    <w:rsid w:val="001725F6"/>
    <w:rsid w:val="00175156"/>
    <w:rsid w:val="001766AB"/>
    <w:rsid w:val="00176A75"/>
    <w:rsid w:val="0018172D"/>
    <w:rsid w:val="00187F7D"/>
    <w:rsid w:val="00192EA6"/>
    <w:rsid w:val="00193A75"/>
    <w:rsid w:val="00195DBE"/>
    <w:rsid w:val="0019610F"/>
    <w:rsid w:val="001962B9"/>
    <w:rsid w:val="00196985"/>
    <w:rsid w:val="00197217"/>
    <w:rsid w:val="00197910"/>
    <w:rsid w:val="001A0C03"/>
    <w:rsid w:val="001A2305"/>
    <w:rsid w:val="001A6001"/>
    <w:rsid w:val="001B095A"/>
    <w:rsid w:val="001B2EF1"/>
    <w:rsid w:val="001B34E8"/>
    <w:rsid w:val="001B4D2E"/>
    <w:rsid w:val="001C03F3"/>
    <w:rsid w:val="001C1C2C"/>
    <w:rsid w:val="001C380E"/>
    <w:rsid w:val="001C6C3E"/>
    <w:rsid w:val="001D00E0"/>
    <w:rsid w:val="001D5393"/>
    <w:rsid w:val="001D63D6"/>
    <w:rsid w:val="001D6A3D"/>
    <w:rsid w:val="001D6EF8"/>
    <w:rsid w:val="001E1EDD"/>
    <w:rsid w:val="001E5B0A"/>
    <w:rsid w:val="001E724E"/>
    <w:rsid w:val="001F22E9"/>
    <w:rsid w:val="001F3634"/>
    <w:rsid w:val="001F47F7"/>
    <w:rsid w:val="002002ED"/>
    <w:rsid w:val="002071A4"/>
    <w:rsid w:val="00210D04"/>
    <w:rsid w:val="00211620"/>
    <w:rsid w:val="0021240B"/>
    <w:rsid w:val="00216149"/>
    <w:rsid w:val="00217943"/>
    <w:rsid w:val="0022040F"/>
    <w:rsid w:val="002212ED"/>
    <w:rsid w:val="00221D3D"/>
    <w:rsid w:val="00222A06"/>
    <w:rsid w:val="00223E5F"/>
    <w:rsid w:val="002240CB"/>
    <w:rsid w:val="0022497E"/>
    <w:rsid w:val="00225759"/>
    <w:rsid w:val="00225B2B"/>
    <w:rsid w:val="002305F6"/>
    <w:rsid w:val="00230D2B"/>
    <w:rsid w:val="002346BD"/>
    <w:rsid w:val="00234A79"/>
    <w:rsid w:val="002354CC"/>
    <w:rsid w:val="00237E7E"/>
    <w:rsid w:val="00242FB3"/>
    <w:rsid w:val="002453AE"/>
    <w:rsid w:val="002465DC"/>
    <w:rsid w:val="002513D3"/>
    <w:rsid w:val="0025545E"/>
    <w:rsid w:val="002572F9"/>
    <w:rsid w:val="002641B2"/>
    <w:rsid w:val="002659BE"/>
    <w:rsid w:val="00266000"/>
    <w:rsid w:val="00266178"/>
    <w:rsid w:val="002727CA"/>
    <w:rsid w:val="00272D5E"/>
    <w:rsid w:val="00283267"/>
    <w:rsid w:val="0028331A"/>
    <w:rsid w:val="00290F81"/>
    <w:rsid w:val="0029219C"/>
    <w:rsid w:val="00293086"/>
    <w:rsid w:val="00295DAA"/>
    <w:rsid w:val="002A5DF8"/>
    <w:rsid w:val="002B1285"/>
    <w:rsid w:val="002B1D3E"/>
    <w:rsid w:val="002B1E81"/>
    <w:rsid w:val="002B50B8"/>
    <w:rsid w:val="002B52AC"/>
    <w:rsid w:val="002B6D10"/>
    <w:rsid w:val="002C4465"/>
    <w:rsid w:val="002C5B52"/>
    <w:rsid w:val="002C5F79"/>
    <w:rsid w:val="002C71A7"/>
    <w:rsid w:val="002D1612"/>
    <w:rsid w:val="002D29A3"/>
    <w:rsid w:val="002D2B41"/>
    <w:rsid w:val="002D4168"/>
    <w:rsid w:val="002D5506"/>
    <w:rsid w:val="002E02DE"/>
    <w:rsid w:val="002E1AB8"/>
    <w:rsid w:val="002E1F55"/>
    <w:rsid w:val="002E3D95"/>
    <w:rsid w:val="002E6CEB"/>
    <w:rsid w:val="002F2B1B"/>
    <w:rsid w:val="002F4379"/>
    <w:rsid w:val="002F53B5"/>
    <w:rsid w:val="002F55FC"/>
    <w:rsid w:val="002F6C98"/>
    <w:rsid w:val="00301601"/>
    <w:rsid w:val="003032AB"/>
    <w:rsid w:val="00307BD8"/>
    <w:rsid w:val="003100E5"/>
    <w:rsid w:val="00310766"/>
    <w:rsid w:val="00312929"/>
    <w:rsid w:val="00313131"/>
    <w:rsid w:val="00313849"/>
    <w:rsid w:val="0031614D"/>
    <w:rsid w:val="00321776"/>
    <w:rsid w:val="00326DFF"/>
    <w:rsid w:val="00330D3D"/>
    <w:rsid w:val="00331882"/>
    <w:rsid w:val="00331BD3"/>
    <w:rsid w:val="003330E8"/>
    <w:rsid w:val="00336527"/>
    <w:rsid w:val="00336D2B"/>
    <w:rsid w:val="003406A9"/>
    <w:rsid w:val="00340C62"/>
    <w:rsid w:val="00345043"/>
    <w:rsid w:val="00351804"/>
    <w:rsid w:val="00355979"/>
    <w:rsid w:val="00355BDC"/>
    <w:rsid w:val="0036026F"/>
    <w:rsid w:val="00363FD5"/>
    <w:rsid w:val="00375769"/>
    <w:rsid w:val="00377196"/>
    <w:rsid w:val="003869C2"/>
    <w:rsid w:val="003873F7"/>
    <w:rsid w:val="003919E5"/>
    <w:rsid w:val="003943DF"/>
    <w:rsid w:val="003947C0"/>
    <w:rsid w:val="0039592D"/>
    <w:rsid w:val="003A234D"/>
    <w:rsid w:val="003A535D"/>
    <w:rsid w:val="003A5706"/>
    <w:rsid w:val="003A5EA5"/>
    <w:rsid w:val="003B0042"/>
    <w:rsid w:val="003B038E"/>
    <w:rsid w:val="003B226B"/>
    <w:rsid w:val="003B3693"/>
    <w:rsid w:val="003B7834"/>
    <w:rsid w:val="003C0BFD"/>
    <w:rsid w:val="003C5C4C"/>
    <w:rsid w:val="003D008E"/>
    <w:rsid w:val="003D3DB5"/>
    <w:rsid w:val="003D573D"/>
    <w:rsid w:val="003D58D7"/>
    <w:rsid w:val="003D7534"/>
    <w:rsid w:val="003E1A3A"/>
    <w:rsid w:val="003E2742"/>
    <w:rsid w:val="003E5295"/>
    <w:rsid w:val="003E5756"/>
    <w:rsid w:val="003F011C"/>
    <w:rsid w:val="003F06C4"/>
    <w:rsid w:val="003F13F0"/>
    <w:rsid w:val="003F3B8C"/>
    <w:rsid w:val="003F4206"/>
    <w:rsid w:val="003F4693"/>
    <w:rsid w:val="003F4973"/>
    <w:rsid w:val="003F6063"/>
    <w:rsid w:val="003F7798"/>
    <w:rsid w:val="00400959"/>
    <w:rsid w:val="00401A91"/>
    <w:rsid w:val="00403871"/>
    <w:rsid w:val="0041161E"/>
    <w:rsid w:val="00411A4B"/>
    <w:rsid w:val="00414CAA"/>
    <w:rsid w:val="004156B3"/>
    <w:rsid w:val="00415F8D"/>
    <w:rsid w:val="0042566C"/>
    <w:rsid w:val="0043178B"/>
    <w:rsid w:val="0043261C"/>
    <w:rsid w:val="00432CAA"/>
    <w:rsid w:val="00432ECE"/>
    <w:rsid w:val="00434B23"/>
    <w:rsid w:val="004364BC"/>
    <w:rsid w:val="00440D74"/>
    <w:rsid w:val="0044181A"/>
    <w:rsid w:val="00443860"/>
    <w:rsid w:val="0044513C"/>
    <w:rsid w:val="004465FA"/>
    <w:rsid w:val="00450A76"/>
    <w:rsid w:val="00450C5E"/>
    <w:rsid w:val="004516D5"/>
    <w:rsid w:val="00457AD5"/>
    <w:rsid w:val="00460627"/>
    <w:rsid w:val="0046154C"/>
    <w:rsid w:val="00461A2C"/>
    <w:rsid w:val="00466E6B"/>
    <w:rsid w:val="00467A37"/>
    <w:rsid w:val="004752CB"/>
    <w:rsid w:val="004806CA"/>
    <w:rsid w:val="00481283"/>
    <w:rsid w:val="00485924"/>
    <w:rsid w:val="00485DC3"/>
    <w:rsid w:val="00486A67"/>
    <w:rsid w:val="00490EB0"/>
    <w:rsid w:val="00492B80"/>
    <w:rsid w:val="00494070"/>
    <w:rsid w:val="00494B22"/>
    <w:rsid w:val="00494C21"/>
    <w:rsid w:val="004952AF"/>
    <w:rsid w:val="004A605A"/>
    <w:rsid w:val="004A6EB5"/>
    <w:rsid w:val="004A7378"/>
    <w:rsid w:val="004A780F"/>
    <w:rsid w:val="004B085D"/>
    <w:rsid w:val="004B45C8"/>
    <w:rsid w:val="004C1919"/>
    <w:rsid w:val="004C1C87"/>
    <w:rsid w:val="004C2D6F"/>
    <w:rsid w:val="004D01DD"/>
    <w:rsid w:val="004D07BC"/>
    <w:rsid w:val="004D08FA"/>
    <w:rsid w:val="004D2956"/>
    <w:rsid w:val="004D2EAF"/>
    <w:rsid w:val="004D3C62"/>
    <w:rsid w:val="004D4FA1"/>
    <w:rsid w:val="004E4A02"/>
    <w:rsid w:val="004E7850"/>
    <w:rsid w:val="004F20C0"/>
    <w:rsid w:val="004F6910"/>
    <w:rsid w:val="00503903"/>
    <w:rsid w:val="00504DCE"/>
    <w:rsid w:val="005057BF"/>
    <w:rsid w:val="00505A6F"/>
    <w:rsid w:val="00510E5F"/>
    <w:rsid w:val="00511A0A"/>
    <w:rsid w:val="0051277E"/>
    <w:rsid w:val="0051371E"/>
    <w:rsid w:val="00520266"/>
    <w:rsid w:val="005204A8"/>
    <w:rsid w:val="00520990"/>
    <w:rsid w:val="00520C99"/>
    <w:rsid w:val="005220CB"/>
    <w:rsid w:val="00524697"/>
    <w:rsid w:val="00524E6E"/>
    <w:rsid w:val="00525E30"/>
    <w:rsid w:val="00526D39"/>
    <w:rsid w:val="00532C0D"/>
    <w:rsid w:val="00532FB4"/>
    <w:rsid w:val="005338AA"/>
    <w:rsid w:val="00537283"/>
    <w:rsid w:val="005476D2"/>
    <w:rsid w:val="00551A36"/>
    <w:rsid w:val="00563FF3"/>
    <w:rsid w:val="0056555E"/>
    <w:rsid w:val="00565A23"/>
    <w:rsid w:val="00570E4F"/>
    <w:rsid w:val="00574928"/>
    <w:rsid w:val="0057529E"/>
    <w:rsid w:val="0058048E"/>
    <w:rsid w:val="0058244A"/>
    <w:rsid w:val="0058453B"/>
    <w:rsid w:val="00586114"/>
    <w:rsid w:val="005876DF"/>
    <w:rsid w:val="00597EEB"/>
    <w:rsid w:val="005A001F"/>
    <w:rsid w:val="005A1FD1"/>
    <w:rsid w:val="005A3379"/>
    <w:rsid w:val="005B233B"/>
    <w:rsid w:val="005B423E"/>
    <w:rsid w:val="005B4BE4"/>
    <w:rsid w:val="005B55AE"/>
    <w:rsid w:val="005C1221"/>
    <w:rsid w:val="005C417D"/>
    <w:rsid w:val="005C465C"/>
    <w:rsid w:val="005C67FA"/>
    <w:rsid w:val="005D207E"/>
    <w:rsid w:val="005D2DE2"/>
    <w:rsid w:val="005D6DE1"/>
    <w:rsid w:val="005E26CA"/>
    <w:rsid w:val="005E5B83"/>
    <w:rsid w:val="005F0918"/>
    <w:rsid w:val="005F4E25"/>
    <w:rsid w:val="005F5598"/>
    <w:rsid w:val="005F5839"/>
    <w:rsid w:val="005F67E4"/>
    <w:rsid w:val="00602974"/>
    <w:rsid w:val="00603E4B"/>
    <w:rsid w:val="00607E70"/>
    <w:rsid w:val="006109BE"/>
    <w:rsid w:val="00610C61"/>
    <w:rsid w:val="00611329"/>
    <w:rsid w:val="00611550"/>
    <w:rsid w:val="00612730"/>
    <w:rsid w:val="0061400C"/>
    <w:rsid w:val="00615041"/>
    <w:rsid w:val="00617080"/>
    <w:rsid w:val="00617AFF"/>
    <w:rsid w:val="00620D34"/>
    <w:rsid w:val="00622A82"/>
    <w:rsid w:val="00622B67"/>
    <w:rsid w:val="0062456D"/>
    <w:rsid w:val="00630169"/>
    <w:rsid w:val="0063578A"/>
    <w:rsid w:val="00635874"/>
    <w:rsid w:val="00635BE0"/>
    <w:rsid w:val="006437AA"/>
    <w:rsid w:val="00644E0F"/>
    <w:rsid w:val="00647C31"/>
    <w:rsid w:val="006501A5"/>
    <w:rsid w:val="00650862"/>
    <w:rsid w:val="0065195F"/>
    <w:rsid w:val="00653914"/>
    <w:rsid w:val="00656683"/>
    <w:rsid w:val="00656784"/>
    <w:rsid w:val="0065765D"/>
    <w:rsid w:val="0066122E"/>
    <w:rsid w:val="00661B63"/>
    <w:rsid w:val="00662E4C"/>
    <w:rsid w:val="00665457"/>
    <w:rsid w:val="00674091"/>
    <w:rsid w:val="00674A76"/>
    <w:rsid w:val="00676B3B"/>
    <w:rsid w:val="00680323"/>
    <w:rsid w:val="0068348E"/>
    <w:rsid w:val="00691055"/>
    <w:rsid w:val="006916B7"/>
    <w:rsid w:val="00691B35"/>
    <w:rsid w:val="00693EDF"/>
    <w:rsid w:val="00694A0E"/>
    <w:rsid w:val="00694DE3"/>
    <w:rsid w:val="006974F1"/>
    <w:rsid w:val="006A074A"/>
    <w:rsid w:val="006A572B"/>
    <w:rsid w:val="006B0A83"/>
    <w:rsid w:val="006B0BD5"/>
    <w:rsid w:val="006C0404"/>
    <w:rsid w:val="006C2482"/>
    <w:rsid w:val="006C5106"/>
    <w:rsid w:val="006C63DA"/>
    <w:rsid w:val="006C6558"/>
    <w:rsid w:val="006D2D38"/>
    <w:rsid w:val="006D2DBB"/>
    <w:rsid w:val="006D4683"/>
    <w:rsid w:val="006D67EF"/>
    <w:rsid w:val="006E1FF2"/>
    <w:rsid w:val="006F1CB5"/>
    <w:rsid w:val="006F2929"/>
    <w:rsid w:val="006F2E52"/>
    <w:rsid w:val="006F3063"/>
    <w:rsid w:val="006F3BF2"/>
    <w:rsid w:val="006F4D43"/>
    <w:rsid w:val="006F68DA"/>
    <w:rsid w:val="006F7E12"/>
    <w:rsid w:val="007102FD"/>
    <w:rsid w:val="0071179F"/>
    <w:rsid w:val="00714134"/>
    <w:rsid w:val="00714788"/>
    <w:rsid w:val="00715F79"/>
    <w:rsid w:val="00716038"/>
    <w:rsid w:val="00716D91"/>
    <w:rsid w:val="0072251E"/>
    <w:rsid w:val="007237D8"/>
    <w:rsid w:val="00724ECF"/>
    <w:rsid w:val="0072596D"/>
    <w:rsid w:val="00727AE4"/>
    <w:rsid w:val="00733ADE"/>
    <w:rsid w:val="00737F31"/>
    <w:rsid w:val="007401C4"/>
    <w:rsid w:val="00744B54"/>
    <w:rsid w:val="00745141"/>
    <w:rsid w:val="007456C5"/>
    <w:rsid w:val="00746224"/>
    <w:rsid w:val="0074653F"/>
    <w:rsid w:val="00751428"/>
    <w:rsid w:val="00752ABE"/>
    <w:rsid w:val="007564ED"/>
    <w:rsid w:val="00761B8B"/>
    <w:rsid w:val="00763391"/>
    <w:rsid w:val="00764891"/>
    <w:rsid w:val="00766FAE"/>
    <w:rsid w:val="00767DA9"/>
    <w:rsid w:val="00770946"/>
    <w:rsid w:val="00771854"/>
    <w:rsid w:val="007724EE"/>
    <w:rsid w:val="00774198"/>
    <w:rsid w:val="00785B18"/>
    <w:rsid w:val="007871D2"/>
    <w:rsid w:val="00790CC0"/>
    <w:rsid w:val="007925BC"/>
    <w:rsid w:val="007927FE"/>
    <w:rsid w:val="00795630"/>
    <w:rsid w:val="007A5104"/>
    <w:rsid w:val="007A61F5"/>
    <w:rsid w:val="007B65F5"/>
    <w:rsid w:val="007C2C1D"/>
    <w:rsid w:val="007C56A3"/>
    <w:rsid w:val="007C607E"/>
    <w:rsid w:val="007D66A3"/>
    <w:rsid w:val="007D69F7"/>
    <w:rsid w:val="007D6AB0"/>
    <w:rsid w:val="007E1216"/>
    <w:rsid w:val="007E262C"/>
    <w:rsid w:val="007E49E6"/>
    <w:rsid w:val="007F0256"/>
    <w:rsid w:val="007F2189"/>
    <w:rsid w:val="007F2512"/>
    <w:rsid w:val="008017A8"/>
    <w:rsid w:val="00802552"/>
    <w:rsid w:val="008052EB"/>
    <w:rsid w:val="00807F54"/>
    <w:rsid w:val="00812204"/>
    <w:rsid w:val="00815E52"/>
    <w:rsid w:val="0081767B"/>
    <w:rsid w:val="008200CF"/>
    <w:rsid w:val="0082367C"/>
    <w:rsid w:val="008272C4"/>
    <w:rsid w:val="00827469"/>
    <w:rsid w:val="00830500"/>
    <w:rsid w:val="00831E00"/>
    <w:rsid w:val="00834221"/>
    <w:rsid w:val="0083599A"/>
    <w:rsid w:val="008403C4"/>
    <w:rsid w:val="008417F7"/>
    <w:rsid w:val="00842CDF"/>
    <w:rsid w:val="008434E0"/>
    <w:rsid w:val="0084632B"/>
    <w:rsid w:val="00850939"/>
    <w:rsid w:val="008512B0"/>
    <w:rsid w:val="00852976"/>
    <w:rsid w:val="00853421"/>
    <w:rsid w:val="008544CD"/>
    <w:rsid w:val="0085626E"/>
    <w:rsid w:val="008574BF"/>
    <w:rsid w:val="00857D86"/>
    <w:rsid w:val="008600DE"/>
    <w:rsid w:val="0086038B"/>
    <w:rsid w:val="00861379"/>
    <w:rsid w:val="00861C8D"/>
    <w:rsid w:val="00864109"/>
    <w:rsid w:val="008641F7"/>
    <w:rsid w:val="008646EB"/>
    <w:rsid w:val="00866842"/>
    <w:rsid w:val="00866F75"/>
    <w:rsid w:val="00867BDE"/>
    <w:rsid w:val="0087431D"/>
    <w:rsid w:val="00876E7D"/>
    <w:rsid w:val="00880356"/>
    <w:rsid w:val="00880BAC"/>
    <w:rsid w:val="00883A9B"/>
    <w:rsid w:val="008842E5"/>
    <w:rsid w:val="008859D9"/>
    <w:rsid w:val="00886CF2"/>
    <w:rsid w:val="008905B0"/>
    <w:rsid w:val="008926B5"/>
    <w:rsid w:val="00892BB1"/>
    <w:rsid w:val="00893C51"/>
    <w:rsid w:val="00895E62"/>
    <w:rsid w:val="008A19BE"/>
    <w:rsid w:val="008A260A"/>
    <w:rsid w:val="008A3FB1"/>
    <w:rsid w:val="008A5419"/>
    <w:rsid w:val="008B472B"/>
    <w:rsid w:val="008B735B"/>
    <w:rsid w:val="008B790B"/>
    <w:rsid w:val="008C11D9"/>
    <w:rsid w:val="008C3278"/>
    <w:rsid w:val="008C340B"/>
    <w:rsid w:val="008C5B3E"/>
    <w:rsid w:val="008C5BCE"/>
    <w:rsid w:val="008D1A69"/>
    <w:rsid w:val="008D4022"/>
    <w:rsid w:val="008D5A65"/>
    <w:rsid w:val="008E15C9"/>
    <w:rsid w:val="008E2DEB"/>
    <w:rsid w:val="008E5B11"/>
    <w:rsid w:val="008F1677"/>
    <w:rsid w:val="008F6AE4"/>
    <w:rsid w:val="00900E6F"/>
    <w:rsid w:val="0090102B"/>
    <w:rsid w:val="00906786"/>
    <w:rsid w:val="00914B69"/>
    <w:rsid w:val="00915266"/>
    <w:rsid w:val="009206BD"/>
    <w:rsid w:val="00921438"/>
    <w:rsid w:val="00924116"/>
    <w:rsid w:val="00927607"/>
    <w:rsid w:val="009301FB"/>
    <w:rsid w:val="00932360"/>
    <w:rsid w:val="009335B9"/>
    <w:rsid w:val="009339D5"/>
    <w:rsid w:val="00933FE2"/>
    <w:rsid w:val="009502FB"/>
    <w:rsid w:val="0095075C"/>
    <w:rsid w:val="009529B7"/>
    <w:rsid w:val="00954860"/>
    <w:rsid w:val="00954DBB"/>
    <w:rsid w:val="00962040"/>
    <w:rsid w:val="00963D0B"/>
    <w:rsid w:val="00964966"/>
    <w:rsid w:val="00965514"/>
    <w:rsid w:val="009664EF"/>
    <w:rsid w:val="00966AB2"/>
    <w:rsid w:val="00971D91"/>
    <w:rsid w:val="00973C57"/>
    <w:rsid w:val="00974661"/>
    <w:rsid w:val="009751AF"/>
    <w:rsid w:val="00981770"/>
    <w:rsid w:val="0098356B"/>
    <w:rsid w:val="00983F0A"/>
    <w:rsid w:val="00994F67"/>
    <w:rsid w:val="00995E8A"/>
    <w:rsid w:val="00995EC2"/>
    <w:rsid w:val="009A2797"/>
    <w:rsid w:val="009A29C2"/>
    <w:rsid w:val="009A5540"/>
    <w:rsid w:val="009A61EA"/>
    <w:rsid w:val="009A61F1"/>
    <w:rsid w:val="009B140A"/>
    <w:rsid w:val="009B4676"/>
    <w:rsid w:val="009C197D"/>
    <w:rsid w:val="009C4788"/>
    <w:rsid w:val="009C74C4"/>
    <w:rsid w:val="009D43BE"/>
    <w:rsid w:val="009D4B33"/>
    <w:rsid w:val="009D4B7F"/>
    <w:rsid w:val="009E0907"/>
    <w:rsid w:val="009E1D74"/>
    <w:rsid w:val="009E2523"/>
    <w:rsid w:val="009E3F91"/>
    <w:rsid w:val="009E5037"/>
    <w:rsid w:val="009F19F5"/>
    <w:rsid w:val="009F5A39"/>
    <w:rsid w:val="009F68AA"/>
    <w:rsid w:val="009F6922"/>
    <w:rsid w:val="00A05957"/>
    <w:rsid w:val="00A06DD9"/>
    <w:rsid w:val="00A076D1"/>
    <w:rsid w:val="00A1010C"/>
    <w:rsid w:val="00A10AC2"/>
    <w:rsid w:val="00A16643"/>
    <w:rsid w:val="00A1681B"/>
    <w:rsid w:val="00A16902"/>
    <w:rsid w:val="00A17C1F"/>
    <w:rsid w:val="00A2090E"/>
    <w:rsid w:val="00A20D76"/>
    <w:rsid w:val="00A219E5"/>
    <w:rsid w:val="00A256DB"/>
    <w:rsid w:val="00A25BB5"/>
    <w:rsid w:val="00A25DDD"/>
    <w:rsid w:val="00A30102"/>
    <w:rsid w:val="00A30BA7"/>
    <w:rsid w:val="00A3317A"/>
    <w:rsid w:val="00A33AA5"/>
    <w:rsid w:val="00A351A7"/>
    <w:rsid w:val="00A36A3D"/>
    <w:rsid w:val="00A41FB2"/>
    <w:rsid w:val="00A42CB4"/>
    <w:rsid w:val="00A446F0"/>
    <w:rsid w:val="00A45642"/>
    <w:rsid w:val="00A50CA1"/>
    <w:rsid w:val="00A534A2"/>
    <w:rsid w:val="00A53744"/>
    <w:rsid w:val="00A5432C"/>
    <w:rsid w:val="00A55803"/>
    <w:rsid w:val="00A56482"/>
    <w:rsid w:val="00A64F19"/>
    <w:rsid w:val="00A67119"/>
    <w:rsid w:val="00A676B9"/>
    <w:rsid w:val="00A70742"/>
    <w:rsid w:val="00A73A52"/>
    <w:rsid w:val="00A75892"/>
    <w:rsid w:val="00A768A1"/>
    <w:rsid w:val="00A76F9D"/>
    <w:rsid w:val="00A80C10"/>
    <w:rsid w:val="00A8314C"/>
    <w:rsid w:val="00A85B45"/>
    <w:rsid w:val="00A861D0"/>
    <w:rsid w:val="00A90CFE"/>
    <w:rsid w:val="00A90D5A"/>
    <w:rsid w:val="00A92CCF"/>
    <w:rsid w:val="00A943E1"/>
    <w:rsid w:val="00A94521"/>
    <w:rsid w:val="00A94A18"/>
    <w:rsid w:val="00A95B49"/>
    <w:rsid w:val="00A973E0"/>
    <w:rsid w:val="00AA238C"/>
    <w:rsid w:val="00AA5882"/>
    <w:rsid w:val="00AA7278"/>
    <w:rsid w:val="00AB0805"/>
    <w:rsid w:val="00AB2995"/>
    <w:rsid w:val="00AB2BB6"/>
    <w:rsid w:val="00AB3AA0"/>
    <w:rsid w:val="00AB700D"/>
    <w:rsid w:val="00AC3D01"/>
    <w:rsid w:val="00AC54E3"/>
    <w:rsid w:val="00AD1051"/>
    <w:rsid w:val="00AD11F3"/>
    <w:rsid w:val="00AD2EDF"/>
    <w:rsid w:val="00AD607C"/>
    <w:rsid w:val="00AD64C7"/>
    <w:rsid w:val="00AD7DF8"/>
    <w:rsid w:val="00AE01DF"/>
    <w:rsid w:val="00AE03FE"/>
    <w:rsid w:val="00AE79C0"/>
    <w:rsid w:val="00AF19D4"/>
    <w:rsid w:val="00AF56AA"/>
    <w:rsid w:val="00B058A6"/>
    <w:rsid w:val="00B05E6B"/>
    <w:rsid w:val="00B072E5"/>
    <w:rsid w:val="00B07BFC"/>
    <w:rsid w:val="00B13F3C"/>
    <w:rsid w:val="00B140C2"/>
    <w:rsid w:val="00B20894"/>
    <w:rsid w:val="00B20C73"/>
    <w:rsid w:val="00B25C86"/>
    <w:rsid w:val="00B26B62"/>
    <w:rsid w:val="00B27264"/>
    <w:rsid w:val="00B30396"/>
    <w:rsid w:val="00B33621"/>
    <w:rsid w:val="00B366E8"/>
    <w:rsid w:val="00B40553"/>
    <w:rsid w:val="00B406AE"/>
    <w:rsid w:val="00B47578"/>
    <w:rsid w:val="00B476A8"/>
    <w:rsid w:val="00B50512"/>
    <w:rsid w:val="00B541EC"/>
    <w:rsid w:val="00B56668"/>
    <w:rsid w:val="00B56FB9"/>
    <w:rsid w:val="00B64158"/>
    <w:rsid w:val="00B65B21"/>
    <w:rsid w:val="00B73099"/>
    <w:rsid w:val="00B82D31"/>
    <w:rsid w:val="00B84A6C"/>
    <w:rsid w:val="00B84D42"/>
    <w:rsid w:val="00B85469"/>
    <w:rsid w:val="00B85AB8"/>
    <w:rsid w:val="00B860DB"/>
    <w:rsid w:val="00B875A1"/>
    <w:rsid w:val="00B92D3B"/>
    <w:rsid w:val="00B978E9"/>
    <w:rsid w:val="00BA26B4"/>
    <w:rsid w:val="00BA523A"/>
    <w:rsid w:val="00BA70A1"/>
    <w:rsid w:val="00BB0FFA"/>
    <w:rsid w:val="00BB3CE8"/>
    <w:rsid w:val="00BB50E4"/>
    <w:rsid w:val="00BC0BC9"/>
    <w:rsid w:val="00BC3A6D"/>
    <w:rsid w:val="00BC3B3E"/>
    <w:rsid w:val="00BC5A67"/>
    <w:rsid w:val="00BC68AA"/>
    <w:rsid w:val="00BC6F29"/>
    <w:rsid w:val="00BD03C9"/>
    <w:rsid w:val="00BD4372"/>
    <w:rsid w:val="00BD6A96"/>
    <w:rsid w:val="00BD79C5"/>
    <w:rsid w:val="00BE10AB"/>
    <w:rsid w:val="00BE1D1D"/>
    <w:rsid w:val="00BE44D6"/>
    <w:rsid w:val="00BE46C0"/>
    <w:rsid w:val="00BE6D06"/>
    <w:rsid w:val="00BF0AA3"/>
    <w:rsid w:val="00BF19EE"/>
    <w:rsid w:val="00BF5B04"/>
    <w:rsid w:val="00BF6728"/>
    <w:rsid w:val="00BF6F23"/>
    <w:rsid w:val="00BF7E5D"/>
    <w:rsid w:val="00C04947"/>
    <w:rsid w:val="00C1013A"/>
    <w:rsid w:val="00C129E1"/>
    <w:rsid w:val="00C15BCC"/>
    <w:rsid w:val="00C17B8C"/>
    <w:rsid w:val="00C20E62"/>
    <w:rsid w:val="00C23FCB"/>
    <w:rsid w:val="00C244E1"/>
    <w:rsid w:val="00C2687A"/>
    <w:rsid w:val="00C307E7"/>
    <w:rsid w:val="00C31545"/>
    <w:rsid w:val="00C31F66"/>
    <w:rsid w:val="00C43D41"/>
    <w:rsid w:val="00C44A58"/>
    <w:rsid w:val="00C5752B"/>
    <w:rsid w:val="00C57D6A"/>
    <w:rsid w:val="00C57F7B"/>
    <w:rsid w:val="00C61152"/>
    <w:rsid w:val="00C617B2"/>
    <w:rsid w:val="00C66812"/>
    <w:rsid w:val="00C67E39"/>
    <w:rsid w:val="00C73F72"/>
    <w:rsid w:val="00C832BD"/>
    <w:rsid w:val="00C842B8"/>
    <w:rsid w:val="00C8741C"/>
    <w:rsid w:val="00C87EEF"/>
    <w:rsid w:val="00C90046"/>
    <w:rsid w:val="00C94084"/>
    <w:rsid w:val="00C976E7"/>
    <w:rsid w:val="00CA3598"/>
    <w:rsid w:val="00CA4BA5"/>
    <w:rsid w:val="00CA5738"/>
    <w:rsid w:val="00CA5BFA"/>
    <w:rsid w:val="00CB5010"/>
    <w:rsid w:val="00CC2255"/>
    <w:rsid w:val="00CC23F1"/>
    <w:rsid w:val="00CC477A"/>
    <w:rsid w:val="00CC620E"/>
    <w:rsid w:val="00CC742C"/>
    <w:rsid w:val="00CD1007"/>
    <w:rsid w:val="00CD5253"/>
    <w:rsid w:val="00CD5928"/>
    <w:rsid w:val="00CE12CC"/>
    <w:rsid w:val="00CE1FE8"/>
    <w:rsid w:val="00CF00FD"/>
    <w:rsid w:val="00CF4021"/>
    <w:rsid w:val="00CF4C80"/>
    <w:rsid w:val="00D004C0"/>
    <w:rsid w:val="00D07369"/>
    <w:rsid w:val="00D10E9B"/>
    <w:rsid w:val="00D11B0E"/>
    <w:rsid w:val="00D12B01"/>
    <w:rsid w:val="00D12F5C"/>
    <w:rsid w:val="00D13502"/>
    <w:rsid w:val="00D17A2A"/>
    <w:rsid w:val="00D21FC5"/>
    <w:rsid w:val="00D222F7"/>
    <w:rsid w:val="00D25642"/>
    <w:rsid w:val="00D2662A"/>
    <w:rsid w:val="00D302AC"/>
    <w:rsid w:val="00D324A7"/>
    <w:rsid w:val="00D35F76"/>
    <w:rsid w:val="00D43E1F"/>
    <w:rsid w:val="00D462A9"/>
    <w:rsid w:val="00D46BE4"/>
    <w:rsid w:val="00D46FA4"/>
    <w:rsid w:val="00D46FAF"/>
    <w:rsid w:val="00D4724B"/>
    <w:rsid w:val="00D477F4"/>
    <w:rsid w:val="00D50E3C"/>
    <w:rsid w:val="00D51FC7"/>
    <w:rsid w:val="00D5218D"/>
    <w:rsid w:val="00D52B43"/>
    <w:rsid w:val="00D537E8"/>
    <w:rsid w:val="00D53EDB"/>
    <w:rsid w:val="00D55172"/>
    <w:rsid w:val="00D62C19"/>
    <w:rsid w:val="00D63257"/>
    <w:rsid w:val="00D655CB"/>
    <w:rsid w:val="00D70D3C"/>
    <w:rsid w:val="00D71450"/>
    <w:rsid w:val="00D716A1"/>
    <w:rsid w:val="00D75EBD"/>
    <w:rsid w:val="00D764B6"/>
    <w:rsid w:val="00D7781C"/>
    <w:rsid w:val="00D86207"/>
    <w:rsid w:val="00D867C9"/>
    <w:rsid w:val="00D86A7B"/>
    <w:rsid w:val="00D86C19"/>
    <w:rsid w:val="00D909C1"/>
    <w:rsid w:val="00D90AC6"/>
    <w:rsid w:val="00D90BDA"/>
    <w:rsid w:val="00D92BAE"/>
    <w:rsid w:val="00D92EF5"/>
    <w:rsid w:val="00D96137"/>
    <w:rsid w:val="00D96C81"/>
    <w:rsid w:val="00DA1F56"/>
    <w:rsid w:val="00DA2268"/>
    <w:rsid w:val="00DA356F"/>
    <w:rsid w:val="00DA3C9F"/>
    <w:rsid w:val="00DB0BC8"/>
    <w:rsid w:val="00DB1A34"/>
    <w:rsid w:val="00DB2443"/>
    <w:rsid w:val="00DB6602"/>
    <w:rsid w:val="00DC444C"/>
    <w:rsid w:val="00DC65C4"/>
    <w:rsid w:val="00DC6FBC"/>
    <w:rsid w:val="00DC7304"/>
    <w:rsid w:val="00DD1F73"/>
    <w:rsid w:val="00DD2C95"/>
    <w:rsid w:val="00DD3CAF"/>
    <w:rsid w:val="00DD4EC6"/>
    <w:rsid w:val="00DD50CE"/>
    <w:rsid w:val="00DE01AE"/>
    <w:rsid w:val="00DE0777"/>
    <w:rsid w:val="00DE0EB8"/>
    <w:rsid w:val="00DE0FCA"/>
    <w:rsid w:val="00DE6497"/>
    <w:rsid w:val="00DF0E4B"/>
    <w:rsid w:val="00DF2C62"/>
    <w:rsid w:val="00DF58A2"/>
    <w:rsid w:val="00DF5D03"/>
    <w:rsid w:val="00DF5FB0"/>
    <w:rsid w:val="00E00857"/>
    <w:rsid w:val="00E02DE1"/>
    <w:rsid w:val="00E0468A"/>
    <w:rsid w:val="00E05D53"/>
    <w:rsid w:val="00E14A4D"/>
    <w:rsid w:val="00E161FB"/>
    <w:rsid w:val="00E17F6C"/>
    <w:rsid w:val="00E24C25"/>
    <w:rsid w:val="00E26C61"/>
    <w:rsid w:val="00E2765A"/>
    <w:rsid w:val="00E30414"/>
    <w:rsid w:val="00E31BBC"/>
    <w:rsid w:val="00E335D9"/>
    <w:rsid w:val="00E336B8"/>
    <w:rsid w:val="00E42221"/>
    <w:rsid w:val="00E450ED"/>
    <w:rsid w:val="00E4604B"/>
    <w:rsid w:val="00E46EDE"/>
    <w:rsid w:val="00E515B0"/>
    <w:rsid w:val="00E52EF4"/>
    <w:rsid w:val="00E551C3"/>
    <w:rsid w:val="00E56664"/>
    <w:rsid w:val="00E56885"/>
    <w:rsid w:val="00E60BB4"/>
    <w:rsid w:val="00E6109E"/>
    <w:rsid w:val="00E67A37"/>
    <w:rsid w:val="00E724DC"/>
    <w:rsid w:val="00E73626"/>
    <w:rsid w:val="00E73DA7"/>
    <w:rsid w:val="00E76E77"/>
    <w:rsid w:val="00E81F25"/>
    <w:rsid w:val="00E82BDA"/>
    <w:rsid w:val="00E87D8E"/>
    <w:rsid w:val="00E900B7"/>
    <w:rsid w:val="00E94B52"/>
    <w:rsid w:val="00E96C07"/>
    <w:rsid w:val="00EA242B"/>
    <w:rsid w:val="00EA2D3C"/>
    <w:rsid w:val="00EA37E7"/>
    <w:rsid w:val="00EA7451"/>
    <w:rsid w:val="00EA7C23"/>
    <w:rsid w:val="00EB1518"/>
    <w:rsid w:val="00EB3D71"/>
    <w:rsid w:val="00EC163B"/>
    <w:rsid w:val="00EC2AB1"/>
    <w:rsid w:val="00EC32D5"/>
    <w:rsid w:val="00ED199A"/>
    <w:rsid w:val="00ED2076"/>
    <w:rsid w:val="00ED2CDC"/>
    <w:rsid w:val="00ED3860"/>
    <w:rsid w:val="00ED4594"/>
    <w:rsid w:val="00ED45CB"/>
    <w:rsid w:val="00ED4A39"/>
    <w:rsid w:val="00EE2053"/>
    <w:rsid w:val="00EE2CA0"/>
    <w:rsid w:val="00EE61B4"/>
    <w:rsid w:val="00EE644A"/>
    <w:rsid w:val="00EE7738"/>
    <w:rsid w:val="00EF0C73"/>
    <w:rsid w:val="00EF10CD"/>
    <w:rsid w:val="00EF1F94"/>
    <w:rsid w:val="00EF2AD1"/>
    <w:rsid w:val="00EF6760"/>
    <w:rsid w:val="00EF6DBE"/>
    <w:rsid w:val="00F052A1"/>
    <w:rsid w:val="00F11FEF"/>
    <w:rsid w:val="00F158B6"/>
    <w:rsid w:val="00F24384"/>
    <w:rsid w:val="00F268C1"/>
    <w:rsid w:val="00F31979"/>
    <w:rsid w:val="00F33733"/>
    <w:rsid w:val="00F33D66"/>
    <w:rsid w:val="00F3459A"/>
    <w:rsid w:val="00F347E2"/>
    <w:rsid w:val="00F35016"/>
    <w:rsid w:val="00F36D54"/>
    <w:rsid w:val="00F4133B"/>
    <w:rsid w:val="00F41ACB"/>
    <w:rsid w:val="00F428A3"/>
    <w:rsid w:val="00F4426C"/>
    <w:rsid w:val="00F4514E"/>
    <w:rsid w:val="00F46B93"/>
    <w:rsid w:val="00F50745"/>
    <w:rsid w:val="00F55505"/>
    <w:rsid w:val="00F55D7B"/>
    <w:rsid w:val="00F56526"/>
    <w:rsid w:val="00F56810"/>
    <w:rsid w:val="00F56E54"/>
    <w:rsid w:val="00F60CB6"/>
    <w:rsid w:val="00F6162E"/>
    <w:rsid w:val="00F63AA6"/>
    <w:rsid w:val="00F6589E"/>
    <w:rsid w:val="00F66470"/>
    <w:rsid w:val="00F72583"/>
    <w:rsid w:val="00F76E97"/>
    <w:rsid w:val="00F77023"/>
    <w:rsid w:val="00F83080"/>
    <w:rsid w:val="00F86345"/>
    <w:rsid w:val="00F916DB"/>
    <w:rsid w:val="00F92AAD"/>
    <w:rsid w:val="00F93D98"/>
    <w:rsid w:val="00F95F09"/>
    <w:rsid w:val="00FA3AA2"/>
    <w:rsid w:val="00FA5651"/>
    <w:rsid w:val="00FB2063"/>
    <w:rsid w:val="00FB2B25"/>
    <w:rsid w:val="00FB31CC"/>
    <w:rsid w:val="00FB4B92"/>
    <w:rsid w:val="00FB4F9D"/>
    <w:rsid w:val="00FB5F61"/>
    <w:rsid w:val="00FB6DBA"/>
    <w:rsid w:val="00FB7512"/>
    <w:rsid w:val="00FB77B8"/>
    <w:rsid w:val="00FC06EC"/>
    <w:rsid w:val="00FC2DEE"/>
    <w:rsid w:val="00FC2E99"/>
    <w:rsid w:val="00FC42B1"/>
    <w:rsid w:val="00FC526E"/>
    <w:rsid w:val="00FC5DCF"/>
    <w:rsid w:val="00FD4C28"/>
    <w:rsid w:val="00FD62BE"/>
    <w:rsid w:val="00FD6E99"/>
    <w:rsid w:val="00FD6EF9"/>
    <w:rsid w:val="00FD70E6"/>
    <w:rsid w:val="00FD72EE"/>
    <w:rsid w:val="00FE387F"/>
    <w:rsid w:val="00FE40F9"/>
    <w:rsid w:val="00FE4809"/>
    <w:rsid w:val="00FE7181"/>
    <w:rsid w:val="00FF14D4"/>
    <w:rsid w:val="00FF25EE"/>
    <w:rsid w:val="00FF6354"/>
    <w:rsid w:val="00FF71F6"/>
    <w:rsid w:val="00FF7E3A"/>
    <w:rsid w:val="0144009C"/>
    <w:rsid w:val="014C3004"/>
    <w:rsid w:val="01516116"/>
    <w:rsid w:val="01743AA8"/>
    <w:rsid w:val="01750760"/>
    <w:rsid w:val="01A544B3"/>
    <w:rsid w:val="01B54DB7"/>
    <w:rsid w:val="01C40D31"/>
    <w:rsid w:val="01C54B55"/>
    <w:rsid w:val="01D408F4"/>
    <w:rsid w:val="01F21840"/>
    <w:rsid w:val="01F80A87"/>
    <w:rsid w:val="021B7CDD"/>
    <w:rsid w:val="021D1CB0"/>
    <w:rsid w:val="022B2C0A"/>
    <w:rsid w:val="0261662C"/>
    <w:rsid w:val="02B0310F"/>
    <w:rsid w:val="02B56978"/>
    <w:rsid w:val="02C60F94"/>
    <w:rsid w:val="02D36DFE"/>
    <w:rsid w:val="02EF1E8A"/>
    <w:rsid w:val="02F61626"/>
    <w:rsid w:val="02FF20EF"/>
    <w:rsid w:val="03103BAE"/>
    <w:rsid w:val="031511C4"/>
    <w:rsid w:val="0317318F"/>
    <w:rsid w:val="03191311"/>
    <w:rsid w:val="034B049B"/>
    <w:rsid w:val="03766107"/>
    <w:rsid w:val="039667A9"/>
    <w:rsid w:val="039B3DC0"/>
    <w:rsid w:val="03AD2390"/>
    <w:rsid w:val="03B24C65"/>
    <w:rsid w:val="03D60954"/>
    <w:rsid w:val="03D85DCB"/>
    <w:rsid w:val="03D932D0"/>
    <w:rsid w:val="041A1188"/>
    <w:rsid w:val="04431BD5"/>
    <w:rsid w:val="044A06DB"/>
    <w:rsid w:val="04553BA2"/>
    <w:rsid w:val="045D2E23"/>
    <w:rsid w:val="0462606F"/>
    <w:rsid w:val="04A71B2E"/>
    <w:rsid w:val="04BD34AB"/>
    <w:rsid w:val="04D400AC"/>
    <w:rsid w:val="04D9520B"/>
    <w:rsid w:val="051D683D"/>
    <w:rsid w:val="051E6349"/>
    <w:rsid w:val="05373674"/>
    <w:rsid w:val="053A4900"/>
    <w:rsid w:val="05467484"/>
    <w:rsid w:val="054D2E98"/>
    <w:rsid w:val="0563222F"/>
    <w:rsid w:val="05761D8A"/>
    <w:rsid w:val="05777856"/>
    <w:rsid w:val="05850816"/>
    <w:rsid w:val="05BE78F1"/>
    <w:rsid w:val="05C375FE"/>
    <w:rsid w:val="05D84323"/>
    <w:rsid w:val="05FD53E0"/>
    <w:rsid w:val="06093497"/>
    <w:rsid w:val="0630252B"/>
    <w:rsid w:val="064619CE"/>
    <w:rsid w:val="06500E91"/>
    <w:rsid w:val="06516CA1"/>
    <w:rsid w:val="0664327A"/>
    <w:rsid w:val="06A55C31"/>
    <w:rsid w:val="06D64EA7"/>
    <w:rsid w:val="06D870D9"/>
    <w:rsid w:val="070F7027"/>
    <w:rsid w:val="071D4ED9"/>
    <w:rsid w:val="074412F2"/>
    <w:rsid w:val="07591FC8"/>
    <w:rsid w:val="07723089"/>
    <w:rsid w:val="07832BA1"/>
    <w:rsid w:val="07897965"/>
    <w:rsid w:val="07936150"/>
    <w:rsid w:val="07951EC6"/>
    <w:rsid w:val="07C165CD"/>
    <w:rsid w:val="07C35693"/>
    <w:rsid w:val="07C66F31"/>
    <w:rsid w:val="080212A0"/>
    <w:rsid w:val="08057B40"/>
    <w:rsid w:val="081A31D6"/>
    <w:rsid w:val="08275C22"/>
    <w:rsid w:val="08281AC6"/>
    <w:rsid w:val="084408F1"/>
    <w:rsid w:val="08524EA3"/>
    <w:rsid w:val="087B58B7"/>
    <w:rsid w:val="087D1CE6"/>
    <w:rsid w:val="08931509"/>
    <w:rsid w:val="08BA59AC"/>
    <w:rsid w:val="08DA0EE6"/>
    <w:rsid w:val="09093579"/>
    <w:rsid w:val="091C48B6"/>
    <w:rsid w:val="094E5A0C"/>
    <w:rsid w:val="09532A47"/>
    <w:rsid w:val="095B101E"/>
    <w:rsid w:val="095C69F8"/>
    <w:rsid w:val="09A62E5B"/>
    <w:rsid w:val="09B74D83"/>
    <w:rsid w:val="09BB0D18"/>
    <w:rsid w:val="09C76179"/>
    <w:rsid w:val="0A0106F5"/>
    <w:rsid w:val="0A075D0B"/>
    <w:rsid w:val="0A917CCA"/>
    <w:rsid w:val="0A935352"/>
    <w:rsid w:val="0A9A6B7F"/>
    <w:rsid w:val="0AD66408"/>
    <w:rsid w:val="0AE222D4"/>
    <w:rsid w:val="0AFF69E2"/>
    <w:rsid w:val="0B154457"/>
    <w:rsid w:val="0B1B6555"/>
    <w:rsid w:val="0B4C09C6"/>
    <w:rsid w:val="0B5D195B"/>
    <w:rsid w:val="0B61144B"/>
    <w:rsid w:val="0B6A5377"/>
    <w:rsid w:val="0BBE064B"/>
    <w:rsid w:val="0BED7182"/>
    <w:rsid w:val="0C0B7609"/>
    <w:rsid w:val="0C197F77"/>
    <w:rsid w:val="0C2506CA"/>
    <w:rsid w:val="0C3E353A"/>
    <w:rsid w:val="0C427AB6"/>
    <w:rsid w:val="0C566A28"/>
    <w:rsid w:val="0C654F6B"/>
    <w:rsid w:val="0C7B29E0"/>
    <w:rsid w:val="0C994C14"/>
    <w:rsid w:val="0CE02843"/>
    <w:rsid w:val="0CE92DF4"/>
    <w:rsid w:val="0CEC2F96"/>
    <w:rsid w:val="0D8A019F"/>
    <w:rsid w:val="0D934784"/>
    <w:rsid w:val="0D991270"/>
    <w:rsid w:val="0DBB500C"/>
    <w:rsid w:val="0DD90668"/>
    <w:rsid w:val="0DFC07C5"/>
    <w:rsid w:val="0E045213"/>
    <w:rsid w:val="0E0D58BA"/>
    <w:rsid w:val="0E5139F9"/>
    <w:rsid w:val="0E5D33A6"/>
    <w:rsid w:val="0E5E4367"/>
    <w:rsid w:val="0E6E5D66"/>
    <w:rsid w:val="0E747096"/>
    <w:rsid w:val="0E9A4B02"/>
    <w:rsid w:val="0E9E1920"/>
    <w:rsid w:val="0E9E29B6"/>
    <w:rsid w:val="0EBB70C4"/>
    <w:rsid w:val="0EC67223"/>
    <w:rsid w:val="0ED44466"/>
    <w:rsid w:val="0EE7435D"/>
    <w:rsid w:val="0EF40828"/>
    <w:rsid w:val="0EF46817"/>
    <w:rsid w:val="0EFA4090"/>
    <w:rsid w:val="0EFB3964"/>
    <w:rsid w:val="0EFF0B63"/>
    <w:rsid w:val="0F0038F7"/>
    <w:rsid w:val="0F15709A"/>
    <w:rsid w:val="0F195480"/>
    <w:rsid w:val="0F582B65"/>
    <w:rsid w:val="0F5A35E0"/>
    <w:rsid w:val="0F5A68DD"/>
    <w:rsid w:val="0F83329A"/>
    <w:rsid w:val="0FC47022"/>
    <w:rsid w:val="0FE663C2"/>
    <w:rsid w:val="10014FAA"/>
    <w:rsid w:val="10054FEF"/>
    <w:rsid w:val="10256E88"/>
    <w:rsid w:val="104650B3"/>
    <w:rsid w:val="10887B41"/>
    <w:rsid w:val="109F3100"/>
    <w:rsid w:val="10A5002C"/>
    <w:rsid w:val="10DE12D0"/>
    <w:rsid w:val="10E46F41"/>
    <w:rsid w:val="10E84CB0"/>
    <w:rsid w:val="10F845FF"/>
    <w:rsid w:val="110B38E2"/>
    <w:rsid w:val="110F2985"/>
    <w:rsid w:val="11230F50"/>
    <w:rsid w:val="11252648"/>
    <w:rsid w:val="113B44EC"/>
    <w:rsid w:val="11446A4D"/>
    <w:rsid w:val="115A2318"/>
    <w:rsid w:val="118B5473"/>
    <w:rsid w:val="11984EE1"/>
    <w:rsid w:val="11AE2F10"/>
    <w:rsid w:val="11B811E2"/>
    <w:rsid w:val="11B919F6"/>
    <w:rsid w:val="11C2175E"/>
    <w:rsid w:val="11DD06AB"/>
    <w:rsid w:val="11E83A70"/>
    <w:rsid w:val="11EA3D96"/>
    <w:rsid w:val="11EB58FD"/>
    <w:rsid w:val="11ED4BC1"/>
    <w:rsid w:val="11ED785C"/>
    <w:rsid w:val="11F50B3F"/>
    <w:rsid w:val="12170AB5"/>
    <w:rsid w:val="12296A3A"/>
    <w:rsid w:val="1238201E"/>
    <w:rsid w:val="12490E8B"/>
    <w:rsid w:val="126114F6"/>
    <w:rsid w:val="12632CF8"/>
    <w:rsid w:val="127F61C0"/>
    <w:rsid w:val="12842A3B"/>
    <w:rsid w:val="128B3251"/>
    <w:rsid w:val="128D433E"/>
    <w:rsid w:val="12A50573"/>
    <w:rsid w:val="12CB3CA1"/>
    <w:rsid w:val="12E84200"/>
    <w:rsid w:val="12EC7BC3"/>
    <w:rsid w:val="130A5375"/>
    <w:rsid w:val="13337B71"/>
    <w:rsid w:val="134E7306"/>
    <w:rsid w:val="135E2714"/>
    <w:rsid w:val="13755298"/>
    <w:rsid w:val="138C102F"/>
    <w:rsid w:val="13CB0E1B"/>
    <w:rsid w:val="13DA2F6E"/>
    <w:rsid w:val="13DE3762"/>
    <w:rsid w:val="13E7095B"/>
    <w:rsid w:val="13E7683E"/>
    <w:rsid w:val="14067992"/>
    <w:rsid w:val="14382F65"/>
    <w:rsid w:val="145747D4"/>
    <w:rsid w:val="14617754"/>
    <w:rsid w:val="14843CBC"/>
    <w:rsid w:val="14867895"/>
    <w:rsid w:val="148D3ADA"/>
    <w:rsid w:val="14AB7E78"/>
    <w:rsid w:val="14C22838"/>
    <w:rsid w:val="14C818D2"/>
    <w:rsid w:val="14C949E5"/>
    <w:rsid w:val="14ED2E94"/>
    <w:rsid w:val="15115235"/>
    <w:rsid w:val="15127C5A"/>
    <w:rsid w:val="15185B8C"/>
    <w:rsid w:val="15606CF3"/>
    <w:rsid w:val="1563059D"/>
    <w:rsid w:val="157B34A2"/>
    <w:rsid w:val="157B75AD"/>
    <w:rsid w:val="15813341"/>
    <w:rsid w:val="158869DB"/>
    <w:rsid w:val="159B19FD"/>
    <w:rsid w:val="159B1B63"/>
    <w:rsid w:val="15B11221"/>
    <w:rsid w:val="15B42ABF"/>
    <w:rsid w:val="15B9066C"/>
    <w:rsid w:val="15CA5E3E"/>
    <w:rsid w:val="15E770DE"/>
    <w:rsid w:val="15F2036A"/>
    <w:rsid w:val="15F85DBC"/>
    <w:rsid w:val="16106637"/>
    <w:rsid w:val="16165030"/>
    <w:rsid w:val="161727D5"/>
    <w:rsid w:val="162C583E"/>
    <w:rsid w:val="165D7C2E"/>
    <w:rsid w:val="165E1815"/>
    <w:rsid w:val="166E197A"/>
    <w:rsid w:val="168D4FB5"/>
    <w:rsid w:val="1699418F"/>
    <w:rsid w:val="16C32FBA"/>
    <w:rsid w:val="16F615E1"/>
    <w:rsid w:val="170C0F93"/>
    <w:rsid w:val="1711641B"/>
    <w:rsid w:val="171750B3"/>
    <w:rsid w:val="17190E2C"/>
    <w:rsid w:val="171F4A71"/>
    <w:rsid w:val="172577D0"/>
    <w:rsid w:val="172B6DB1"/>
    <w:rsid w:val="173329EC"/>
    <w:rsid w:val="173E7859"/>
    <w:rsid w:val="17400AAE"/>
    <w:rsid w:val="175400B6"/>
    <w:rsid w:val="178A120B"/>
    <w:rsid w:val="17A06CB9"/>
    <w:rsid w:val="17A71C37"/>
    <w:rsid w:val="17C84600"/>
    <w:rsid w:val="17D77670"/>
    <w:rsid w:val="17DB4333"/>
    <w:rsid w:val="17F00002"/>
    <w:rsid w:val="17FD2A7E"/>
    <w:rsid w:val="18041ADC"/>
    <w:rsid w:val="18090EA0"/>
    <w:rsid w:val="184364E7"/>
    <w:rsid w:val="184A6C90"/>
    <w:rsid w:val="184E4D3B"/>
    <w:rsid w:val="18513952"/>
    <w:rsid w:val="187817E9"/>
    <w:rsid w:val="187D53EA"/>
    <w:rsid w:val="18A44730"/>
    <w:rsid w:val="18B95189"/>
    <w:rsid w:val="18D25736"/>
    <w:rsid w:val="18DD40DB"/>
    <w:rsid w:val="18DD4AAD"/>
    <w:rsid w:val="18FC459F"/>
    <w:rsid w:val="190C374D"/>
    <w:rsid w:val="19157D18"/>
    <w:rsid w:val="1921046B"/>
    <w:rsid w:val="193A32DB"/>
    <w:rsid w:val="194E081D"/>
    <w:rsid w:val="194F4FD8"/>
    <w:rsid w:val="19524AC9"/>
    <w:rsid w:val="1964502E"/>
    <w:rsid w:val="198C63AA"/>
    <w:rsid w:val="19914F2C"/>
    <w:rsid w:val="199155F1"/>
    <w:rsid w:val="19AF0D41"/>
    <w:rsid w:val="19E87935"/>
    <w:rsid w:val="19EF2318"/>
    <w:rsid w:val="19F16090"/>
    <w:rsid w:val="1A1C3150"/>
    <w:rsid w:val="1A1D256E"/>
    <w:rsid w:val="1A204BC7"/>
    <w:rsid w:val="1A2D0B2C"/>
    <w:rsid w:val="1A2E0D57"/>
    <w:rsid w:val="1A332FCB"/>
    <w:rsid w:val="1A8B06F1"/>
    <w:rsid w:val="1A9A6727"/>
    <w:rsid w:val="1AD0039B"/>
    <w:rsid w:val="1AFE4451"/>
    <w:rsid w:val="1B2B3823"/>
    <w:rsid w:val="1B4D3E10"/>
    <w:rsid w:val="1B5543FC"/>
    <w:rsid w:val="1B59213E"/>
    <w:rsid w:val="1B610D9D"/>
    <w:rsid w:val="1B986486"/>
    <w:rsid w:val="1BC07081"/>
    <w:rsid w:val="1BC670A8"/>
    <w:rsid w:val="1BD23C9F"/>
    <w:rsid w:val="1BDD31B2"/>
    <w:rsid w:val="1BE063BC"/>
    <w:rsid w:val="1BEA4479"/>
    <w:rsid w:val="1BF37E29"/>
    <w:rsid w:val="1BFB7D2E"/>
    <w:rsid w:val="1C136791"/>
    <w:rsid w:val="1C16284B"/>
    <w:rsid w:val="1C22798D"/>
    <w:rsid w:val="1C4360BA"/>
    <w:rsid w:val="1C567BE5"/>
    <w:rsid w:val="1C915908"/>
    <w:rsid w:val="1C986C96"/>
    <w:rsid w:val="1C9D605B"/>
    <w:rsid w:val="1CAA0778"/>
    <w:rsid w:val="1CBD494F"/>
    <w:rsid w:val="1CE22C5D"/>
    <w:rsid w:val="1CEE68B6"/>
    <w:rsid w:val="1CF47C7A"/>
    <w:rsid w:val="1D0936F0"/>
    <w:rsid w:val="1D0C2C33"/>
    <w:rsid w:val="1D0C44B0"/>
    <w:rsid w:val="1D1D719C"/>
    <w:rsid w:val="1D30030A"/>
    <w:rsid w:val="1D333745"/>
    <w:rsid w:val="1D563A59"/>
    <w:rsid w:val="1D90463C"/>
    <w:rsid w:val="1D996FDC"/>
    <w:rsid w:val="1DE33F41"/>
    <w:rsid w:val="1E07642F"/>
    <w:rsid w:val="1E276524"/>
    <w:rsid w:val="1E350419"/>
    <w:rsid w:val="1E3D5D47"/>
    <w:rsid w:val="1E41383E"/>
    <w:rsid w:val="1E541093"/>
    <w:rsid w:val="1E543091"/>
    <w:rsid w:val="1E58749C"/>
    <w:rsid w:val="1E777B20"/>
    <w:rsid w:val="1E7D4396"/>
    <w:rsid w:val="1EB16929"/>
    <w:rsid w:val="1EBC2F21"/>
    <w:rsid w:val="1ED62D72"/>
    <w:rsid w:val="1EE40404"/>
    <w:rsid w:val="1EED06C1"/>
    <w:rsid w:val="1F0979D8"/>
    <w:rsid w:val="1F334A54"/>
    <w:rsid w:val="1F422067"/>
    <w:rsid w:val="1F5321E4"/>
    <w:rsid w:val="1F615959"/>
    <w:rsid w:val="1F7A3087"/>
    <w:rsid w:val="1F7F17CC"/>
    <w:rsid w:val="1FAF2243"/>
    <w:rsid w:val="1FB042F7"/>
    <w:rsid w:val="1FB429D8"/>
    <w:rsid w:val="1FC52FAD"/>
    <w:rsid w:val="1FC61D6D"/>
    <w:rsid w:val="1FCF0C21"/>
    <w:rsid w:val="1FD2426D"/>
    <w:rsid w:val="20030948"/>
    <w:rsid w:val="20075ED5"/>
    <w:rsid w:val="201C5D39"/>
    <w:rsid w:val="201D44FC"/>
    <w:rsid w:val="202F7912"/>
    <w:rsid w:val="203171E6"/>
    <w:rsid w:val="20354F75"/>
    <w:rsid w:val="203D143D"/>
    <w:rsid w:val="20A26336"/>
    <w:rsid w:val="20B147CB"/>
    <w:rsid w:val="20BD4F1E"/>
    <w:rsid w:val="20C1083E"/>
    <w:rsid w:val="20E30EE6"/>
    <w:rsid w:val="20E56222"/>
    <w:rsid w:val="20FD356C"/>
    <w:rsid w:val="211367A1"/>
    <w:rsid w:val="21224D81"/>
    <w:rsid w:val="212E7BC9"/>
    <w:rsid w:val="213E03C0"/>
    <w:rsid w:val="214850CE"/>
    <w:rsid w:val="21696064"/>
    <w:rsid w:val="217772A9"/>
    <w:rsid w:val="21A610CC"/>
    <w:rsid w:val="21AD4F92"/>
    <w:rsid w:val="21BA0B52"/>
    <w:rsid w:val="21CB366A"/>
    <w:rsid w:val="21D341D8"/>
    <w:rsid w:val="21D62A8B"/>
    <w:rsid w:val="220D345C"/>
    <w:rsid w:val="220F17A9"/>
    <w:rsid w:val="2217240B"/>
    <w:rsid w:val="223B0D82"/>
    <w:rsid w:val="223C6B10"/>
    <w:rsid w:val="22520A20"/>
    <w:rsid w:val="226159BD"/>
    <w:rsid w:val="22721D38"/>
    <w:rsid w:val="22821F7B"/>
    <w:rsid w:val="22A243CB"/>
    <w:rsid w:val="22AC5986"/>
    <w:rsid w:val="22C07DB6"/>
    <w:rsid w:val="22C65FD9"/>
    <w:rsid w:val="22D7082A"/>
    <w:rsid w:val="22DA0CC6"/>
    <w:rsid w:val="22E04EF3"/>
    <w:rsid w:val="22FF6FB7"/>
    <w:rsid w:val="231132FF"/>
    <w:rsid w:val="231216AB"/>
    <w:rsid w:val="23467CA0"/>
    <w:rsid w:val="235B27CC"/>
    <w:rsid w:val="236E24FF"/>
    <w:rsid w:val="239161EE"/>
    <w:rsid w:val="23BA1BD2"/>
    <w:rsid w:val="241A47BB"/>
    <w:rsid w:val="241D63DD"/>
    <w:rsid w:val="243005EF"/>
    <w:rsid w:val="24474830"/>
    <w:rsid w:val="244D480A"/>
    <w:rsid w:val="245623CD"/>
    <w:rsid w:val="2464432F"/>
    <w:rsid w:val="2472691F"/>
    <w:rsid w:val="24765B0F"/>
    <w:rsid w:val="248D7C7E"/>
    <w:rsid w:val="24AE3584"/>
    <w:rsid w:val="24CE4E7D"/>
    <w:rsid w:val="24EE7D9B"/>
    <w:rsid w:val="25106368"/>
    <w:rsid w:val="253D487F"/>
    <w:rsid w:val="25515484"/>
    <w:rsid w:val="255B6AB3"/>
    <w:rsid w:val="256B63D1"/>
    <w:rsid w:val="25893620"/>
    <w:rsid w:val="259D3570"/>
    <w:rsid w:val="25D23219"/>
    <w:rsid w:val="25D32AED"/>
    <w:rsid w:val="25D4280F"/>
    <w:rsid w:val="25D735A0"/>
    <w:rsid w:val="25DA0320"/>
    <w:rsid w:val="25DB061E"/>
    <w:rsid w:val="26202C71"/>
    <w:rsid w:val="26247A03"/>
    <w:rsid w:val="266471ED"/>
    <w:rsid w:val="266D2D6F"/>
    <w:rsid w:val="26854F97"/>
    <w:rsid w:val="268A3AF4"/>
    <w:rsid w:val="268D5392"/>
    <w:rsid w:val="26C31B41"/>
    <w:rsid w:val="26C708A4"/>
    <w:rsid w:val="26C80178"/>
    <w:rsid w:val="26F62F37"/>
    <w:rsid w:val="27194E78"/>
    <w:rsid w:val="277D533A"/>
    <w:rsid w:val="2787423E"/>
    <w:rsid w:val="279A1B15"/>
    <w:rsid w:val="279D1886"/>
    <w:rsid w:val="27BC6A31"/>
    <w:rsid w:val="27DE3507"/>
    <w:rsid w:val="27FC632B"/>
    <w:rsid w:val="28060DDF"/>
    <w:rsid w:val="280F4DCA"/>
    <w:rsid w:val="28286F65"/>
    <w:rsid w:val="282E072B"/>
    <w:rsid w:val="28456ABE"/>
    <w:rsid w:val="28764E07"/>
    <w:rsid w:val="28771E56"/>
    <w:rsid w:val="2882411F"/>
    <w:rsid w:val="28893937"/>
    <w:rsid w:val="28B64D5F"/>
    <w:rsid w:val="28CA01D8"/>
    <w:rsid w:val="28EE33BA"/>
    <w:rsid w:val="28F416F8"/>
    <w:rsid w:val="29041055"/>
    <w:rsid w:val="290C0055"/>
    <w:rsid w:val="291E67ED"/>
    <w:rsid w:val="292D69B8"/>
    <w:rsid w:val="2939535D"/>
    <w:rsid w:val="2945385E"/>
    <w:rsid w:val="29604D54"/>
    <w:rsid w:val="29673938"/>
    <w:rsid w:val="29883451"/>
    <w:rsid w:val="298F4F7D"/>
    <w:rsid w:val="29D137E8"/>
    <w:rsid w:val="29F319B0"/>
    <w:rsid w:val="29F47AC1"/>
    <w:rsid w:val="2A024DD6"/>
    <w:rsid w:val="2A0921C6"/>
    <w:rsid w:val="2A1A48D4"/>
    <w:rsid w:val="2A3E3853"/>
    <w:rsid w:val="2A52659D"/>
    <w:rsid w:val="2A5B05BB"/>
    <w:rsid w:val="2A6F6890"/>
    <w:rsid w:val="2ACB0237"/>
    <w:rsid w:val="2B204512"/>
    <w:rsid w:val="2B2A1A69"/>
    <w:rsid w:val="2B3F1D11"/>
    <w:rsid w:val="2B46431E"/>
    <w:rsid w:val="2B606BD1"/>
    <w:rsid w:val="2B82123D"/>
    <w:rsid w:val="2B881DA7"/>
    <w:rsid w:val="2B993C24"/>
    <w:rsid w:val="2BA50A88"/>
    <w:rsid w:val="2BA64024"/>
    <w:rsid w:val="2BBC094A"/>
    <w:rsid w:val="2BD17E07"/>
    <w:rsid w:val="2BDA30DB"/>
    <w:rsid w:val="2BDA63FB"/>
    <w:rsid w:val="2BFE3CB2"/>
    <w:rsid w:val="2C273C6D"/>
    <w:rsid w:val="2C2B39A8"/>
    <w:rsid w:val="2C2C11A9"/>
    <w:rsid w:val="2C3F0EDD"/>
    <w:rsid w:val="2C5A3DBD"/>
    <w:rsid w:val="2C5B6D26"/>
    <w:rsid w:val="2C6135A6"/>
    <w:rsid w:val="2C70553A"/>
    <w:rsid w:val="2C827F1B"/>
    <w:rsid w:val="2C954FA0"/>
    <w:rsid w:val="2CB928AC"/>
    <w:rsid w:val="2CF77E86"/>
    <w:rsid w:val="2CFD572A"/>
    <w:rsid w:val="2D2D342B"/>
    <w:rsid w:val="2D3C541C"/>
    <w:rsid w:val="2D47719B"/>
    <w:rsid w:val="2D762D19"/>
    <w:rsid w:val="2D9055FD"/>
    <w:rsid w:val="2D941213"/>
    <w:rsid w:val="2DA37249"/>
    <w:rsid w:val="2DA73B07"/>
    <w:rsid w:val="2DAA1F12"/>
    <w:rsid w:val="2DED451B"/>
    <w:rsid w:val="2DFF606C"/>
    <w:rsid w:val="2E2F6D2F"/>
    <w:rsid w:val="2E4253D1"/>
    <w:rsid w:val="2E4609FB"/>
    <w:rsid w:val="2E4A2F9B"/>
    <w:rsid w:val="2E7769F2"/>
    <w:rsid w:val="2E7C5A29"/>
    <w:rsid w:val="2E8E614B"/>
    <w:rsid w:val="2EAE5EA6"/>
    <w:rsid w:val="2EB75385"/>
    <w:rsid w:val="2ECF07FE"/>
    <w:rsid w:val="2ED00512"/>
    <w:rsid w:val="2ED438FE"/>
    <w:rsid w:val="2EEF1EE6"/>
    <w:rsid w:val="2EF04CCE"/>
    <w:rsid w:val="2EF97A69"/>
    <w:rsid w:val="2F0D0E1E"/>
    <w:rsid w:val="2F1130E2"/>
    <w:rsid w:val="2F18096A"/>
    <w:rsid w:val="2F2919D0"/>
    <w:rsid w:val="2F374244"/>
    <w:rsid w:val="2F5007E6"/>
    <w:rsid w:val="2F95635F"/>
    <w:rsid w:val="2F990904"/>
    <w:rsid w:val="2FA379D4"/>
    <w:rsid w:val="2FAD43AF"/>
    <w:rsid w:val="2FBB2F70"/>
    <w:rsid w:val="2FC651B6"/>
    <w:rsid w:val="2FC878A4"/>
    <w:rsid w:val="2FCC2A87"/>
    <w:rsid w:val="2FDC5D4D"/>
    <w:rsid w:val="2FE43AE5"/>
    <w:rsid w:val="2FFD5837"/>
    <w:rsid w:val="302C1778"/>
    <w:rsid w:val="303332EF"/>
    <w:rsid w:val="308D6616"/>
    <w:rsid w:val="30A47561"/>
    <w:rsid w:val="30C753C6"/>
    <w:rsid w:val="30D76BB6"/>
    <w:rsid w:val="30D77936"/>
    <w:rsid w:val="31046163"/>
    <w:rsid w:val="31133076"/>
    <w:rsid w:val="31267258"/>
    <w:rsid w:val="313034EA"/>
    <w:rsid w:val="31413B7F"/>
    <w:rsid w:val="31462CB6"/>
    <w:rsid w:val="31615451"/>
    <w:rsid w:val="31640D97"/>
    <w:rsid w:val="316D3DF6"/>
    <w:rsid w:val="318E2ED3"/>
    <w:rsid w:val="319475D5"/>
    <w:rsid w:val="319677F1"/>
    <w:rsid w:val="31AB01F8"/>
    <w:rsid w:val="31B2700D"/>
    <w:rsid w:val="31B373CF"/>
    <w:rsid w:val="31DD0B8E"/>
    <w:rsid w:val="31F85146"/>
    <w:rsid w:val="320D4F82"/>
    <w:rsid w:val="32361BEB"/>
    <w:rsid w:val="32365EF2"/>
    <w:rsid w:val="32494863"/>
    <w:rsid w:val="324F5BF1"/>
    <w:rsid w:val="32747406"/>
    <w:rsid w:val="32773F62"/>
    <w:rsid w:val="329C2BEC"/>
    <w:rsid w:val="32B12408"/>
    <w:rsid w:val="32BF68D3"/>
    <w:rsid w:val="32C62C13"/>
    <w:rsid w:val="32FB0998"/>
    <w:rsid w:val="33235DEF"/>
    <w:rsid w:val="332C03C6"/>
    <w:rsid w:val="33462B51"/>
    <w:rsid w:val="334B5B1C"/>
    <w:rsid w:val="33786BE9"/>
    <w:rsid w:val="337A0EEE"/>
    <w:rsid w:val="338552F2"/>
    <w:rsid w:val="33961049"/>
    <w:rsid w:val="33A11F2B"/>
    <w:rsid w:val="33AA7BD5"/>
    <w:rsid w:val="33B402AA"/>
    <w:rsid w:val="33D62126"/>
    <w:rsid w:val="33E83C08"/>
    <w:rsid w:val="33F15215"/>
    <w:rsid w:val="340E2829"/>
    <w:rsid w:val="34117602"/>
    <w:rsid w:val="34146B4C"/>
    <w:rsid w:val="346210AF"/>
    <w:rsid w:val="347A0206"/>
    <w:rsid w:val="34C927BF"/>
    <w:rsid w:val="34DA3E98"/>
    <w:rsid w:val="34DB376C"/>
    <w:rsid w:val="34E652B5"/>
    <w:rsid w:val="34EA4438"/>
    <w:rsid w:val="34FD36E3"/>
    <w:rsid w:val="35011C52"/>
    <w:rsid w:val="350C46F9"/>
    <w:rsid w:val="3538471B"/>
    <w:rsid w:val="353A4937"/>
    <w:rsid w:val="35891DD3"/>
    <w:rsid w:val="358B0CEF"/>
    <w:rsid w:val="358B19F4"/>
    <w:rsid w:val="35D2691D"/>
    <w:rsid w:val="36057CF5"/>
    <w:rsid w:val="3659703F"/>
    <w:rsid w:val="365B4E52"/>
    <w:rsid w:val="366C716A"/>
    <w:rsid w:val="366F384A"/>
    <w:rsid w:val="369411B6"/>
    <w:rsid w:val="369905D2"/>
    <w:rsid w:val="36A302BA"/>
    <w:rsid w:val="36A44F75"/>
    <w:rsid w:val="36A91D74"/>
    <w:rsid w:val="36AF3103"/>
    <w:rsid w:val="36BB5FF9"/>
    <w:rsid w:val="37094303"/>
    <w:rsid w:val="37150738"/>
    <w:rsid w:val="371F710E"/>
    <w:rsid w:val="372A370D"/>
    <w:rsid w:val="374F0223"/>
    <w:rsid w:val="375611A6"/>
    <w:rsid w:val="377759CE"/>
    <w:rsid w:val="37A111BE"/>
    <w:rsid w:val="37B87D95"/>
    <w:rsid w:val="37EB5D09"/>
    <w:rsid w:val="38012341"/>
    <w:rsid w:val="381263AF"/>
    <w:rsid w:val="38132964"/>
    <w:rsid w:val="38357BA5"/>
    <w:rsid w:val="385E6B8E"/>
    <w:rsid w:val="38606463"/>
    <w:rsid w:val="386121DB"/>
    <w:rsid w:val="386230FE"/>
    <w:rsid w:val="38666E23"/>
    <w:rsid w:val="387542FC"/>
    <w:rsid w:val="38D66725"/>
    <w:rsid w:val="38DE55D9"/>
    <w:rsid w:val="38EC3423"/>
    <w:rsid w:val="38FB1246"/>
    <w:rsid w:val="38FE0079"/>
    <w:rsid w:val="3907605B"/>
    <w:rsid w:val="39096AFA"/>
    <w:rsid w:val="390E6E28"/>
    <w:rsid w:val="39313159"/>
    <w:rsid w:val="3934169D"/>
    <w:rsid w:val="395A1104"/>
    <w:rsid w:val="395A32FB"/>
    <w:rsid w:val="39693679"/>
    <w:rsid w:val="39697599"/>
    <w:rsid w:val="397D5E61"/>
    <w:rsid w:val="398D772B"/>
    <w:rsid w:val="39910610"/>
    <w:rsid w:val="39A13B77"/>
    <w:rsid w:val="39A44A75"/>
    <w:rsid w:val="39B743F8"/>
    <w:rsid w:val="39E60BE9"/>
    <w:rsid w:val="39EB5AF5"/>
    <w:rsid w:val="39F53952"/>
    <w:rsid w:val="3A00289B"/>
    <w:rsid w:val="3A015D7D"/>
    <w:rsid w:val="3A257E9D"/>
    <w:rsid w:val="3A425330"/>
    <w:rsid w:val="3A6903B1"/>
    <w:rsid w:val="3A6F0BDF"/>
    <w:rsid w:val="3A784B9E"/>
    <w:rsid w:val="3A8D72B7"/>
    <w:rsid w:val="3AA567FC"/>
    <w:rsid w:val="3AB26D1E"/>
    <w:rsid w:val="3ACB512B"/>
    <w:rsid w:val="3AE752CB"/>
    <w:rsid w:val="3B1738EF"/>
    <w:rsid w:val="3B7D557D"/>
    <w:rsid w:val="3B9C18B7"/>
    <w:rsid w:val="3BB56AC5"/>
    <w:rsid w:val="3BCB0289"/>
    <w:rsid w:val="3BD3519D"/>
    <w:rsid w:val="3BDC04F6"/>
    <w:rsid w:val="3BE610FE"/>
    <w:rsid w:val="3BF03FA1"/>
    <w:rsid w:val="3C055B87"/>
    <w:rsid w:val="3C0C0C14"/>
    <w:rsid w:val="3C180A48"/>
    <w:rsid w:val="3C1D1103"/>
    <w:rsid w:val="3C2B4FD9"/>
    <w:rsid w:val="3C52023A"/>
    <w:rsid w:val="3C574020"/>
    <w:rsid w:val="3C6F136A"/>
    <w:rsid w:val="3C761FCB"/>
    <w:rsid w:val="3C7B1DEF"/>
    <w:rsid w:val="3C964B49"/>
    <w:rsid w:val="3C9708C1"/>
    <w:rsid w:val="3CB015E0"/>
    <w:rsid w:val="3CB93F59"/>
    <w:rsid w:val="3CBA3F22"/>
    <w:rsid w:val="3CBD1A62"/>
    <w:rsid w:val="3CC43FCC"/>
    <w:rsid w:val="3CCD435D"/>
    <w:rsid w:val="3CD45671"/>
    <w:rsid w:val="3CDC62D4"/>
    <w:rsid w:val="3CDD14C8"/>
    <w:rsid w:val="3CE21B3C"/>
    <w:rsid w:val="3CE9331F"/>
    <w:rsid w:val="3CF61143"/>
    <w:rsid w:val="3D1D0ABF"/>
    <w:rsid w:val="3D2263DC"/>
    <w:rsid w:val="3D311355"/>
    <w:rsid w:val="3D567E34"/>
    <w:rsid w:val="3D5A63BA"/>
    <w:rsid w:val="3D5F6DC0"/>
    <w:rsid w:val="3D674A85"/>
    <w:rsid w:val="3DA212CB"/>
    <w:rsid w:val="3DB35286"/>
    <w:rsid w:val="3DB42F7D"/>
    <w:rsid w:val="3DB57251"/>
    <w:rsid w:val="3DF55F0E"/>
    <w:rsid w:val="3E2148E6"/>
    <w:rsid w:val="3E3301DC"/>
    <w:rsid w:val="3E406DB3"/>
    <w:rsid w:val="3E4D1237"/>
    <w:rsid w:val="3E5C0687"/>
    <w:rsid w:val="3E646BDF"/>
    <w:rsid w:val="3E6A2A38"/>
    <w:rsid w:val="3E813130"/>
    <w:rsid w:val="3EC16219"/>
    <w:rsid w:val="3F0062A9"/>
    <w:rsid w:val="3F354D52"/>
    <w:rsid w:val="3F506DD4"/>
    <w:rsid w:val="3F6031EC"/>
    <w:rsid w:val="3F827606"/>
    <w:rsid w:val="3F9D36D7"/>
    <w:rsid w:val="3FC61201"/>
    <w:rsid w:val="3FFA44EC"/>
    <w:rsid w:val="4013594C"/>
    <w:rsid w:val="404C6794"/>
    <w:rsid w:val="40672D0C"/>
    <w:rsid w:val="40865776"/>
    <w:rsid w:val="40902447"/>
    <w:rsid w:val="409A1C6E"/>
    <w:rsid w:val="40A06BD4"/>
    <w:rsid w:val="40A62E81"/>
    <w:rsid w:val="40BD4C4C"/>
    <w:rsid w:val="40DC0573"/>
    <w:rsid w:val="40EB2F55"/>
    <w:rsid w:val="412344D1"/>
    <w:rsid w:val="41390F4D"/>
    <w:rsid w:val="413B20C9"/>
    <w:rsid w:val="413B7A6D"/>
    <w:rsid w:val="41673933"/>
    <w:rsid w:val="416C231C"/>
    <w:rsid w:val="417C24EF"/>
    <w:rsid w:val="41DD6DDD"/>
    <w:rsid w:val="41FF4DFA"/>
    <w:rsid w:val="42010CB6"/>
    <w:rsid w:val="42033EDB"/>
    <w:rsid w:val="42193A8C"/>
    <w:rsid w:val="421F03C5"/>
    <w:rsid w:val="42613503"/>
    <w:rsid w:val="427C4C01"/>
    <w:rsid w:val="42890A59"/>
    <w:rsid w:val="42A11B51"/>
    <w:rsid w:val="42C41CE4"/>
    <w:rsid w:val="42CA0555"/>
    <w:rsid w:val="42D02437"/>
    <w:rsid w:val="42D47E7D"/>
    <w:rsid w:val="42F06635"/>
    <w:rsid w:val="43184A46"/>
    <w:rsid w:val="431A7B56"/>
    <w:rsid w:val="432D1EE7"/>
    <w:rsid w:val="4368266F"/>
    <w:rsid w:val="436F1C50"/>
    <w:rsid w:val="43713C1A"/>
    <w:rsid w:val="437B23A2"/>
    <w:rsid w:val="43824618"/>
    <w:rsid w:val="438748E7"/>
    <w:rsid w:val="4397033A"/>
    <w:rsid w:val="439C056B"/>
    <w:rsid w:val="43C26223"/>
    <w:rsid w:val="43C63838"/>
    <w:rsid w:val="43C875B2"/>
    <w:rsid w:val="43CC05E0"/>
    <w:rsid w:val="43D67F21"/>
    <w:rsid w:val="43EF4B3E"/>
    <w:rsid w:val="44077066"/>
    <w:rsid w:val="44501221"/>
    <w:rsid w:val="447C0AC8"/>
    <w:rsid w:val="44927617"/>
    <w:rsid w:val="449C3299"/>
    <w:rsid w:val="44BC1359"/>
    <w:rsid w:val="44BD403D"/>
    <w:rsid w:val="44C71267"/>
    <w:rsid w:val="44F460BD"/>
    <w:rsid w:val="450769C3"/>
    <w:rsid w:val="451A3E3D"/>
    <w:rsid w:val="452E7123"/>
    <w:rsid w:val="45392515"/>
    <w:rsid w:val="457B6DEE"/>
    <w:rsid w:val="458C5BF1"/>
    <w:rsid w:val="458F482B"/>
    <w:rsid w:val="45B1582B"/>
    <w:rsid w:val="45C41112"/>
    <w:rsid w:val="46000638"/>
    <w:rsid w:val="4615686A"/>
    <w:rsid w:val="46363432"/>
    <w:rsid w:val="46473ECC"/>
    <w:rsid w:val="46696E2A"/>
    <w:rsid w:val="4685487C"/>
    <w:rsid w:val="468E4AE3"/>
    <w:rsid w:val="46A20ABF"/>
    <w:rsid w:val="46C202E8"/>
    <w:rsid w:val="46D544C0"/>
    <w:rsid w:val="46DA3884"/>
    <w:rsid w:val="470E1780"/>
    <w:rsid w:val="470E3EA2"/>
    <w:rsid w:val="472745EF"/>
    <w:rsid w:val="47340824"/>
    <w:rsid w:val="474F7B2F"/>
    <w:rsid w:val="4751654D"/>
    <w:rsid w:val="47613FA5"/>
    <w:rsid w:val="476870E2"/>
    <w:rsid w:val="476F4F18"/>
    <w:rsid w:val="477535AD"/>
    <w:rsid w:val="477E06B3"/>
    <w:rsid w:val="478A7058"/>
    <w:rsid w:val="478E2BD5"/>
    <w:rsid w:val="47A479CC"/>
    <w:rsid w:val="47A67C0A"/>
    <w:rsid w:val="47B16CDB"/>
    <w:rsid w:val="47B265AF"/>
    <w:rsid w:val="47B75973"/>
    <w:rsid w:val="47CA1B4A"/>
    <w:rsid w:val="47CC55F3"/>
    <w:rsid w:val="47FB1C56"/>
    <w:rsid w:val="480F17F3"/>
    <w:rsid w:val="48144FBA"/>
    <w:rsid w:val="481A44CD"/>
    <w:rsid w:val="482A7F8D"/>
    <w:rsid w:val="485D609C"/>
    <w:rsid w:val="48613353"/>
    <w:rsid w:val="48671E1B"/>
    <w:rsid w:val="48A71135"/>
    <w:rsid w:val="48B25ADB"/>
    <w:rsid w:val="4925499E"/>
    <w:rsid w:val="494A3F41"/>
    <w:rsid w:val="49554AD5"/>
    <w:rsid w:val="4972249A"/>
    <w:rsid w:val="49C34F86"/>
    <w:rsid w:val="49C425C9"/>
    <w:rsid w:val="49E54A1A"/>
    <w:rsid w:val="4A0330F2"/>
    <w:rsid w:val="4A12297F"/>
    <w:rsid w:val="4A275032"/>
    <w:rsid w:val="4A2D6585"/>
    <w:rsid w:val="4A390992"/>
    <w:rsid w:val="4A404346"/>
    <w:rsid w:val="4A5E31D9"/>
    <w:rsid w:val="4A5F1168"/>
    <w:rsid w:val="4A626156"/>
    <w:rsid w:val="4A6A13C3"/>
    <w:rsid w:val="4A7A7858"/>
    <w:rsid w:val="4A9E2E1A"/>
    <w:rsid w:val="4AB80380"/>
    <w:rsid w:val="4ACB711A"/>
    <w:rsid w:val="4AD12E5A"/>
    <w:rsid w:val="4AD16AFB"/>
    <w:rsid w:val="4AE64EED"/>
    <w:rsid w:val="4B3F63AB"/>
    <w:rsid w:val="4B4439C2"/>
    <w:rsid w:val="4B471143"/>
    <w:rsid w:val="4B4F5F07"/>
    <w:rsid w:val="4B616322"/>
    <w:rsid w:val="4B726781"/>
    <w:rsid w:val="4B7A7238"/>
    <w:rsid w:val="4B9C55AC"/>
    <w:rsid w:val="4B9D0613"/>
    <w:rsid w:val="4C001FDF"/>
    <w:rsid w:val="4C1B0BC7"/>
    <w:rsid w:val="4C1B77B7"/>
    <w:rsid w:val="4C4579F1"/>
    <w:rsid w:val="4C8147A2"/>
    <w:rsid w:val="4C820C46"/>
    <w:rsid w:val="4CA00932"/>
    <w:rsid w:val="4CA07433"/>
    <w:rsid w:val="4CD9638C"/>
    <w:rsid w:val="4CDC4BC5"/>
    <w:rsid w:val="4CFD207A"/>
    <w:rsid w:val="4D0F7112"/>
    <w:rsid w:val="4D200566"/>
    <w:rsid w:val="4D317F76"/>
    <w:rsid w:val="4D465169"/>
    <w:rsid w:val="4D6245D3"/>
    <w:rsid w:val="4D8F7023"/>
    <w:rsid w:val="4D9562FA"/>
    <w:rsid w:val="4DD54DA5"/>
    <w:rsid w:val="4DDA685F"/>
    <w:rsid w:val="4DE4323A"/>
    <w:rsid w:val="4E24720D"/>
    <w:rsid w:val="4E265601"/>
    <w:rsid w:val="4E2B2C17"/>
    <w:rsid w:val="4E2C4A9E"/>
    <w:rsid w:val="4E4837C9"/>
    <w:rsid w:val="4E4B5067"/>
    <w:rsid w:val="4E597784"/>
    <w:rsid w:val="4E740A62"/>
    <w:rsid w:val="4E8C5DAC"/>
    <w:rsid w:val="4EB726FD"/>
    <w:rsid w:val="4EDA7FC8"/>
    <w:rsid w:val="4F007262"/>
    <w:rsid w:val="4F135B85"/>
    <w:rsid w:val="4F302BDB"/>
    <w:rsid w:val="4F3E697A"/>
    <w:rsid w:val="4F4E6AC3"/>
    <w:rsid w:val="4F5B752C"/>
    <w:rsid w:val="4FB16917"/>
    <w:rsid w:val="4FC81BF6"/>
    <w:rsid w:val="4FC82703"/>
    <w:rsid w:val="4FE542AE"/>
    <w:rsid w:val="4FFA4F97"/>
    <w:rsid w:val="500F0A42"/>
    <w:rsid w:val="500F7206"/>
    <w:rsid w:val="501C0230"/>
    <w:rsid w:val="504601DC"/>
    <w:rsid w:val="505521CD"/>
    <w:rsid w:val="5059329A"/>
    <w:rsid w:val="508617D1"/>
    <w:rsid w:val="50A82971"/>
    <w:rsid w:val="50D564DF"/>
    <w:rsid w:val="50DF3A5C"/>
    <w:rsid w:val="5100038B"/>
    <w:rsid w:val="5105260E"/>
    <w:rsid w:val="512247A5"/>
    <w:rsid w:val="512E4621"/>
    <w:rsid w:val="513B5867"/>
    <w:rsid w:val="514F70CF"/>
    <w:rsid w:val="51583D23"/>
    <w:rsid w:val="515C37CB"/>
    <w:rsid w:val="519D2662"/>
    <w:rsid w:val="51C413B8"/>
    <w:rsid w:val="51D57A6A"/>
    <w:rsid w:val="51DF61F2"/>
    <w:rsid w:val="521A1920"/>
    <w:rsid w:val="521F0CE5"/>
    <w:rsid w:val="523379C0"/>
    <w:rsid w:val="52352944"/>
    <w:rsid w:val="52554706"/>
    <w:rsid w:val="52825B1B"/>
    <w:rsid w:val="52E03B44"/>
    <w:rsid w:val="52F61DEB"/>
    <w:rsid w:val="53237FEF"/>
    <w:rsid w:val="53316172"/>
    <w:rsid w:val="533A2C4C"/>
    <w:rsid w:val="534C78B7"/>
    <w:rsid w:val="535E7B3D"/>
    <w:rsid w:val="536B275A"/>
    <w:rsid w:val="537A08C9"/>
    <w:rsid w:val="53800C39"/>
    <w:rsid w:val="53AF1317"/>
    <w:rsid w:val="53B462B4"/>
    <w:rsid w:val="53BB4A3D"/>
    <w:rsid w:val="53D167AB"/>
    <w:rsid w:val="53E4044E"/>
    <w:rsid w:val="540D035F"/>
    <w:rsid w:val="541D1254"/>
    <w:rsid w:val="542E16B3"/>
    <w:rsid w:val="543D5452"/>
    <w:rsid w:val="5462232D"/>
    <w:rsid w:val="547370C6"/>
    <w:rsid w:val="547918B3"/>
    <w:rsid w:val="547C241E"/>
    <w:rsid w:val="54843081"/>
    <w:rsid w:val="54994D7E"/>
    <w:rsid w:val="54B41BB8"/>
    <w:rsid w:val="54BC6CBF"/>
    <w:rsid w:val="54C06D50"/>
    <w:rsid w:val="54C42991"/>
    <w:rsid w:val="54CD1014"/>
    <w:rsid w:val="54E83610"/>
    <w:rsid w:val="54EA382C"/>
    <w:rsid w:val="55011664"/>
    <w:rsid w:val="550B53AB"/>
    <w:rsid w:val="5528246B"/>
    <w:rsid w:val="552D22DF"/>
    <w:rsid w:val="5539030F"/>
    <w:rsid w:val="55486D1A"/>
    <w:rsid w:val="556D594A"/>
    <w:rsid w:val="556E620B"/>
    <w:rsid w:val="55B62C1D"/>
    <w:rsid w:val="55D2127B"/>
    <w:rsid w:val="55D50038"/>
    <w:rsid w:val="561E505B"/>
    <w:rsid w:val="565E69DE"/>
    <w:rsid w:val="566040EB"/>
    <w:rsid w:val="566C6130"/>
    <w:rsid w:val="566D6480"/>
    <w:rsid w:val="567710EF"/>
    <w:rsid w:val="56B82EAF"/>
    <w:rsid w:val="56E12A0D"/>
    <w:rsid w:val="56ED13B1"/>
    <w:rsid w:val="56FD2433"/>
    <w:rsid w:val="57042F78"/>
    <w:rsid w:val="570C5CDB"/>
    <w:rsid w:val="574D1E50"/>
    <w:rsid w:val="57705B05"/>
    <w:rsid w:val="57826FBD"/>
    <w:rsid w:val="578E203A"/>
    <w:rsid w:val="578E204B"/>
    <w:rsid w:val="579B0E0D"/>
    <w:rsid w:val="57AC301B"/>
    <w:rsid w:val="57B22337"/>
    <w:rsid w:val="57BE4AFC"/>
    <w:rsid w:val="57BF5855"/>
    <w:rsid w:val="57D22764"/>
    <w:rsid w:val="580746F5"/>
    <w:rsid w:val="58467252"/>
    <w:rsid w:val="58562F86"/>
    <w:rsid w:val="58937E93"/>
    <w:rsid w:val="58967906"/>
    <w:rsid w:val="589870FB"/>
    <w:rsid w:val="58B25D9D"/>
    <w:rsid w:val="58C06A9A"/>
    <w:rsid w:val="58CD5516"/>
    <w:rsid w:val="58DE1992"/>
    <w:rsid w:val="5908019E"/>
    <w:rsid w:val="59205CB8"/>
    <w:rsid w:val="593908DE"/>
    <w:rsid w:val="593C3F2A"/>
    <w:rsid w:val="5966544B"/>
    <w:rsid w:val="59834D46"/>
    <w:rsid w:val="598A3D34"/>
    <w:rsid w:val="598B3EF7"/>
    <w:rsid w:val="59A73A9A"/>
    <w:rsid w:val="59FA62BF"/>
    <w:rsid w:val="5A062B93"/>
    <w:rsid w:val="5A0A77FE"/>
    <w:rsid w:val="5A2E4597"/>
    <w:rsid w:val="5A8F6584"/>
    <w:rsid w:val="5A971D60"/>
    <w:rsid w:val="5AE8076E"/>
    <w:rsid w:val="5B351579"/>
    <w:rsid w:val="5B3A6B8F"/>
    <w:rsid w:val="5B3C46B5"/>
    <w:rsid w:val="5B490B80"/>
    <w:rsid w:val="5B647768"/>
    <w:rsid w:val="5B6E411E"/>
    <w:rsid w:val="5B8322E4"/>
    <w:rsid w:val="5B8A5421"/>
    <w:rsid w:val="5BAA0449"/>
    <w:rsid w:val="5BC76675"/>
    <w:rsid w:val="5BFE2E58"/>
    <w:rsid w:val="5C11317E"/>
    <w:rsid w:val="5C157813"/>
    <w:rsid w:val="5C18100D"/>
    <w:rsid w:val="5C186ED1"/>
    <w:rsid w:val="5C1C5B60"/>
    <w:rsid w:val="5C1C6C2B"/>
    <w:rsid w:val="5C221AFD"/>
    <w:rsid w:val="5C2F5FC8"/>
    <w:rsid w:val="5C3B671B"/>
    <w:rsid w:val="5C4001D5"/>
    <w:rsid w:val="5C5E7A60"/>
    <w:rsid w:val="5C632317"/>
    <w:rsid w:val="5C675762"/>
    <w:rsid w:val="5C88367D"/>
    <w:rsid w:val="5CE9292E"/>
    <w:rsid w:val="5CF36FF6"/>
    <w:rsid w:val="5D3322E7"/>
    <w:rsid w:val="5D342320"/>
    <w:rsid w:val="5D3A5D32"/>
    <w:rsid w:val="5D3B13F9"/>
    <w:rsid w:val="5D6116DA"/>
    <w:rsid w:val="5D6B352E"/>
    <w:rsid w:val="5D7D48AD"/>
    <w:rsid w:val="5D835CF0"/>
    <w:rsid w:val="5D9F2CDA"/>
    <w:rsid w:val="5DAB59C4"/>
    <w:rsid w:val="5DB06C95"/>
    <w:rsid w:val="5DCA41FA"/>
    <w:rsid w:val="5DE750DA"/>
    <w:rsid w:val="5DE84681"/>
    <w:rsid w:val="5DF03535"/>
    <w:rsid w:val="5DF110BE"/>
    <w:rsid w:val="5DF823D9"/>
    <w:rsid w:val="5E0B036F"/>
    <w:rsid w:val="5E0F6BAC"/>
    <w:rsid w:val="5E1054C5"/>
    <w:rsid w:val="5E162A47"/>
    <w:rsid w:val="5E532442"/>
    <w:rsid w:val="5E69369F"/>
    <w:rsid w:val="5E693CBC"/>
    <w:rsid w:val="5E960581"/>
    <w:rsid w:val="5EA122C1"/>
    <w:rsid w:val="5ED56A95"/>
    <w:rsid w:val="5EF84843"/>
    <w:rsid w:val="5F1720EB"/>
    <w:rsid w:val="5F334021"/>
    <w:rsid w:val="5F400C31"/>
    <w:rsid w:val="5F413E3D"/>
    <w:rsid w:val="5F5875E4"/>
    <w:rsid w:val="5F5A335C"/>
    <w:rsid w:val="5F64066E"/>
    <w:rsid w:val="5F74364D"/>
    <w:rsid w:val="5F775BE9"/>
    <w:rsid w:val="5F820FCF"/>
    <w:rsid w:val="5F9E149B"/>
    <w:rsid w:val="5FB61A73"/>
    <w:rsid w:val="5FB8795D"/>
    <w:rsid w:val="5FBA4AB4"/>
    <w:rsid w:val="5FD44EBD"/>
    <w:rsid w:val="5FEA4571"/>
    <w:rsid w:val="5FF92C44"/>
    <w:rsid w:val="60107EBF"/>
    <w:rsid w:val="60461C77"/>
    <w:rsid w:val="60624BBE"/>
    <w:rsid w:val="60934D78"/>
    <w:rsid w:val="60B30F76"/>
    <w:rsid w:val="60BE0C2A"/>
    <w:rsid w:val="60BF41CD"/>
    <w:rsid w:val="60D44C9B"/>
    <w:rsid w:val="610826D2"/>
    <w:rsid w:val="6109328C"/>
    <w:rsid w:val="61283D68"/>
    <w:rsid w:val="61493688"/>
    <w:rsid w:val="61504639"/>
    <w:rsid w:val="61581B1D"/>
    <w:rsid w:val="61A84056"/>
    <w:rsid w:val="61B01959"/>
    <w:rsid w:val="61C316DA"/>
    <w:rsid w:val="61D5316E"/>
    <w:rsid w:val="61E17D65"/>
    <w:rsid w:val="61F77588"/>
    <w:rsid w:val="62025954"/>
    <w:rsid w:val="6213375F"/>
    <w:rsid w:val="62257C51"/>
    <w:rsid w:val="62373E29"/>
    <w:rsid w:val="62402CDD"/>
    <w:rsid w:val="628F657E"/>
    <w:rsid w:val="62944DD7"/>
    <w:rsid w:val="62992D43"/>
    <w:rsid w:val="62AE3137"/>
    <w:rsid w:val="62B965EC"/>
    <w:rsid w:val="62DF7DC0"/>
    <w:rsid w:val="63043D0B"/>
    <w:rsid w:val="630F3C89"/>
    <w:rsid w:val="632C670F"/>
    <w:rsid w:val="63324C79"/>
    <w:rsid w:val="633839B4"/>
    <w:rsid w:val="63494739"/>
    <w:rsid w:val="63760D7C"/>
    <w:rsid w:val="638B442C"/>
    <w:rsid w:val="63950E07"/>
    <w:rsid w:val="63BC0B63"/>
    <w:rsid w:val="63BC635B"/>
    <w:rsid w:val="63D63F11"/>
    <w:rsid w:val="64124205"/>
    <w:rsid w:val="641D74E0"/>
    <w:rsid w:val="64377FAF"/>
    <w:rsid w:val="6442632C"/>
    <w:rsid w:val="644C4B55"/>
    <w:rsid w:val="645646BE"/>
    <w:rsid w:val="646C7030"/>
    <w:rsid w:val="6487484E"/>
    <w:rsid w:val="64A62BA0"/>
    <w:rsid w:val="64A86918"/>
    <w:rsid w:val="64DB13F3"/>
    <w:rsid w:val="64ED10BC"/>
    <w:rsid w:val="64F13BAE"/>
    <w:rsid w:val="64F2054A"/>
    <w:rsid w:val="64F32289"/>
    <w:rsid w:val="64F8164D"/>
    <w:rsid w:val="64FE478A"/>
    <w:rsid w:val="65051FBC"/>
    <w:rsid w:val="65102E3B"/>
    <w:rsid w:val="65135FD8"/>
    <w:rsid w:val="65176E22"/>
    <w:rsid w:val="654523B9"/>
    <w:rsid w:val="654D798E"/>
    <w:rsid w:val="655C5391"/>
    <w:rsid w:val="65647DB9"/>
    <w:rsid w:val="656B62C3"/>
    <w:rsid w:val="65757142"/>
    <w:rsid w:val="65855FBC"/>
    <w:rsid w:val="658E5B0E"/>
    <w:rsid w:val="658F0953"/>
    <w:rsid w:val="659133F7"/>
    <w:rsid w:val="65CC0E9B"/>
    <w:rsid w:val="65FD4059"/>
    <w:rsid w:val="6615363B"/>
    <w:rsid w:val="66160DF7"/>
    <w:rsid w:val="664A237C"/>
    <w:rsid w:val="665651F7"/>
    <w:rsid w:val="665E4931"/>
    <w:rsid w:val="668C7B5F"/>
    <w:rsid w:val="66976C44"/>
    <w:rsid w:val="66AC1070"/>
    <w:rsid w:val="66B051A7"/>
    <w:rsid w:val="66B27F22"/>
    <w:rsid w:val="66C915DF"/>
    <w:rsid w:val="66CD35F5"/>
    <w:rsid w:val="66EC23AC"/>
    <w:rsid w:val="670D087B"/>
    <w:rsid w:val="67205012"/>
    <w:rsid w:val="678D65EE"/>
    <w:rsid w:val="67A468F0"/>
    <w:rsid w:val="67AC7D4B"/>
    <w:rsid w:val="67E57E78"/>
    <w:rsid w:val="68085DEA"/>
    <w:rsid w:val="68196B74"/>
    <w:rsid w:val="681B3E07"/>
    <w:rsid w:val="681E22AA"/>
    <w:rsid w:val="6850601E"/>
    <w:rsid w:val="68525518"/>
    <w:rsid w:val="68541290"/>
    <w:rsid w:val="685968A7"/>
    <w:rsid w:val="685A5C5E"/>
    <w:rsid w:val="68787F8E"/>
    <w:rsid w:val="68945B31"/>
    <w:rsid w:val="68B17806"/>
    <w:rsid w:val="68BC6E36"/>
    <w:rsid w:val="68BF14F3"/>
    <w:rsid w:val="691602F4"/>
    <w:rsid w:val="69180510"/>
    <w:rsid w:val="69250E15"/>
    <w:rsid w:val="692D50FA"/>
    <w:rsid w:val="695E50C6"/>
    <w:rsid w:val="696279DD"/>
    <w:rsid w:val="696A476E"/>
    <w:rsid w:val="697A2F79"/>
    <w:rsid w:val="69A43B52"/>
    <w:rsid w:val="69A56CB9"/>
    <w:rsid w:val="69C0583A"/>
    <w:rsid w:val="69C14BDF"/>
    <w:rsid w:val="6A197828"/>
    <w:rsid w:val="6A39073A"/>
    <w:rsid w:val="6A415844"/>
    <w:rsid w:val="6A45597E"/>
    <w:rsid w:val="6A4D1C57"/>
    <w:rsid w:val="6A4D41E9"/>
    <w:rsid w:val="6A58493C"/>
    <w:rsid w:val="6A771266"/>
    <w:rsid w:val="6A803FBD"/>
    <w:rsid w:val="6AAA163C"/>
    <w:rsid w:val="6AAD6A36"/>
    <w:rsid w:val="6ABC136F"/>
    <w:rsid w:val="6ADC0A54"/>
    <w:rsid w:val="6AED777A"/>
    <w:rsid w:val="6AF91C7B"/>
    <w:rsid w:val="6AFF5CBC"/>
    <w:rsid w:val="6B405AFC"/>
    <w:rsid w:val="6B5F7DE8"/>
    <w:rsid w:val="6B8A321B"/>
    <w:rsid w:val="6B902CAD"/>
    <w:rsid w:val="6BAB022C"/>
    <w:rsid w:val="6BB40298"/>
    <w:rsid w:val="6BBD50B2"/>
    <w:rsid w:val="6BDB3A77"/>
    <w:rsid w:val="6BE12048"/>
    <w:rsid w:val="6BFC24ED"/>
    <w:rsid w:val="6C031950"/>
    <w:rsid w:val="6C1825D5"/>
    <w:rsid w:val="6C3A4645"/>
    <w:rsid w:val="6C3F3A93"/>
    <w:rsid w:val="6C445178"/>
    <w:rsid w:val="6C564F9A"/>
    <w:rsid w:val="6C632793"/>
    <w:rsid w:val="6C6E48EB"/>
    <w:rsid w:val="6C762C76"/>
    <w:rsid w:val="6C844C00"/>
    <w:rsid w:val="6C875565"/>
    <w:rsid w:val="6CA67BE1"/>
    <w:rsid w:val="6CAF118B"/>
    <w:rsid w:val="6CB16AD5"/>
    <w:rsid w:val="6CB653F2"/>
    <w:rsid w:val="6CCD33BF"/>
    <w:rsid w:val="6CCF3746"/>
    <w:rsid w:val="6CEB1A97"/>
    <w:rsid w:val="6D6C09C8"/>
    <w:rsid w:val="6D885538"/>
    <w:rsid w:val="6DA85746"/>
    <w:rsid w:val="6DB83C32"/>
    <w:rsid w:val="6DCB0A8D"/>
    <w:rsid w:val="6E072901"/>
    <w:rsid w:val="6E124673"/>
    <w:rsid w:val="6E1B079F"/>
    <w:rsid w:val="6E36527B"/>
    <w:rsid w:val="6E3F653F"/>
    <w:rsid w:val="6E5422C4"/>
    <w:rsid w:val="6E7D7067"/>
    <w:rsid w:val="6E863A4B"/>
    <w:rsid w:val="6E95615F"/>
    <w:rsid w:val="6E9E6C81"/>
    <w:rsid w:val="6EBE3F4E"/>
    <w:rsid w:val="6EE45C9F"/>
    <w:rsid w:val="6EEE586F"/>
    <w:rsid w:val="6EEF4207"/>
    <w:rsid w:val="6EFA02FE"/>
    <w:rsid w:val="6EFA6420"/>
    <w:rsid w:val="6F215C44"/>
    <w:rsid w:val="6F392F8E"/>
    <w:rsid w:val="6F4E0CB0"/>
    <w:rsid w:val="6F6B6EC0"/>
    <w:rsid w:val="6F800BBD"/>
    <w:rsid w:val="6F8866D3"/>
    <w:rsid w:val="6FA10B33"/>
    <w:rsid w:val="6FB22C84"/>
    <w:rsid w:val="6FBE7937"/>
    <w:rsid w:val="6FFD3FBC"/>
    <w:rsid w:val="70063C83"/>
    <w:rsid w:val="7017033C"/>
    <w:rsid w:val="701E5ABC"/>
    <w:rsid w:val="70217BD0"/>
    <w:rsid w:val="70311EB7"/>
    <w:rsid w:val="706B78FF"/>
    <w:rsid w:val="70A72179"/>
    <w:rsid w:val="70C170B2"/>
    <w:rsid w:val="70F7175E"/>
    <w:rsid w:val="71015D2D"/>
    <w:rsid w:val="71065DCB"/>
    <w:rsid w:val="710E21F8"/>
    <w:rsid w:val="713C2FB3"/>
    <w:rsid w:val="71826B5C"/>
    <w:rsid w:val="718B3849"/>
    <w:rsid w:val="71A80A1B"/>
    <w:rsid w:val="71A92BE5"/>
    <w:rsid w:val="71B55AB1"/>
    <w:rsid w:val="71D76A8E"/>
    <w:rsid w:val="71D90DF1"/>
    <w:rsid w:val="72295AE2"/>
    <w:rsid w:val="72541E8D"/>
    <w:rsid w:val="727442DD"/>
    <w:rsid w:val="729C2B12"/>
    <w:rsid w:val="72A03C15"/>
    <w:rsid w:val="72BB015E"/>
    <w:rsid w:val="72CA00C1"/>
    <w:rsid w:val="72D059B7"/>
    <w:rsid w:val="72D16CD6"/>
    <w:rsid w:val="72DB435C"/>
    <w:rsid w:val="730E028E"/>
    <w:rsid w:val="730E7D97"/>
    <w:rsid w:val="730F145B"/>
    <w:rsid w:val="73175E30"/>
    <w:rsid w:val="731F693F"/>
    <w:rsid w:val="7348106F"/>
    <w:rsid w:val="734E4B2E"/>
    <w:rsid w:val="73567143"/>
    <w:rsid w:val="7360363B"/>
    <w:rsid w:val="737C78ED"/>
    <w:rsid w:val="737E3665"/>
    <w:rsid w:val="73812C97"/>
    <w:rsid w:val="73875427"/>
    <w:rsid w:val="739D16DC"/>
    <w:rsid w:val="73A11102"/>
    <w:rsid w:val="73B85B95"/>
    <w:rsid w:val="73B872E5"/>
    <w:rsid w:val="73C1457F"/>
    <w:rsid w:val="73DC038C"/>
    <w:rsid w:val="73E031B7"/>
    <w:rsid w:val="74082FD3"/>
    <w:rsid w:val="743B1556"/>
    <w:rsid w:val="74403473"/>
    <w:rsid w:val="74526697"/>
    <w:rsid w:val="748A428C"/>
    <w:rsid w:val="748C590E"/>
    <w:rsid w:val="74A04D8A"/>
    <w:rsid w:val="7538008B"/>
    <w:rsid w:val="75516E7C"/>
    <w:rsid w:val="75550A8D"/>
    <w:rsid w:val="755C79D6"/>
    <w:rsid w:val="75622B13"/>
    <w:rsid w:val="7564688B"/>
    <w:rsid w:val="759C6C5A"/>
    <w:rsid w:val="75C779C2"/>
    <w:rsid w:val="75C8506C"/>
    <w:rsid w:val="75E66A20"/>
    <w:rsid w:val="75EC1B28"/>
    <w:rsid w:val="75F0011F"/>
    <w:rsid w:val="76676633"/>
    <w:rsid w:val="76790114"/>
    <w:rsid w:val="76EE58B6"/>
    <w:rsid w:val="76F139E2"/>
    <w:rsid w:val="770462A9"/>
    <w:rsid w:val="77822900"/>
    <w:rsid w:val="779F1CDF"/>
    <w:rsid w:val="77BF249E"/>
    <w:rsid w:val="77F250B7"/>
    <w:rsid w:val="783B1B25"/>
    <w:rsid w:val="785B1B58"/>
    <w:rsid w:val="78967744"/>
    <w:rsid w:val="789842C8"/>
    <w:rsid w:val="78AF0F85"/>
    <w:rsid w:val="78B96EEE"/>
    <w:rsid w:val="78C80AE9"/>
    <w:rsid w:val="78D74C76"/>
    <w:rsid w:val="78DE2FC4"/>
    <w:rsid w:val="78E2000A"/>
    <w:rsid w:val="78EA1152"/>
    <w:rsid w:val="792A6310"/>
    <w:rsid w:val="79515378"/>
    <w:rsid w:val="79566A28"/>
    <w:rsid w:val="795D2923"/>
    <w:rsid w:val="79650B3F"/>
    <w:rsid w:val="79870D9A"/>
    <w:rsid w:val="798D054B"/>
    <w:rsid w:val="798D4602"/>
    <w:rsid w:val="798E3ED6"/>
    <w:rsid w:val="7995798E"/>
    <w:rsid w:val="79A978C7"/>
    <w:rsid w:val="79B8032F"/>
    <w:rsid w:val="79CE69C9"/>
    <w:rsid w:val="79D7587D"/>
    <w:rsid w:val="79E859FF"/>
    <w:rsid w:val="79ED50A1"/>
    <w:rsid w:val="7A015F81"/>
    <w:rsid w:val="7A41363F"/>
    <w:rsid w:val="7A486491"/>
    <w:rsid w:val="7A737E8D"/>
    <w:rsid w:val="7A761A22"/>
    <w:rsid w:val="7A9B17E8"/>
    <w:rsid w:val="7AA1599C"/>
    <w:rsid w:val="7AE72525"/>
    <w:rsid w:val="7AF5153E"/>
    <w:rsid w:val="7B027D00"/>
    <w:rsid w:val="7B0F54EB"/>
    <w:rsid w:val="7B42766E"/>
    <w:rsid w:val="7B566C76"/>
    <w:rsid w:val="7B6D4829"/>
    <w:rsid w:val="7B7942D0"/>
    <w:rsid w:val="7B84456E"/>
    <w:rsid w:val="7B9D2AF7"/>
    <w:rsid w:val="7BA0206E"/>
    <w:rsid w:val="7BC8084F"/>
    <w:rsid w:val="7BC92D04"/>
    <w:rsid w:val="7BDD45AB"/>
    <w:rsid w:val="7BE2731E"/>
    <w:rsid w:val="7C2B1EB0"/>
    <w:rsid w:val="7C2C5025"/>
    <w:rsid w:val="7C6209F2"/>
    <w:rsid w:val="7CA46A76"/>
    <w:rsid w:val="7CB830BD"/>
    <w:rsid w:val="7CBE4AD3"/>
    <w:rsid w:val="7CC60F7E"/>
    <w:rsid w:val="7CCB71F0"/>
    <w:rsid w:val="7CCD11BA"/>
    <w:rsid w:val="7CE24C65"/>
    <w:rsid w:val="7CF200F5"/>
    <w:rsid w:val="7CF60710"/>
    <w:rsid w:val="7CF90201"/>
    <w:rsid w:val="7D0C7F34"/>
    <w:rsid w:val="7D2D3A06"/>
    <w:rsid w:val="7D3A47AA"/>
    <w:rsid w:val="7D442589"/>
    <w:rsid w:val="7D4D555D"/>
    <w:rsid w:val="7D626CDB"/>
    <w:rsid w:val="7D6417AF"/>
    <w:rsid w:val="7D940911"/>
    <w:rsid w:val="7DB14DE1"/>
    <w:rsid w:val="7DB501BD"/>
    <w:rsid w:val="7DB87774"/>
    <w:rsid w:val="7DCA37A7"/>
    <w:rsid w:val="7E066731"/>
    <w:rsid w:val="7E0D60C6"/>
    <w:rsid w:val="7E1150D6"/>
    <w:rsid w:val="7E445BDB"/>
    <w:rsid w:val="7E5A4CCF"/>
    <w:rsid w:val="7E5C6689"/>
    <w:rsid w:val="7E732BB4"/>
    <w:rsid w:val="7E8C3AAC"/>
    <w:rsid w:val="7EA9180E"/>
    <w:rsid w:val="7EDB5E10"/>
    <w:rsid w:val="7EED5B43"/>
    <w:rsid w:val="7F032C71"/>
    <w:rsid w:val="7F1D01D6"/>
    <w:rsid w:val="7F21759B"/>
    <w:rsid w:val="7F565586"/>
    <w:rsid w:val="7F8164A7"/>
    <w:rsid w:val="7FC93EBA"/>
    <w:rsid w:val="7FE011AB"/>
    <w:rsid w:val="7FE231CE"/>
    <w:rsid w:val="7FF27121"/>
    <w:rsid w:val="7FF37189"/>
    <w:rsid w:val="7FFA408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iPriority="99" w:name="Body Text First Indent"/>
    <w:lsdException w:qFormat="1" w:unhideWhenUsed="0" w:uiPriority="0" w:semiHidden="0" w:name="Body Text First Indent 2"/>
    <w:lsdException w:qFormat="1" w:uiPriority="99" w:semiHidden="0" w:name="Note Heading"/>
    <w:lsdException w:uiPriority="99" w:name="Body Text 2"/>
    <w:lsdException w:uiPriority="99" w:name="Body Text 3"/>
    <w:lsdException w:qFormat="1" w:unhideWhenUsed="0" w:uiPriority="0" w:semiHidden="0" w:name="Body Text Indent 2"/>
    <w:lsdException w:qFormat="1"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4"/>
    <w:qFormat/>
    <w:uiPriority w:val="0"/>
    <w:pPr>
      <w:keepNext/>
      <w:overflowPunct w:val="0"/>
      <w:snapToGrid w:val="0"/>
      <w:spacing w:before="120" w:after="160" w:line="259" w:lineRule="auto"/>
      <w:ind w:left="432" w:hanging="432"/>
      <w:outlineLvl w:val="0"/>
    </w:pPr>
    <w:rPr>
      <w:rFonts w:ascii="Times New Roman" w:hAnsi="Times New Roman" w:eastAsia="黑体" w:cs="Times New Roman"/>
      <w:b/>
      <w:bCs/>
      <w:color w:val="000000"/>
      <w:kern w:val="44"/>
      <w:sz w:val="30"/>
      <w:szCs w:val="30"/>
    </w:rPr>
  </w:style>
  <w:style w:type="paragraph" w:styleId="3">
    <w:name w:val="heading 2"/>
    <w:basedOn w:val="1"/>
    <w:next w:val="1"/>
    <w:qFormat/>
    <w:uiPriority w:val="9"/>
    <w:pPr>
      <w:spacing w:before="200" w:after="200" w:line="360" w:lineRule="exact"/>
      <w:ind w:firstLine="0" w:firstLineChars="0"/>
      <w:jc w:val="left"/>
      <w:outlineLvl w:val="1"/>
    </w:pPr>
    <w:rPr>
      <w:rFonts w:ascii="Times New Roman" w:hAnsi="Times New Roman" w:eastAsia="黑体"/>
      <w:b/>
      <w:bCs/>
      <w:sz w:val="30"/>
      <w:szCs w:val="32"/>
    </w:rPr>
  </w:style>
  <w:style w:type="paragraph" w:styleId="4">
    <w:name w:val="heading 3"/>
    <w:basedOn w:val="1"/>
    <w:next w:val="1"/>
    <w:link w:val="35"/>
    <w:qFormat/>
    <w:uiPriority w:val="9"/>
    <w:pPr>
      <w:keepNext/>
      <w:keepLines/>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36"/>
    <w:unhideWhenUsed/>
    <w:qFormat/>
    <w:uiPriority w:val="1"/>
    <w:pPr>
      <w:keepNext/>
      <w:keepLines/>
      <w:spacing w:before="280" w:after="290" w:line="376" w:lineRule="auto"/>
      <w:outlineLvl w:val="3"/>
    </w:pPr>
    <w:rPr>
      <w:rFonts w:ascii="Cambria" w:hAnsi="Cambria" w:eastAsia="宋体" w:cs="Times New Roman"/>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te Heading"/>
    <w:basedOn w:val="1"/>
    <w:next w:val="1"/>
    <w:link w:val="84"/>
    <w:unhideWhenUsed/>
    <w:qFormat/>
    <w:uiPriority w:val="99"/>
    <w:pPr>
      <w:jc w:val="center"/>
    </w:pPr>
    <w:rPr>
      <w:rFonts w:ascii="Times New Roman" w:hAnsi="Times New Roman" w:eastAsia="宋体" w:cs="Times New Roman"/>
      <w:szCs w:val="24"/>
    </w:rPr>
  </w:style>
  <w:style w:type="paragraph" w:styleId="7">
    <w:name w:val="Normal Indent"/>
    <w:basedOn w:val="1"/>
    <w:next w:val="5"/>
    <w:link w:val="76"/>
    <w:qFormat/>
    <w:uiPriority w:val="0"/>
    <w:pPr>
      <w:ind w:firstLine="200" w:firstLineChars="200"/>
    </w:pPr>
    <w:rPr>
      <w:rFonts w:ascii="Times New Roman" w:hAnsi="Times New Roman" w:eastAsia="宋体" w:cs="Times New Roman"/>
      <w:sz w:val="28"/>
      <w:szCs w:val="24"/>
    </w:rPr>
  </w:style>
  <w:style w:type="paragraph" w:styleId="8">
    <w:name w:val="annotation text"/>
    <w:basedOn w:val="1"/>
    <w:link w:val="39"/>
    <w:unhideWhenUsed/>
    <w:qFormat/>
    <w:uiPriority w:val="99"/>
    <w:pPr>
      <w:jc w:val="left"/>
    </w:pPr>
  </w:style>
  <w:style w:type="paragraph" w:styleId="9">
    <w:name w:val="Salutation"/>
    <w:basedOn w:val="1"/>
    <w:next w:val="1"/>
    <w:link w:val="82"/>
    <w:qFormat/>
    <w:uiPriority w:val="0"/>
    <w:rPr>
      <w:rFonts w:ascii="Times New Roman" w:hAnsi="Times New Roman" w:eastAsia="宋体" w:cs="Times New Roman"/>
      <w:szCs w:val="24"/>
    </w:rPr>
  </w:style>
  <w:style w:type="paragraph" w:styleId="10">
    <w:name w:val="Body Text"/>
    <w:basedOn w:val="1"/>
    <w:next w:val="1"/>
    <w:link w:val="43"/>
    <w:unhideWhenUsed/>
    <w:qFormat/>
    <w:uiPriority w:val="0"/>
    <w:pPr>
      <w:spacing w:after="120"/>
    </w:pPr>
  </w:style>
  <w:style w:type="paragraph" w:styleId="11">
    <w:name w:val="Body Text Indent"/>
    <w:basedOn w:val="1"/>
    <w:next w:val="12"/>
    <w:link w:val="41"/>
    <w:unhideWhenUsed/>
    <w:qFormat/>
    <w:uiPriority w:val="0"/>
    <w:pPr>
      <w:spacing w:after="120"/>
      <w:ind w:left="420" w:leftChars="200"/>
    </w:pPr>
    <w:rPr>
      <w:rFonts w:ascii="Times New Roman" w:hAnsi="Times New Roman" w:eastAsia="宋体" w:cs="Times New Roman"/>
      <w:kern w:val="0"/>
      <w:sz w:val="20"/>
      <w:szCs w:val="24"/>
    </w:rPr>
  </w:style>
  <w:style w:type="paragraph" w:styleId="12">
    <w:name w:val="Body Text Indent 2"/>
    <w:basedOn w:val="1"/>
    <w:next w:val="1"/>
    <w:qFormat/>
    <w:uiPriority w:val="0"/>
    <w:pPr>
      <w:spacing w:after="120" w:line="480" w:lineRule="auto"/>
      <w:ind w:left="420" w:leftChars="200"/>
    </w:pPr>
  </w:style>
  <w:style w:type="paragraph" w:styleId="13">
    <w:name w:val="Plain Text"/>
    <w:basedOn w:val="1"/>
    <w:next w:val="9"/>
    <w:link w:val="77"/>
    <w:qFormat/>
    <w:uiPriority w:val="0"/>
    <w:pPr>
      <w:snapToGrid w:val="0"/>
      <w:spacing w:line="324" w:lineRule="auto"/>
    </w:pPr>
    <w:rPr>
      <w:rFonts w:ascii="宋体" w:hAnsi="Courier New" w:eastAsia="宋体" w:cs="Times New Roman"/>
      <w:szCs w:val="24"/>
    </w:rPr>
  </w:style>
  <w:style w:type="paragraph" w:styleId="14">
    <w:name w:val="Date"/>
    <w:basedOn w:val="1"/>
    <w:next w:val="1"/>
    <w:link w:val="70"/>
    <w:qFormat/>
    <w:uiPriority w:val="0"/>
    <w:pPr>
      <w:ind w:left="100" w:leftChars="2500"/>
    </w:pPr>
    <w:rPr>
      <w:rFonts w:ascii="Times New Roman" w:hAnsi="Times New Roman" w:eastAsia="宋体" w:cs="Times New Roman"/>
      <w:kern w:val="0"/>
      <w:sz w:val="24"/>
      <w:szCs w:val="20"/>
    </w:rPr>
  </w:style>
  <w:style w:type="paragraph" w:styleId="15">
    <w:name w:val="Balloon Text"/>
    <w:basedOn w:val="1"/>
    <w:link w:val="37"/>
    <w:semiHidden/>
    <w:unhideWhenUsed/>
    <w:qFormat/>
    <w:uiPriority w:val="0"/>
    <w:rPr>
      <w:sz w:val="18"/>
      <w:szCs w:val="18"/>
    </w:rPr>
  </w:style>
  <w:style w:type="paragraph" w:styleId="16">
    <w:name w:val="footer"/>
    <w:basedOn w:val="1"/>
    <w:link w:val="33"/>
    <w:unhideWhenUsed/>
    <w:qFormat/>
    <w:uiPriority w:val="99"/>
    <w:pPr>
      <w:tabs>
        <w:tab w:val="center" w:pos="4153"/>
        <w:tab w:val="right" w:pos="8306"/>
      </w:tabs>
      <w:snapToGrid w:val="0"/>
      <w:jc w:val="left"/>
    </w:pPr>
    <w:rPr>
      <w:sz w:val="18"/>
      <w:szCs w:val="18"/>
    </w:rPr>
  </w:style>
  <w:style w:type="paragraph" w:styleId="17">
    <w:name w:val="header"/>
    <w:basedOn w:val="1"/>
    <w:next w:val="10"/>
    <w:link w:val="32"/>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List"/>
    <w:basedOn w:val="1"/>
    <w:qFormat/>
    <w:uiPriority w:val="0"/>
    <w:pPr>
      <w:jc w:val="center"/>
    </w:pPr>
    <w:rPr>
      <w:rFonts w:ascii="Times New Roman" w:hAnsi="Times New Roman" w:eastAsia="宋体" w:cs="Times New Roman"/>
      <w:kern w:val="21"/>
    </w:rPr>
  </w:style>
  <w:style w:type="paragraph" w:styleId="19">
    <w:name w:val="Body Text Indent 3"/>
    <w:next w:val="20"/>
    <w:link w:val="48"/>
    <w:semi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20">
    <w:name w:val="样式 正文文本缩进 3 + 左侧:  2 字符"/>
    <w:basedOn w:val="1"/>
    <w:qFormat/>
    <w:uiPriority w:val="0"/>
  </w:style>
  <w:style w:type="paragraph" w:styleId="21">
    <w:name w:val="Normal (Web)"/>
    <w:basedOn w:val="1"/>
    <w:link w:val="38"/>
    <w:qFormat/>
    <w:uiPriority w:val="99"/>
    <w:pPr>
      <w:widowControl/>
      <w:spacing w:before="100" w:beforeAutospacing="1" w:after="100" w:afterAutospacing="1"/>
      <w:jc w:val="left"/>
    </w:pPr>
    <w:rPr>
      <w:rFonts w:ascii="宋体" w:hAnsi="宋体" w:eastAsia="宋体"/>
      <w:sz w:val="24"/>
    </w:rPr>
  </w:style>
  <w:style w:type="paragraph" w:styleId="22">
    <w:name w:val="annotation subject"/>
    <w:basedOn w:val="8"/>
    <w:next w:val="8"/>
    <w:link w:val="40"/>
    <w:semiHidden/>
    <w:unhideWhenUsed/>
    <w:qFormat/>
    <w:uiPriority w:val="0"/>
    <w:rPr>
      <w:b/>
      <w:bCs/>
    </w:rPr>
  </w:style>
  <w:style w:type="paragraph" w:styleId="23">
    <w:name w:val="Body Text First Indent"/>
    <w:basedOn w:val="10"/>
    <w:link w:val="44"/>
    <w:semiHidden/>
    <w:unhideWhenUsed/>
    <w:qFormat/>
    <w:uiPriority w:val="99"/>
    <w:pPr>
      <w:ind w:firstLine="420" w:firstLineChars="100"/>
    </w:pPr>
  </w:style>
  <w:style w:type="paragraph" w:styleId="24">
    <w:name w:val="Body Text First Indent 2"/>
    <w:basedOn w:val="1"/>
    <w:next w:val="1"/>
    <w:link w:val="83"/>
    <w:qFormat/>
    <w:uiPriority w:val="0"/>
    <w:pPr>
      <w:ind w:firstLine="420" w:firstLineChars="200"/>
    </w:pPr>
    <w:rPr>
      <w:kern w:val="2"/>
      <w:sz w:val="21"/>
    </w:rPr>
  </w:style>
  <w:style w:type="table" w:styleId="26">
    <w:name w:val="Table Grid"/>
    <w:basedOn w:val="25"/>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8">
    <w:name w:val="Strong"/>
    <w:basedOn w:val="27"/>
    <w:qFormat/>
    <w:uiPriority w:val="22"/>
    <w:rPr>
      <w:b/>
      <w:bCs/>
    </w:rPr>
  </w:style>
  <w:style w:type="character" w:styleId="29">
    <w:name w:val="page number"/>
    <w:basedOn w:val="27"/>
    <w:qFormat/>
    <w:uiPriority w:val="0"/>
  </w:style>
  <w:style w:type="character" w:styleId="30">
    <w:name w:val="Hyperlink"/>
    <w:basedOn w:val="27"/>
    <w:unhideWhenUsed/>
    <w:qFormat/>
    <w:uiPriority w:val="99"/>
    <w:rPr>
      <w:color w:val="0000FF" w:themeColor="hyperlink"/>
      <w:u w:val="single"/>
      <w14:textFill>
        <w14:solidFill>
          <w14:schemeClr w14:val="hlink"/>
        </w14:solidFill>
      </w14:textFill>
    </w:rPr>
  </w:style>
  <w:style w:type="character" w:styleId="31">
    <w:name w:val="annotation reference"/>
    <w:basedOn w:val="27"/>
    <w:unhideWhenUsed/>
    <w:qFormat/>
    <w:uiPriority w:val="0"/>
    <w:rPr>
      <w:sz w:val="21"/>
      <w:szCs w:val="21"/>
    </w:rPr>
  </w:style>
  <w:style w:type="character" w:customStyle="1" w:styleId="32">
    <w:name w:val="页眉 Char"/>
    <w:basedOn w:val="27"/>
    <w:link w:val="17"/>
    <w:qFormat/>
    <w:uiPriority w:val="0"/>
    <w:rPr>
      <w:sz w:val="18"/>
      <w:szCs w:val="18"/>
    </w:rPr>
  </w:style>
  <w:style w:type="character" w:customStyle="1" w:styleId="33">
    <w:name w:val="页脚 Char"/>
    <w:basedOn w:val="27"/>
    <w:link w:val="16"/>
    <w:qFormat/>
    <w:uiPriority w:val="99"/>
    <w:rPr>
      <w:sz w:val="18"/>
      <w:szCs w:val="18"/>
    </w:rPr>
  </w:style>
  <w:style w:type="character" w:customStyle="1" w:styleId="34">
    <w:name w:val="标题 1 Char"/>
    <w:basedOn w:val="27"/>
    <w:link w:val="2"/>
    <w:qFormat/>
    <w:uiPriority w:val="0"/>
    <w:rPr>
      <w:rFonts w:ascii="Times New Roman" w:hAnsi="Times New Roman" w:eastAsia="黑体" w:cs="Times New Roman"/>
      <w:b/>
      <w:bCs/>
      <w:color w:val="000000"/>
      <w:kern w:val="44"/>
      <w:sz w:val="30"/>
      <w:szCs w:val="30"/>
    </w:rPr>
  </w:style>
  <w:style w:type="character" w:customStyle="1" w:styleId="35">
    <w:name w:val="标题 3 Char"/>
    <w:basedOn w:val="27"/>
    <w:link w:val="4"/>
    <w:qFormat/>
    <w:uiPriority w:val="9"/>
    <w:rPr>
      <w:rFonts w:ascii="Times New Roman" w:hAnsi="Times New Roman" w:eastAsia="宋体" w:cs="Times New Roman"/>
      <w:b/>
      <w:bCs/>
      <w:sz w:val="32"/>
      <w:szCs w:val="32"/>
    </w:rPr>
  </w:style>
  <w:style w:type="character" w:customStyle="1" w:styleId="36">
    <w:name w:val="标题 4 Char"/>
    <w:basedOn w:val="27"/>
    <w:link w:val="5"/>
    <w:qFormat/>
    <w:uiPriority w:val="1"/>
    <w:rPr>
      <w:rFonts w:ascii="Cambria" w:hAnsi="Cambria" w:eastAsia="宋体" w:cs="Times New Roman"/>
      <w:b/>
      <w:bCs/>
      <w:sz w:val="28"/>
      <w:szCs w:val="28"/>
    </w:rPr>
  </w:style>
  <w:style w:type="character" w:customStyle="1" w:styleId="37">
    <w:name w:val="批注框文本 Char"/>
    <w:basedOn w:val="27"/>
    <w:link w:val="15"/>
    <w:semiHidden/>
    <w:qFormat/>
    <w:uiPriority w:val="0"/>
    <w:rPr>
      <w:sz w:val="18"/>
      <w:szCs w:val="18"/>
    </w:rPr>
  </w:style>
  <w:style w:type="character" w:customStyle="1" w:styleId="38">
    <w:name w:val="普通(网站) Char"/>
    <w:link w:val="21"/>
    <w:qFormat/>
    <w:locked/>
    <w:uiPriority w:val="0"/>
    <w:rPr>
      <w:rFonts w:ascii="宋体" w:hAnsi="宋体" w:eastAsia="宋体"/>
      <w:sz w:val="24"/>
    </w:rPr>
  </w:style>
  <w:style w:type="character" w:customStyle="1" w:styleId="39">
    <w:name w:val="批注文字 Char"/>
    <w:basedOn w:val="27"/>
    <w:link w:val="8"/>
    <w:qFormat/>
    <w:uiPriority w:val="99"/>
  </w:style>
  <w:style w:type="character" w:customStyle="1" w:styleId="40">
    <w:name w:val="批注主题 Char"/>
    <w:basedOn w:val="39"/>
    <w:link w:val="22"/>
    <w:semiHidden/>
    <w:qFormat/>
    <w:uiPriority w:val="0"/>
    <w:rPr>
      <w:b/>
      <w:bCs/>
    </w:rPr>
  </w:style>
  <w:style w:type="character" w:customStyle="1" w:styleId="41">
    <w:name w:val="正文文本缩进 Char"/>
    <w:basedOn w:val="27"/>
    <w:link w:val="11"/>
    <w:qFormat/>
    <w:uiPriority w:val="0"/>
    <w:rPr>
      <w:rFonts w:ascii="Times New Roman" w:hAnsi="Times New Roman" w:eastAsia="宋体" w:cs="Times New Roman"/>
      <w:kern w:val="0"/>
      <w:sz w:val="20"/>
      <w:szCs w:val="24"/>
    </w:rPr>
  </w:style>
  <w:style w:type="paragraph" w:customStyle="1" w:styleId="42">
    <w:name w:val="MFS正文 Char"/>
    <w:basedOn w:val="23"/>
    <w:qFormat/>
    <w:uiPriority w:val="0"/>
  </w:style>
  <w:style w:type="character" w:customStyle="1" w:styleId="43">
    <w:name w:val="正文文本 Char"/>
    <w:basedOn w:val="27"/>
    <w:link w:val="10"/>
    <w:qFormat/>
    <w:uiPriority w:val="0"/>
  </w:style>
  <w:style w:type="character" w:customStyle="1" w:styleId="44">
    <w:name w:val="正文首行缩进 Char"/>
    <w:basedOn w:val="43"/>
    <w:link w:val="23"/>
    <w:semiHidden/>
    <w:qFormat/>
    <w:uiPriority w:val="99"/>
  </w:style>
  <w:style w:type="character" w:customStyle="1" w:styleId="45">
    <w:name w:val="表格正文 Char"/>
    <w:link w:val="46"/>
    <w:qFormat/>
    <w:locked/>
    <w:uiPriority w:val="0"/>
    <w:rPr>
      <w:szCs w:val="24"/>
    </w:rPr>
  </w:style>
  <w:style w:type="paragraph" w:customStyle="1" w:styleId="46">
    <w:name w:val="表格正文"/>
    <w:basedOn w:val="1"/>
    <w:next w:val="1"/>
    <w:link w:val="45"/>
    <w:qFormat/>
    <w:uiPriority w:val="0"/>
    <w:pPr>
      <w:spacing w:line="360" w:lineRule="exact"/>
      <w:jc w:val="center"/>
    </w:pPr>
    <w:rPr>
      <w:szCs w:val="24"/>
    </w:rPr>
  </w:style>
  <w:style w:type="paragraph" w:customStyle="1" w:styleId="47">
    <w:name w:val="表内容"/>
    <w:basedOn w:val="1"/>
    <w:next w:val="1"/>
    <w:qFormat/>
    <w:uiPriority w:val="99"/>
    <w:pPr>
      <w:spacing w:line="320" w:lineRule="exact"/>
      <w:jc w:val="center"/>
    </w:pPr>
    <w:rPr>
      <w:rFonts w:ascii="Times New Roman" w:hAnsi="Times New Roman" w:eastAsia="宋体" w:cs="Times New Roman"/>
      <w:szCs w:val="20"/>
    </w:rPr>
  </w:style>
  <w:style w:type="character" w:customStyle="1" w:styleId="48">
    <w:name w:val="正文文本缩进 3 Char"/>
    <w:basedOn w:val="27"/>
    <w:link w:val="19"/>
    <w:semiHidden/>
    <w:qFormat/>
    <w:uiPriority w:val="99"/>
  </w:style>
  <w:style w:type="paragraph" w:customStyle="1" w:styleId="49">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50">
    <w:name w:val="中文报告书样式"/>
    <w:basedOn w:val="1"/>
    <w:qFormat/>
    <w:uiPriority w:val="0"/>
    <w:pPr>
      <w:widowControl/>
      <w:adjustRightInd w:val="0"/>
      <w:spacing w:line="480" w:lineRule="atLeast"/>
      <w:ind w:firstLine="482"/>
      <w:jc w:val="left"/>
    </w:pPr>
    <w:rPr>
      <w:rFonts w:ascii="黑体" w:hAnsi="黑体" w:eastAsia="宋体" w:cs="黑体"/>
      <w:kern w:val="24"/>
      <w:sz w:val="24"/>
      <w:szCs w:val="20"/>
    </w:rPr>
  </w:style>
  <w:style w:type="paragraph" w:customStyle="1" w:styleId="51">
    <w:name w:val="表格内格式"/>
    <w:basedOn w:val="1"/>
    <w:link w:val="52"/>
    <w:qFormat/>
    <w:uiPriority w:val="0"/>
    <w:pPr>
      <w:adjustRightInd w:val="0"/>
      <w:snapToGrid w:val="0"/>
      <w:spacing w:before="60"/>
      <w:jc w:val="center"/>
    </w:pPr>
    <w:rPr>
      <w:rFonts w:ascii="Times New Roman" w:hAnsi="Times New Roman" w:eastAsia="宋体" w:cs="宋体"/>
      <w:snapToGrid w:val="0"/>
      <w:kern w:val="0"/>
      <w:sz w:val="18"/>
      <w:szCs w:val="20"/>
    </w:rPr>
  </w:style>
  <w:style w:type="character" w:customStyle="1" w:styleId="52">
    <w:name w:val="表格内格式 Char"/>
    <w:link w:val="51"/>
    <w:qFormat/>
    <w:uiPriority w:val="0"/>
    <w:rPr>
      <w:rFonts w:ascii="Times New Roman" w:hAnsi="Times New Roman" w:eastAsia="宋体" w:cs="宋体"/>
      <w:snapToGrid w:val="0"/>
      <w:kern w:val="0"/>
      <w:sz w:val="18"/>
      <w:szCs w:val="20"/>
    </w:rPr>
  </w:style>
  <w:style w:type="character" w:customStyle="1" w:styleId="53">
    <w:name w:val="表格 Char"/>
    <w:link w:val="54"/>
    <w:qFormat/>
    <w:locked/>
    <w:uiPriority w:val="0"/>
    <w:rPr>
      <w:rFonts w:ascii="宋体"/>
    </w:rPr>
  </w:style>
  <w:style w:type="paragraph" w:customStyle="1" w:styleId="54">
    <w:name w:val="表格"/>
    <w:basedOn w:val="1"/>
    <w:next w:val="1"/>
    <w:link w:val="53"/>
    <w:qFormat/>
    <w:uiPriority w:val="0"/>
    <w:pPr>
      <w:adjustRightInd w:val="0"/>
      <w:snapToGrid w:val="0"/>
      <w:spacing w:beforeLines="10" w:afterLines="10" w:line="259" w:lineRule="auto"/>
      <w:jc w:val="center"/>
    </w:pPr>
    <w:rPr>
      <w:rFonts w:ascii="宋体"/>
    </w:rPr>
  </w:style>
  <w:style w:type="character" w:customStyle="1" w:styleId="55">
    <w:name w:val="2 表格内容 Char"/>
    <w:link w:val="56"/>
    <w:qFormat/>
    <w:uiPriority w:val="0"/>
    <w:rPr>
      <w:szCs w:val="21"/>
    </w:rPr>
  </w:style>
  <w:style w:type="paragraph" w:customStyle="1" w:styleId="56">
    <w:name w:val="2 表格内容"/>
    <w:basedOn w:val="1"/>
    <w:link w:val="55"/>
    <w:qFormat/>
    <w:uiPriority w:val="0"/>
    <w:pPr>
      <w:adjustRightInd w:val="0"/>
      <w:snapToGrid w:val="0"/>
      <w:spacing w:line="320" w:lineRule="exact"/>
      <w:jc w:val="center"/>
    </w:pPr>
    <w:rPr>
      <w:szCs w:val="21"/>
    </w:rPr>
  </w:style>
  <w:style w:type="character" w:customStyle="1" w:styleId="57">
    <w:name w:val="图表标注 Char"/>
    <w:link w:val="58"/>
    <w:qFormat/>
    <w:uiPriority w:val="0"/>
    <w:rPr>
      <w:rFonts w:eastAsia="黑体"/>
      <w:sz w:val="24"/>
    </w:rPr>
  </w:style>
  <w:style w:type="paragraph" w:customStyle="1" w:styleId="58">
    <w:name w:val="图表标注"/>
    <w:basedOn w:val="1"/>
    <w:link w:val="57"/>
    <w:qFormat/>
    <w:uiPriority w:val="0"/>
    <w:pPr>
      <w:spacing w:line="480" w:lineRule="exact"/>
      <w:jc w:val="center"/>
    </w:pPr>
    <w:rPr>
      <w:rFonts w:eastAsia="黑体"/>
      <w:sz w:val="24"/>
    </w:rPr>
  </w:style>
  <w:style w:type="character" w:customStyle="1" w:styleId="59">
    <w:name w:val="fontstyle01"/>
    <w:qFormat/>
    <w:uiPriority w:val="0"/>
    <w:rPr>
      <w:rFonts w:hint="eastAsia" w:ascii="宋体" w:hAnsi="宋体" w:eastAsia="宋体"/>
      <w:color w:val="000000"/>
      <w:sz w:val="24"/>
      <w:szCs w:val="24"/>
    </w:rPr>
  </w:style>
  <w:style w:type="paragraph" w:customStyle="1" w:styleId="60">
    <w:name w:val="Default"/>
    <w:basedOn w:val="61"/>
    <w:next w:val="12"/>
    <w:link w:val="63"/>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1">
    <w:name w:val="文本"/>
    <w:basedOn w:val="1"/>
    <w:next w:val="1"/>
    <w:qFormat/>
    <w:uiPriority w:val="0"/>
    <w:pPr>
      <w:adjustRightInd w:val="0"/>
      <w:snapToGrid w:val="0"/>
      <w:ind w:firstLine="960"/>
    </w:pPr>
  </w:style>
  <w:style w:type="paragraph" w:customStyle="1" w:styleId="62">
    <w:name w:val="标题2"/>
    <w:basedOn w:val="3"/>
    <w:qFormat/>
    <w:uiPriority w:val="0"/>
    <w:pPr>
      <w:numPr>
        <w:ilvl w:val="1"/>
        <w:numId w:val="1"/>
      </w:numPr>
      <w:spacing w:before="0" w:after="0" w:line="440" w:lineRule="exact"/>
    </w:pPr>
    <w:rPr>
      <w:kern w:val="0"/>
      <w:sz w:val="28"/>
    </w:rPr>
  </w:style>
  <w:style w:type="character" w:customStyle="1" w:styleId="63">
    <w:name w:val="Default Char Char"/>
    <w:link w:val="60"/>
    <w:qFormat/>
    <w:uiPriority w:val="0"/>
    <w:rPr>
      <w:rFonts w:ascii="宋体" w:hAnsi="Times New Roman" w:eastAsia="宋体" w:cs="宋体"/>
      <w:color w:val="000000"/>
      <w:kern w:val="0"/>
      <w:sz w:val="24"/>
      <w:szCs w:val="24"/>
    </w:rPr>
  </w:style>
  <w:style w:type="paragraph" w:customStyle="1" w:styleId="64">
    <w:name w:val="无间隔1"/>
    <w:qFormat/>
    <w:uiPriority w:val="1"/>
    <w:pPr>
      <w:widowControl w:val="0"/>
      <w:jc w:val="center"/>
    </w:pPr>
    <w:rPr>
      <w:rFonts w:ascii="Times New Roman" w:hAnsi="Times New Roman" w:eastAsia="宋体" w:cs="Times New Roman"/>
      <w:kern w:val="2"/>
      <w:sz w:val="21"/>
      <w:szCs w:val="24"/>
      <w:lang w:val="en-US" w:eastAsia="zh-CN" w:bidi="ar-SA"/>
    </w:rPr>
  </w:style>
  <w:style w:type="paragraph" w:styleId="65">
    <w:name w:val="List Paragraph"/>
    <w:basedOn w:val="1"/>
    <w:qFormat/>
    <w:uiPriority w:val="34"/>
    <w:pPr>
      <w:ind w:firstLine="420" w:firstLineChars="200"/>
    </w:pPr>
    <w:rPr>
      <w:rFonts w:ascii="Times New Roman" w:hAnsi="Times New Roman" w:eastAsia="宋体" w:cs="Times New Roman"/>
    </w:rPr>
  </w:style>
  <w:style w:type="character" w:customStyle="1" w:styleId="66">
    <w:name w:val="报告表正文 Char Char"/>
    <w:link w:val="67"/>
    <w:qFormat/>
    <w:uiPriority w:val="0"/>
    <w:rPr>
      <w:rFonts w:eastAsia="宋体"/>
      <w:sz w:val="24"/>
    </w:rPr>
  </w:style>
  <w:style w:type="paragraph" w:customStyle="1" w:styleId="67">
    <w:name w:val="报告表正文"/>
    <w:basedOn w:val="1"/>
    <w:link w:val="66"/>
    <w:qFormat/>
    <w:uiPriority w:val="0"/>
    <w:pPr>
      <w:adjustRightInd w:val="0"/>
      <w:spacing w:line="312" w:lineRule="auto"/>
      <w:ind w:left="113" w:right="113" w:firstLine="482"/>
      <w:jc w:val="left"/>
      <w:textAlignment w:val="baseline"/>
    </w:pPr>
    <w:rPr>
      <w:rFonts w:eastAsia="宋体"/>
      <w:sz w:val="24"/>
    </w:rPr>
  </w:style>
  <w:style w:type="paragraph" w:customStyle="1" w:styleId="68">
    <w:name w:val="表格内容"/>
    <w:basedOn w:val="1"/>
    <w:link w:val="69"/>
    <w:qFormat/>
    <w:uiPriority w:val="0"/>
    <w:pPr>
      <w:overflowPunct w:val="0"/>
      <w:adjustRightInd w:val="0"/>
      <w:spacing w:before="40" w:after="60" w:line="200" w:lineRule="atLeast"/>
      <w:textAlignment w:val="baseline"/>
    </w:pPr>
    <w:rPr>
      <w:rFonts w:ascii="Arial" w:hAnsi="Arial" w:eastAsia="仿宋_GB2312" w:cs="Times New Roman"/>
      <w:kern w:val="0"/>
      <w:sz w:val="24"/>
      <w:szCs w:val="20"/>
    </w:rPr>
  </w:style>
  <w:style w:type="character" w:customStyle="1" w:styleId="69">
    <w:name w:val="表格内容 Char Char"/>
    <w:link w:val="68"/>
    <w:qFormat/>
    <w:uiPriority w:val="0"/>
    <w:rPr>
      <w:rFonts w:ascii="Arial" w:hAnsi="Arial" w:eastAsia="仿宋_GB2312" w:cs="Times New Roman"/>
      <w:kern w:val="0"/>
      <w:sz w:val="24"/>
      <w:szCs w:val="20"/>
    </w:rPr>
  </w:style>
  <w:style w:type="character" w:customStyle="1" w:styleId="70">
    <w:name w:val="日期 Char"/>
    <w:basedOn w:val="27"/>
    <w:link w:val="14"/>
    <w:qFormat/>
    <w:uiPriority w:val="0"/>
    <w:rPr>
      <w:rFonts w:ascii="Times New Roman" w:hAnsi="Times New Roman" w:eastAsia="宋体" w:cs="Times New Roman"/>
      <w:kern w:val="0"/>
      <w:sz w:val="24"/>
      <w:szCs w:val="20"/>
    </w:rPr>
  </w:style>
  <w:style w:type="character" w:customStyle="1" w:styleId="71">
    <w:name w:val="普通(网站) Char1"/>
    <w:qFormat/>
    <w:locked/>
    <w:uiPriority w:val="0"/>
    <w:rPr>
      <w:rFonts w:ascii="宋体" w:hAnsi="宋体" w:eastAsia="宋体" w:cs="Times New Roman"/>
      <w:kern w:val="0"/>
      <w:sz w:val="24"/>
      <w:szCs w:val="20"/>
    </w:rPr>
  </w:style>
  <w:style w:type="character" w:customStyle="1" w:styleId="72">
    <w:name w:val="日期 字符"/>
    <w:basedOn w:val="27"/>
    <w:semiHidden/>
    <w:qFormat/>
    <w:uiPriority w:val="0"/>
    <w:rPr>
      <w:rFonts w:ascii="Times New Roman" w:hAnsi="Times New Roman" w:eastAsia="宋体" w:cs="Times New Roman"/>
      <w:sz w:val="24"/>
      <w:szCs w:val="24"/>
    </w:rPr>
  </w:style>
  <w:style w:type="character" w:customStyle="1" w:styleId="73">
    <w:name w:val="正文文本 字符1"/>
    <w:basedOn w:val="27"/>
    <w:semiHidden/>
    <w:qFormat/>
    <w:uiPriority w:val="0"/>
    <w:rPr>
      <w:rFonts w:ascii="Times New Roman" w:hAnsi="Times New Roman" w:eastAsia="宋体" w:cs="Times New Roman"/>
      <w:sz w:val="24"/>
      <w:szCs w:val="24"/>
    </w:rPr>
  </w:style>
  <w:style w:type="paragraph" w:customStyle="1" w:styleId="74">
    <w:name w:val="普通(网站)2"/>
    <w:basedOn w:val="1"/>
    <w:qFormat/>
    <w:uiPriority w:val="0"/>
    <w:pPr>
      <w:widowControl/>
      <w:spacing w:before="100" w:beforeAutospacing="1" w:after="100" w:afterAutospacing="1"/>
      <w:jc w:val="left"/>
    </w:pPr>
    <w:rPr>
      <w:rFonts w:ascii="宋体" w:hAnsi="宋体" w:eastAsia="宋体" w:cs="Times New Roman"/>
      <w:sz w:val="24"/>
      <w:szCs w:val="20"/>
    </w:rPr>
  </w:style>
  <w:style w:type="character" w:customStyle="1" w:styleId="75">
    <w:name w:val="批注文字 字符1"/>
    <w:basedOn w:val="27"/>
    <w:semiHidden/>
    <w:qFormat/>
    <w:uiPriority w:val="0"/>
    <w:rPr>
      <w:rFonts w:ascii="Times New Roman" w:hAnsi="Times New Roman" w:eastAsia="宋体" w:cs="Times New Roman"/>
      <w:sz w:val="24"/>
      <w:szCs w:val="24"/>
    </w:rPr>
  </w:style>
  <w:style w:type="character" w:customStyle="1" w:styleId="76">
    <w:name w:val="正文缩进 Char"/>
    <w:link w:val="7"/>
    <w:qFormat/>
    <w:uiPriority w:val="0"/>
    <w:rPr>
      <w:rFonts w:ascii="Times New Roman" w:hAnsi="Times New Roman" w:eastAsia="宋体" w:cs="Times New Roman"/>
      <w:sz w:val="28"/>
      <w:szCs w:val="24"/>
    </w:rPr>
  </w:style>
  <w:style w:type="character" w:customStyle="1" w:styleId="77">
    <w:name w:val="纯文本 Char"/>
    <w:basedOn w:val="27"/>
    <w:link w:val="13"/>
    <w:qFormat/>
    <w:uiPriority w:val="0"/>
    <w:rPr>
      <w:rFonts w:ascii="宋体" w:hAnsi="Courier New" w:eastAsia="宋体" w:cs="Times New Roman"/>
      <w:szCs w:val="24"/>
    </w:rPr>
  </w:style>
  <w:style w:type="character" w:customStyle="1" w:styleId="78">
    <w:name w:val="eia正文 Char"/>
    <w:link w:val="79"/>
    <w:unhideWhenUsed/>
    <w:qFormat/>
    <w:locked/>
    <w:uiPriority w:val="99"/>
    <w:rPr>
      <w:rFonts w:ascii="Calibri" w:hAnsi="Calibri"/>
      <w:color w:val="000000"/>
      <w:sz w:val="22"/>
      <w:lang w:val="sq-AL" w:eastAsia="en-US"/>
    </w:rPr>
  </w:style>
  <w:style w:type="paragraph" w:customStyle="1" w:styleId="79">
    <w:name w:val="eia正文"/>
    <w:basedOn w:val="1"/>
    <w:next w:val="1"/>
    <w:link w:val="78"/>
    <w:unhideWhenUsed/>
    <w:qFormat/>
    <w:uiPriority w:val="99"/>
    <w:pPr>
      <w:spacing w:line="360" w:lineRule="auto"/>
      <w:ind w:firstLine="200" w:firstLineChars="200"/>
      <w:jc w:val="left"/>
    </w:pPr>
    <w:rPr>
      <w:rFonts w:ascii="Calibri" w:hAnsi="Calibri"/>
      <w:color w:val="000000"/>
      <w:sz w:val="22"/>
      <w:lang w:val="sq-AL" w:eastAsia="en-US"/>
    </w:rPr>
  </w:style>
  <w:style w:type="paragraph" w:customStyle="1" w:styleId="80">
    <w:name w:val="正文部分"/>
    <w:basedOn w:val="1"/>
    <w:qFormat/>
    <w:uiPriority w:val="0"/>
    <w:pPr>
      <w:topLinePunct/>
      <w:adjustRightInd w:val="0"/>
      <w:snapToGrid w:val="0"/>
      <w:spacing w:line="360" w:lineRule="auto"/>
      <w:ind w:firstLine="480" w:firstLineChars="200"/>
    </w:pPr>
    <w:rPr>
      <w:rFonts w:ascii="Times New Roman" w:hAnsi="Times New Roman" w:eastAsia="宋体" w:cs="Times New Roman"/>
      <w:kern w:val="0"/>
      <w:sz w:val="24"/>
      <w:szCs w:val="24"/>
      <w:shd w:val="clear" w:color="auto" w:fill="FFFFFF"/>
      <w:lang w:val="zh-CN"/>
    </w:rPr>
  </w:style>
  <w:style w:type="paragraph" w:customStyle="1" w:styleId="81">
    <w:name w:val="15"/>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2">
    <w:name w:val="称呼 Char"/>
    <w:basedOn w:val="27"/>
    <w:link w:val="9"/>
    <w:qFormat/>
    <w:uiPriority w:val="0"/>
    <w:rPr>
      <w:rFonts w:ascii="Times New Roman" w:hAnsi="Times New Roman" w:eastAsia="宋体" w:cs="Times New Roman"/>
      <w:szCs w:val="24"/>
    </w:rPr>
  </w:style>
  <w:style w:type="character" w:customStyle="1" w:styleId="83">
    <w:name w:val="正文首行缩进 2 Char"/>
    <w:basedOn w:val="41"/>
    <w:link w:val="24"/>
    <w:qFormat/>
    <w:uiPriority w:val="0"/>
  </w:style>
  <w:style w:type="character" w:customStyle="1" w:styleId="84">
    <w:name w:val="注释标题 Char"/>
    <w:basedOn w:val="27"/>
    <w:link w:val="6"/>
    <w:qFormat/>
    <w:uiPriority w:val="99"/>
    <w:rPr>
      <w:rFonts w:ascii="Times New Roman" w:hAnsi="Times New Roman" w:eastAsia="宋体" w:cs="Times New Roman"/>
      <w:szCs w:val="24"/>
    </w:rPr>
  </w:style>
  <w:style w:type="character" w:customStyle="1" w:styleId="85">
    <w:name w:val="样式41 Char"/>
    <w:link w:val="86"/>
    <w:qFormat/>
    <w:uiPriority w:val="0"/>
    <w:rPr>
      <w:rFonts w:ascii="黑体" w:eastAsia="黑体"/>
      <w:sz w:val="24"/>
      <w:szCs w:val="24"/>
    </w:rPr>
  </w:style>
  <w:style w:type="paragraph" w:customStyle="1" w:styleId="86">
    <w:name w:val="样式41"/>
    <w:basedOn w:val="1"/>
    <w:link w:val="85"/>
    <w:qFormat/>
    <w:uiPriority w:val="0"/>
    <w:pPr>
      <w:spacing w:beforeLines="50" w:afterLines="50" w:line="400" w:lineRule="exact"/>
      <w:jc w:val="center"/>
    </w:pPr>
    <w:rPr>
      <w:rFonts w:ascii="黑体" w:eastAsia="黑体"/>
      <w:sz w:val="24"/>
      <w:szCs w:val="24"/>
    </w:rPr>
  </w:style>
  <w:style w:type="paragraph" w:customStyle="1" w:styleId="87">
    <w:name w:val="表头文字"/>
    <w:basedOn w:val="1"/>
    <w:qFormat/>
    <w:uiPriority w:val="0"/>
    <w:pPr>
      <w:spacing w:line="240" w:lineRule="atLeast"/>
      <w:jc w:val="center"/>
    </w:pPr>
    <w:rPr>
      <w:rFonts w:ascii="Times New Roman" w:hAnsi="Times New Roman" w:eastAsia="宋体" w:cs="Times New Roman"/>
      <w:position w:val="-10"/>
      <w:sz w:val="24"/>
    </w:rPr>
  </w:style>
  <w:style w:type="paragraph" w:customStyle="1" w:styleId="88">
    <w:name w:val="表格文字"/>
    <w:basedOn w:val="89"/>
    <w:next w:val="1"/>
    <w:qFormat/>
    <w:uiPriority w:val="0"/>
    <w:pPr>
      <w:widowControl/>
      <w:snapToGrid w:val="0"/>
      <w:spacing w:before="60" w:after="160" w:line="259" w:lineRule="auto"/>
      <w:ind w:right="113"/>
      <w:jc w:val="center"/>
    </w:pPr>
    <w:rPr>
      <w:rFonts w:ascii="仿宋_GB2312" w:hAnsi="Arial Black" w:eastAsia="仿宋_GB2312" w:cs="Times New Roman"/>
      <w:kern w:val="44"/>
      <w:sz w:val="24"/>
      <w:szCs w:val="20"/>
    </w:rPr>
  </w:style>
  <w:style w:type="paragraph" w:customStyle="1" w:styleId="89">
    <w:name w:val="图标"/>
    <w:basedOn w:val="1"/>
    <w:qFormat/>
    <w:uiPriority w:val="0"/>
    <w:pPr>
      <w:widowControl/>
      <w:spacing w:line="240" w:lineRule="auto"/>
      <w:ind w:firstLine="0" w:firstLineChars="0"/>
      <w:jc w:val="center"/>
    </w:pPr>
    <w:rPr>
      <w:rFonts w:ascii="Calibri" w:hAnsi="Calibri" w:eastAsia="仿宋" w:cs="宋体"/>
      <w:color w:val="000000"/>
      <w:kern w:val="0"/>
      <w:sz w:val="20"/>
      <w:szCs w:val="20"/>
    </w:rPr>
  </w:style>
  <w:style w:type="paragraph" w:customStyle="1" w:styleId="90">
    <w:name w:val="11正文"/>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91">
    <w:name w:val="批注文字 Char2"/>
    <w:qFormat/>
    <w:uiPriority w:val="99"/>
    <w:rPr>
      <w:szCs w:val="24"/>
    </w:rPr>
  </w:style>
  <w:style w:type="paragraph" w:customStyle="1" w:styleId="92">
    <w:name w:val="标准文本 首行缩进:2 字符 行距1倍"/>
    <w:basedOn w:val="1"/>
    <w:qFormat/>
    <w:uiPriority w:val="0"/>
    <w:pPr>
      <w:adjustRightInd w:val="0"/>
      <w:snapToGrid w:val="0"/>
      <w:spacing w:beforeLines="50" w:afterLines="50" w:line="400" w:lineRule="exact"/>
      <w:ind w:firstLine="482" w:firstLineChars="200"/>
      <w:jc w:val="center"/>
      <w:textAlignment w:val="center"/>
    </w:pPr>
    <w:rPr>
      <w:rFonts w:ascii="Times New Roman" w:hAnsi="Times New Roman" w:eastAsia="宋体" w:cs="宋体"/>
      <w:b/>
      <w:sz w:val="24"/>
      <w:szCs w:val="20"/>
    </w:rPr>
  </w:style>
  <w:style w:type="paragraph" w:customStyle="1" w:styleId="93">
    <w:name w:val="！正文"/>
    <w:basedOn w:val="1"/>
    <w:autoRedefine/>
    <w:qFormat/>
    <w:uiPriority w:val="0"/>
    <w:pPr>
      <w:spacing w:line="360" w:lineRule="auto"/>
      <w:ind w:firstLine="480" w:firstLineChars="200"/>
    </w:pPr>
    <w:rPr>
      <w:rFonts w:ascii="Times New Roman" w:hAnsi="Times New Roman" w:eastAsia="宋体" w:cs="Times New Roman"/>
      <w:color w:val="FF0000"/>
      <w:sz w:val="24"/>
      <w:szCs w:val="24"/>
    </w:rPr>
  </w:style>
  <w:style w:type="table" w:customStyle="1" w:styleId="94">
    <w:name w:val="三线表1"/>
    <w:basedOn w:val="25"/>
    <w:qFormat/>
    <w:uiPriority w:val="0"/>
    <w:rPr>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95">
    <w:name w:val="表头"/>
    <w:basedOn w:val="61"/>
    <w:qFormat/>
    <w:uiPriority w:val="99"/>
    <w:pPr>
      <w:spacing w:line="420" w:lineRule="exact"/>
      <w:jc w:val="center"/>
    </w:pPr>
    <w:rPr>
      <w:rFonts w:hAnsi="宋体"/>
      <w:b/>
      <w:color w:val="000000"/>
      <w:position w:val="2"/>
      <w:sz w:val="24"/>
    </w:rPr>
  </w:style>
  <w:style w:type="paragraph" w:customStyle="1" w:styleId="96">
    <w:name w:val="4-正文"/>
    <w:basedOn w:val="1"/>
    <w:qFormat/>
    <w:uiPriority w:val="0"/>
    <w:pPr>
      <w:adjustRightInd w:val="0"/>
      <w:snapToGrid w:val="0"/>
      <w:spacing w:line="360" w:lineRule="auto"/>
      <w:ind w:firstLine="200" w:firstLineChars="200"/>
    </w:pPr>
    <w:rPr>
      <w:rFonts w:ascii="仿宋_GB2312" w:hAnsi="宋体" w:eastAsia="仿宋_GB2312"/>
      <w:sz w:val="30"/>
      <w:szCs w:val="32"/>
    </w:rPr>
  </w:style>
  <w:style w:type="paragraph" w:customStyle="1" w:styleId="97">
    <w:name w:val="5-图表文字"/>
    <w:basedOn w:val="1"/>
    <w:qFormat/>
    <w:uiPriority w:val="0"/>
    <w:pPr>
      <w:adjustRightInd w:val="0"/>
      <w:snapToGrid w:val="0"/>
      <w:jc w:val="center"/>
    </w:pPr>
    <w:rPr>
      <w:rFonts w:ascii="仿宋_GB2312" w:hAnsi="仿宋_GB2312" w:eastAsia="仿宋_GB2312"/>
      <w:kern w:val="0"/>
      <w:szCs w:val="32"/>
    </w:rPr>
  </w:style>
  <w:style w:type="paragraph" w:customStyle="1" w:styleId="98">
    <w:name w:val="1-二级标题"/>
    <w:basedOn w:val="99"/>
    <w:next w:val="100"/>
    <w:qFormat/>
    <w:uiPriority w:val="0"/>
    <w:pPr>
      <w:spacing w:line="360" w:lineRule="auto"/>
      <w:ind w:firstLine="200" w:firstLineChars="200"/>
      <w:jc w:val="both"/>
      <w:outlineLvl w:val="1"/>
    </w:pPr>
    <w:rPr>
      <w:rFonts w:ascii="黑体" w:hAnsi="宋体" w:eastAsia="黑体"/>
      <w:sz w:val="32"/>
      <w:szCs w:val="32"/>
    </w:rPr>
  </w:style>
  <w:style w:type="paragraph" w:customStyle="1" w:styleId="99">
    <w:name w:val="0-一级标题"/>
    <w:next w:val="98"/>
    <w:qFormat/>
    <w:uiPriority w:val="0"/>
    <w:pPr>
      <w:adjustRightInd w:val="0"/>
      <w:snapToGrid w:val="0"/>
      <w:jc w:val="center"/>
      <w:outlineLvl w:val="0"/>
    </w:pPr>
    <w:rPr>
      <w:rFonts w:ascii="方正小标宋简体" w:hAnsi="??" w:eastAsia="方正小标宋简体" w:cs="Times New Roman"/>
      <w:kern w:val="2"/>
      <w:sz w:val="36"/>
      <w:szCs w:val="44"/>
      <w:lang w:val="en-US" w:eastAsia="zh-CN" w:bidi="ar-SA"/>
    </w:rPr>
  </w:style>
  <w:style w:type="paragraph" w:customStyle="1" w:styleId="100">
    <w:name w:val="2-三级标题"/>
    <w:basedOn w:val="1"/>
    <w:qFormat/>
    <w:uiPriority w:val="0"/>
    <w:pPr>
      <w:adjustRightInd w:val="0"/>
      <w:snapToGrid w:val="0"/>
      <w:spacing w:line="360" w:lineRule="auto"/>
      <w:ind w:firstLine="602" w:firstLineChars="200"/>
      <w:outlineLvl w:val="2"/>
    </w:pPr>
    <w:rPr>
      <w:rFonts w:ascii="楷体_GB2312" w:hAnsi="宋体" w:eastAsia="楷体_GB2312"/>
      <w:b/>
      <w:sz w:val="30"/>
      <w:szCs w:val="32"/>
    </w:rPr>
  </w:style>
  <w:style w:type="paragraph" w:customStyle="1" w:styleId="101">
    <w:name w:val="5-图表"/>
    <w:basedOn w:val="96"/>
    <w:qFormat/>
    <w:uiPriority w:val="0"/>
    <w:pPr>
      <w:ind w:firstLine="0" w:firstLineChars="0"/>
      <w:jc w:val="center"/>
    </w:pPr>
  </w:style>
  <w:style w:type="paragraph" w:customStyle="1" w:styleId="102">
    <w:name w:val="3-四级标题"/>
    <w:basedOn w:val="96"/>
    <w:next w:val="96"/>
    <w:qFormat/>
    <w:uiPriority w:val="0"/>
    <w:pPr>
      <w:outlineLvl w:val="3"/>
    </w:pPr>
    <w:rPr>
      <w:rFonts w:hAnsi="仿宋_GB2312"/>
      <w: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emf"/><Relationship Id="rId22" Type="http://schemas.openxmlformats.org/officeDocument/2006/relationships/oleObject" Target="embeddings/oleObject3.bin"/><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emf"/><Relationship Id="rId17" Type="http://schemas.openxmlformats.org/officeDocument/2006/relationships/oleObject" Target="embeddings/oleObject2.bin"/><Relationship Id="rId16" Type="http://schemas.openxmlformats.org/officeDocument/2006/relationships/image" Target="media/image6.emf"/><Relationship Id="rId15" Type="http://schemas.openxmlformats.org/officeDocument/2006/relationships/oleObject" Target="embeddings/oleObject1.bin"/><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78</Pages>
  <Words>8203</Words>
  <Characters>8459</Characters>
  <Lines>512</Lines>
  <Paragraphs>144</Paragraphs>
  <TotalTime>0</TotalTime>
  <ScaleCrop>false</ScaleCrop>
  <LinksUpToDate>false</LinksUpToDate>
  <CharactersWithSpaces>8569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2024-07-15T07:04:00Z</dcterms:created>
  <dc:creator>c</dc:creator>
  <cp:lastModifiedBy>在水一方</cp:lastModifiedBy>
  <cp:lastPrinted>2023-01-30T01:16:00Z</cp:lastPrinted>
  <dcterms:modified xsi:type="dcterms:W3CDTF">2025-05-08T07:18:47Z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E3CB9867638A469A9973B6949A9C8F97_13</vt:lpwstr>
  </property>
  <property fmtid="{D5CDD505-2E9C-101B-9397-08002B2CF9AE}" pid="4" name="KSOTemplateDocerSaveRecord">
    <vt:lpwstr>eyJoZGlkIjoiNThkY2UxYmYxYmM2YjgyNmE1NDg3MWU5YTM2NWQzZTIiLCJ1c2VySWQiOiI2MDkwOTIzMDQifQ==</vt:lpwstr>
  </property>
</Properties>
</file>